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B26" w:rsidRDefault="000D4B26">
      <w:pPr>
        <w:adjustRightInd w:val="0"/>
        <w:snapToGrid w:val="0"/>
        <w:ind w:left="480" w:hanging="480"/>
        <w:rPr>
          <w:rFonts w:ascii="仿宋" w:eastAsia="仿宋" w:hAnsi="仿宋"/>
          <w:sz w:val="32"/>
          <w:szCs w:val="32"/>
        </w:rPr>
      </w:pPr>
    </w:p>
    <w:p w:rsidR="000D4B26" w:rsidRDefault="008A0C9E">
      <w:pPr>
        <w:spacing w:line="600" w:lineRule="exact"/>
        <w:ind w:left="482" w:hanging="482"/>
        <w:jc w:val="center"/>
        <w:rPr>
          <w:rFonts w:ascii="黑体" w:eastAsia="黑体" w:hAnsi="黑体"/>
          <w:b/>
          <w:sz w:val="32"/>
          <w:szCs w:val="32"/>
        </w:rPr>
      </w:pPr>
      <w:r w:rsidRPr="00244B97">
        <w:rPr>
          <w:rFonts w:ascii="黑体" w:eastAsia="黑体" w:hAnsi="黑体" w:hint="eastAsia"/>
          <w:b/>
          <w:sz w:val="32"/>
          <w:szCs w:val="32"/>
        </w:rPr>
        <w:t>新邵县水利局2017年农村饮水安全巩固提升工程专项资金绩效自评报告</w:t>
      </w:r>
    </w:p>
    <w:p w:rsidR="00244B97" w:rsidRPr="00244B97" w:rsidRDefault="00244B97">
      <w:pPr>
        <w:spacing w:line="600" w:lineRule="exact"/>
        <w:ind w:left="482" w:hanging="482"/>
        <w:jc w:val="center"/>
        <w:rPr>
          <w:rFonts w:ascii="黑体" w:eastAsia="黑体" w:hAnsi="黑体"/>
          <w:b/>
          <w:sz w:val="32"/>
          <w:szCs w:val="32"/>
        </w:rPr>
      </w:pPr>
    </w:p>
    <w:p w:rsidR="00244B97" w:rsidRDefault="008A0C9E" w:rsidP="00244B97">
      <w:pPr>
        <w:spacing w:line="240" w:lineRule="auto"/>
        <w:ind w:left="0" w:firstLineChars="221" w:firstLine="707"/>
        <w:rPr>
          <w:rFonts w:ascii="仿宋" w:eastAsia="仿宋" w:hAnsi="仿宋" w:cs="仿宋"/>
          <w:sz w:val="32"/>
          <w:szCs w:val="32"/>
        </w:rPr>
      </w:pPr>
      <w:r>
        <w:rPr>
          <w:rFonts w:ascii="仿宋" w:eastAsia="仿宋" w:hAnsi="仿宋" w:hint="eastAsia"/>
          <w:sz w:val="32"/>
          <w:szCs w:val="32"/>
        </w:rPr>
        <w:t>为落实《邵阳市财政局关于2017年县市区党委政府绩效评估</w:t>
      </w:r>
      <w:r>
        <w:rPr>
          <w:rFonts w:ascii="仿宋" w:eastAsia="仿宋" w:hAnsi="仿宋" w:cs="仿宋" w:hint="eastAsia"/>
          <w:sz w:val="32"/>
          <w:szCs w:val="32"/>
        </w:rPr>
        <w:t>中预算绩效管理工作考核有关事项的通知》（邵财绩〔2017〕8号）的文件精神，根据《新邵县财政局关于编制2017年部门整体支出绩效目标的通知》（新财预〔2017〕12号）和《新邵县财政局关于编制2017年项目预算绩效目标的通知》（新财预〔2017〕13号）的相关要求，对2017年</w:t>
      </w:r>
      <w:r w:rsidRPr="00244B97">
        <w:rPr>
          <w:rFonts w:ascii="仿宋" w:eastAsia="仿宋" w:hAnsi="仿宋" w:cs="仿宋" w:hint="eastAsia"/>
          <w:sz w:val="32"/>
          <w:szCs w:val="32"/>
        </w:rPr>
        <w:t>农村饮水安全巩固提升工程专项资金</w:t>
      </w:r>
      <w:r>
        <w:rPr>
          <w:rFonts w:ascii="仿宋" w:eastAsia="仿宋" w:hAnsi="仿宋" w:cs="仿宋" w:hint="eastAsia"/>
          <w:sz w:val="32"/>
          <w:szCs w:val="32"/>
        </w:rPr>
        <w:t>支出实施绩效自评。现将有关情况报告如下：</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一、基本情况</w:t>
      </w:r>
    </w:p>
    <w:p w:rsidR="000D4B26" w:rsidRDefault="008A0C9E" w:rsidP="00244B97">
      <w:pPr>
        <w:numPr>
          <w:ilvl w:val="0"/>
          <w:numId w:val="1"/>
        </w:numPr>
        <w:adjustRightInd w:val="0"/>
        <w:snapToGrid w:val="0"/>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项目单位基本情况，包括组织实施部门及主要职责等。</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新邵县水利局是县人民政府工作部门，主要负责保障全县水资源的合理开发和利用，拟定全县水利战略规划和政策，组织编制区域内主要江河湖泊流域综合规划；负责生活、生产经营和生态环境用水的统筹兼顾和保障，实施水资源的统一监督管理；负责水源保护工作。指导饮水水源保护、水生态系统修复与保护工作，指导地下水开发利用和城市规划区地下水资源管理保护工作；负责全县城镇供水工作等。该局现有编制人数 33 人，实有人数 55人。内设办公室等11个</w:t>
      </w:r>
      <w:r>
        <w:rPr>
          <w:rFonts w:ascii="仿宋" w:eastAsia="仿宋" w:hAnsi="仿宋" w:cs="仿宋" w:hint="eastAsia"/>
          <w:sz w:val="32"/>
          <w:szCs w:val="32"/>
        </w:rPr>
        <w:lastRenderedPageBreak/>
        <w:t>科室及8个直属事（企）业单位。</w:t>
      </w:r>
    </w:p>
    <w:p w:rsidR="000D4B26" w:rsidRDefault="008A0C9E" w:rsidP="00244B97">
      <w:pPr>
        <w:adjustRightInd w:val="0"/>
        <w:snapToGrid w:val="0"/>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（二）项目基本情况。</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2017年农村饮水安全巩固提升工程专项资金2330万元（其中：中央资金1220万元，省投资950万元）用于农</w:t>
      </w:r>
      <w:bookmarkStart w:id="0" w:name="_GoBack"/>
      <w:bookmarkEnd w:id="0"/>
      <w:r>
        <w:rPr>
          <w:rFonts w:ascii="仿宋" w:eastAsia="仿宋" w:hAnsi="仿宋" w:cs="仿宋" w:hint="eastAsia"/>
          <w:sz w:val="32"/>
          <w:szCs w:val="32"/>
        </w:rPr>
        <w:t>村饮水安全工程建设，其中41处集中供水工程。项目共到位资金2330万元。其中：中央到位资金1220万元，省投资950万元，其他资金160万元全部到位，资金到位率100%。目前，所有项目基本竣工验收，正在进行审计。该项目已实际支付专项资金 2330 万元，占到位专项资金总额的100%。2017年专项资金2330万元用于农村饮水安全工程建设，其中2处集中供水工程，41处农村集中供水工程，财政、审计部门负责建设资金使用的监督管理，程序合规合法，资金管理到位，无挪用挤占情况。工程全部完工，解决了2.33万人贫困人口的饮水问题，完成目标任务的100%。</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二、专项资金使用及管理情况</w:t>
      </w:r>
    </w:p>
    <w:p w:rsidR="000D4B26" w:rsidRDefault="008A0C9E" w:rsidP="00244B97">
      <w:pPr>
        <w:widowControl/>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为加强我县农村饮水安全全覆盖暨巩固提升工程建设管理，使农村安全饮水工作进一步规范化和制度化，确保工程质量、建设工期和工程效益，根据《湖南省人民政府办公厅关于进一步做好农村饮水安全工作的意见》（湘政办发[2013]64号）、《湖南省“十三五”农村饮水安全巩固提升工程项目实施指导意见》（湘发改农[2016]918号）等文件精神，</w:t>
      </w:r>
      <w:r>
        <w:rPr>
          <w:rFonts w:ascii="仿宋" w:eastAsia="仿宋" w:hAnsi="仿宋" w:cs="仿宋" w:hint="eastAsia"/>
          <w:sz w:val="32"/>
          <w:szCs w:val="32"/>
        </w:rPr>
        <w:lastRenderedPageBreak/>
        <w:t>结合我县实际，特制定新邵县农村饮水安全全覆盖暨巩固提升工程实施办法。对资金管理采取了以下措施；</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一是 农村饮水安全工程建设资金来源通过国家投资、省奖励资金、自筹（含整合相关涉农资金）和银行贷款来解决。</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二是 所有资金由县农村饮水安全全覆盖暨巩固提升工程建设指挥部组织整合，负责统一管理拨付。</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 xml:space="preserve"> 三是、工程建设资金按进度支付，具体支付程序为：项目施工单位支付申请→项目监理单位审核→村、乡镇初审→指挥部办公室审核→→指挥部副部长审核→指挥部部长审批。每次只能支付80%，项目验收合格并经审计认定后，再付足项目总投资的90%。余下10%的质量保证金待质保期一年满后，无质量问题方可支付。</w:t>
      </w:r>
    </w:p>
    <w:p w:rsidR="000D4B26" w:rsidRDefault="008A0C9E" w:rsidP="00244B97">
      <w:pPr>
        <w:pStyle w:val="a3"/>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四是、 设计、监理等管理费用、指挥部日常开支、年终考评、乡镇奖励等支出由县财政负责落实。</w:t>
      </w:r>
    </w:p>
    <w:p w:rsidR="000D4B26" w:rsidRDefault="008A0C9E" w:rsidP="00244B97">
      <w:pPr>
        <w:adjustRightInd w:val="0"/>
        <w:snapToGrid w:val="0"/>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三、主要绩效评价指标情况</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一）项目决策情况：开展可行性调研论证，并广泛征求镇、村委和村民意见，引导群众参与和监督，根据《新邵县农村饮水现状调查评估报告》、新邵县发展和改革委员会《关于新邵县农村饮水安全工程可行性研究报告的批复》，按要求组织设计与申报；建设单位聘请专业机构对项目进行设计，并提交申报资料，经项目单位初审，上级部门审批后</w:t>
      </w:r>
      <w:r>
        <w:rPr>
          <w:rFonts w:ascii="仿宋" w:eastAsia="仿宋" w:hAnsi="仿宋" w:cs="仿宋" w:hint="eastAsia"/>
          <w:sz w:val="32"/>
          <w:szCs w:val="32"/>
        </w:rPr>
        <w:lastRenderedPageBreak/>
        <w:t>下发文件，并在相关网站公示；按照“公开、公平、公正”的原则，建设单位委托中介机构对材料及设备、施工及监理实行公开招标，并签订合同，明确双方权利和义务；明确职责。明确县人民政府是项目建设和管理的责任主体，水务、财政、卫生及环保等相关部门按各自职责开展工作，各级政府层层签订责任状，明确责任与目标任务；</w:t>
      </w:r>
    </w:p>
    <w:p w:rsidR="000D4B26" w:rsidRDefault="008A0C9E" w:rsidP="00244B97">
      <w:pPr>
        <w:adjustRightInd w:val="0"/>
        <w:snapToGrid w:val="0"/>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二）、项目管理情况：项目实施过程中，项目单位组织监理、质监、财政等相关单位到项目现场实地勘验、检查和核实绩效指标预定和实际达到的效率情况。主要核实了资金到位率、资金使用率、支出效果率，以及项目规划执行情况、项目建设管理情况、项目支出实现的综合效益。经检查，绩效情况良好，预期目标基本实现；加强质量管理。对不符合质量要求的责令及时整改；项目完工后，建设单位组织设计、施工、监理等单位对项目进行验收，组织开展审计，将审计结果作为项目结算依据；妥善保管资料。对项目设计、申报、验收等相关资料及时整理，并归档保管。项目实施程序基本规范，符合相关要求。</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（三）项目绩效情况</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通过财政资金的投入，解决村民饮水不安全问题，提高村民生活质量及生产水平，实现经济效益；通过解决饮水不安全问题、提高农民生活水平、让政府放心、农民满意。对提升农民综合素质、创建社会主义新农村、构建和谐社会起积极的推动作用，能有效提高政治和社会效益。   四、   存在的主要问题；</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1、项目资金中地方配套比例偏高，地方财政负担较重。地方配套比例达财政总投资的70%以上，在目前县级财政普</w:t>
      </w:r>
      <w:r>
        <w:rPr>
          <w:rFonts w:ascii="仿宋" w:eastAsia="仿宋" w:hAnsi="仿宋" w:cs="仿宋" w:hint="eastAsia"/>
          <w:sz w:val="32"/>
          <w:szCs w:val="32"/>
        </w:rPr>
        <w:lastRenderedPageBreak/>
        <w:t>遍困难的情况下，配套资金足额到位存在困难，地方财政压力较大，影响项目实施进度。</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2.水源缺乏有效保护。从长远来看，农村饮水安全最终必须依靠改善环境，有效保护水源来解决。目前，项目水源不足，水质不达标，山区项目供水主要依靠山溪储水，水质相对较好，运行成本较低，但季节性较强，且缺乏有效保护和监控，易受污染；城市近郊或工业园区附近地表水受不同程度污染，不能作为饮用水源，而地下水水位下降，水量不足。</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五、改进意见及建议</w:t>
      </w:r>
    </w:p>
    <w:p w:rsidR="000D4B26" w:rsidRPr="00244B97" w:rsidRDefault="008A0C9E" w:rsidP="00244B97">
      <w:pPr>
        <w:pStyle w:val="a3"/>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 xml:space="preserve">（一）后续工作计划。目前新邵县虽然基本解决农村饮水安全问题，但部分工程建设标准低，基础不牢固。根据国家的要求，“十三五”期间要全面解决农村饮水安全问题。针对未解决的农村饮水不安全人口，特别是贫困村和建档立卡贫困人口的饮水问题，采取新建、管网延伸、改扩建、城乡一体化，将2017年和2018年全面完成农村饮水安全全覆盖暨巩固提升工程建设任务， </w:t>
      </w:r>
      <w:bookmarkStart w:id="1" w:name="_Toc17791"/>
      <w:bookmarkStart w:id="2" w:name="_Toc23784"/>
      <w:bookmarkStart w:id="3" w:name="_Toc22924"/>
      <w:r>
        <w:rPr>
          <w:rFonts w:ascii="仿宋" w:eastAsia="仿宋" w:hAnsi="仿宋" w:cs="仿宋" w:hint="eastAsia"/>
          <w:sz w:val="32"/>
          <w:szCs w:val="32"/>
        </w:rPr>
        <w:t>计划建设日供水5千吨以上规模水厂2个，1000—3000吨规模水厂1处，城乡一体化1处，改造及管网延伸工程8处，20—200吨单村供水工程116处，解决49.0094万农村人口饮水不安全问题（其中贫困人口6.66万人）</w:t>
      </w:r>
      <w:bookmarkEnd w:id="1"/>
      <w:bookmarkEnd w:id="2"/>
      <w:bookmarkEnd w:id="3"/>
      <w:r>
        <w:rPr>
          <w:rFonts w:ascii="仿宋" w:eastAsia="仿宋" w:hAnsi="仿宋" w:cs="仿宋" w:hint="eastAsia"/>
          <w:sz w:val="32"/>
          <w:szCs w:val="32"/>
        </w:rPr>
        <w:t>，使农村饮用水供水保证率要达到95%以上，集中供水率达到90%，自来水普及率达到85%，供水工程的</w:t>
      </w:r>
      <w:r>
        <w:rPr>
          <w:rFonts w:ascii="仿宋" w:eastAsia="仿宋" w:hAnsi="仿宋" w:cs="仿宋" w:hint="eastAsia"/>
          <w:sz w:val="32"/>
          <w:szCs w:val="32"/>
        </w:rPr>
        <w:lastRenderedPageBreak/>
        <w:t>净化消毒设施配套率达90%以上，水质达标率达到全国平均水平。切实将新邵县农村饮水安全成果巩固住、稳定住、不反复，全面提升农村饮水安全保障水平，促进农村饮水安全工程向“安全型”、“稳定型”转变，为改善农村生活水平和贫困群众脱贫致富奔小康提供坚实支撑，促进新邵县经济发展、社会稳定、经济繁荣。</w:t>
      </w:r>
    </w:p>
    <w:p w:rsidR="000D4B26" w:rsidRDefault="008A0C9E" w:rsidP="00244B97">
      <w:pPr>
        <w:adjustRightInd w:val="0"/>
        <w:snapToGrid w:val="0"/>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t>（二）主要经验做法、存在的问题和建议。</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1、县乡两级政府高度重视。</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为了切实做好水改工作，进行具体指导和协调。政府成立农村饮水安全工程建设指挥部。多次听取工程进展汇报，主要领导多次召开协调会，化解矛盾。这是工作顺利推进的重要保证。</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2、财政、水利、发改和乡镇政府等职能部门紧密配合。</w:t>
      </w:r>
    </w:p>
    <w:p w:rsidR="000D4B26" w:rsidRPr="00244B97" w:rsidRDefault="008A0C9E" w:rsidP="00244B97">
      <w:pPr>
        <w:widowControl/>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我县农业人口分布面广，特别是自然村地形复杂，施工难度大，涉及人口多。面对这一特点，财政、发改、水利和乡镇等职能部门既各负其责又密切协作，克服重重困难，完成了这项民心工程。</w:t>
      </w:r>
    </w:p>
    <w:p w:rsidR="000D4B26" w:rsidRPr="00244B97" w:rsidRDefault="008A0C9E" w:rsidP="00244B97">
      <w:pPr>
        <w:pStyle w:val="a3"/>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 xml:space="preserve">3.资金使用管理 </w:t>
      </w:r>
    </w:p>
    <w:p w:rsidR="000D4B26" w:rsidRPr="00244B97" w:rsidRDefault="008A0C9E" w:rsidP="00244B97">
      <w:pPr>
        <w:pStyle w:val="a3"/>
        <w:spacing w:line="240" w:lineRule="auto"/>
        <w:ind w:left="0" w:firstLineChars="221" w:firstLine="707"/>
        <w:rPr>
          <w:rFonts w:ascii="仿宋" w:eastAsia="仿宋" w:hAnsi="仿宋" w:cs="仿宋"/>
          <w:sz w:val="32"/>
          <w:szCs w:val="32"/>
        </w:rPr>
      </w:pPr>
      <w:r w:rsidRPr="00244B97">
        <w:rPr>
          <w:rFonts w:ascii="仿宋" w:eastAsia="仿宋" w:hAnsi="仿宋" w:cs="仿宋" w:hint="eastAsia"/>
          <w:sz w:val="32"/>
          <w:szCs w:val="32"/>
        </w:rPr>
        <w:t>工程资金拨付严格《</w:t>
      </w:r>
      <w:r>
        <w:rPr>
          <w:rFonts w:ascii="仿宋" w:eastAsia="仿宋" w:hAnsi="仿宋" w:cs="仿宋" w:hint="eastAsia"/>
          <w:sz w:val="32"/>
          <w:szCs w:val="32"/>
        </w:rPr>
        <w:t>新邵县农村饮水安全全覆盖暨巩固提升工程实施办法》中的资金管理办法</w:t>
      </w:r>
      <w:r w:rsidRPr="00244B97">
        <w:rPr>
          <w:rFonts w:ascii="仿宋" w:eastAsia="仿宋" w:hAnsi="仿宋" w:cs="仿宋" w:hint="eastAsia"/>
          <w:sz w:val="32"/>
          <w:szCs w:val="32"/>
        </w:rPr>
        <w:t xml:space="preserve">进行操作，同时在资金的使用管理过程中，自觉接受监察审计部门的监督和审计，杜绝了一切以任何理由截留、挤占、挪用项目资金的现象。 </w:t>
      </w:r>
    </w:p>
    <w:p w:rsidR="000D4B26" w:rsidRDefault="008A0C9E" w:rsidP="00244B97">
      <w:pPr>
        <w:spacing w:line="240" w:lineRule="auto"/>
        <w:ind w:left="0" w:firstLineChars="221" w:firstLine="707"/>
        <w:rPr>
          <w:rFonts w:ascii="仿宋" w:eastAsia="仿宋" w:hAnsi="仿宋" w:cs="仿宋"/>
          <w:sz w:val="32"/>
          <w:szCs w:val="32"/>
        </w:rPr>
      </w:pPr>
      <w:r>
        <w:rPr>
          <w:rFonts w:ascii="仿宋" w:eastAsia="仿宋" w:hAnsi="仿宋" w:cs="仿宋" w:hint="eastAsia"/>
          <w:sz w:val="32"/>
          <w:szCs w:val="32"/>
        </w:rPr>
        <w:lastRenderedPageBreak/>
        <w:t>（三）改进措施和建议</w:t>
      </w:r>
    </w:p>
    <w:p w:rsidR="002065CB" w:rsidRDefault="008A0C9E" w:rsidP="00244B97">
      <w:pPr>
        <w:spacing w:line="240" w:lineRule="auto"/>
        <w:ind w:left="0" w:firstLineChars="221" w:firstLine="707"/>
        <w:rPr>
          <w:rFonts w:ascii="仿宋" w:eastAsia="仿宋" w:hAnsi="仿宋" w:cs="仿宋" w:hint="eastAsia"/>
          <w:sz w:val="32"/>
          <w:szCs w:val="32"/>
        </w:rPr>
      </w:pPr>
      <w:r>
        <w:rPr>
          <w:rFonts w:ascii="仿宋" w:eastAsia="仿宋" w:hAnsi="仿宋" w:cs="仿宋" w:hint="eastAsia"/>
          <w:sz w:val="32"/>
          <w:szCs w:val="32"/>
        </w:rPr>
        <w:t>切实加强水源勘察、监测和保护。一是加强对备用水源的勘察，特别是使用地下水为水源的山区项目，应未雨绸缪，尽早规划、勘察备用水源；二是依法严格实施饮用水水源保护制度，合理确定水源保护区，严格禁止破坏水资源保护设施的行为，因地制宜地进行水源安全防护、生态修复和水源涵养等工程建设；三是大力治理污染，定期对集中供水水源保护区检查，对查出的问题要进行专项整治并挂牌督办。对排污超标的企业和单位，要责令限期达标排放或搬迁。积极开展农业污染防治，指导农民合理施用化肥、农药，严禁使用高毒、高残留农药和规模养殖随意排放，推进畜禽粪便和农作物秸秆的资源化利用；四是明确职责。包括村委在内的各级政府应根据当地实际，制定保护措施，明确饮用水源，安排专人负责，加强日常监测和保护，确保措施落到实处；五是加大宣传力度。要通过广播、电视、网络、宣传栏、微信、举办专题宣传活动及重点挂牌等多种方式，加强水源安全知识的宣传和普及，引导群众自觉维护水源清洁和安全，确保人民群众用上放心水。</w:t>
      </w:r>
      <w:r w:rsidRPr="00244B97">
        <w:rPr>
          <w:rFonts w:ascii="仿宋" w:eastAsia="仿宋" w:hAnsi="仿宋" w:cs="仿宋" w:hint="eastAsia"/>
          <w:sz w:val="32"/>
          <w:szCs w:val="32"/>
        </w:rPr>
        <w:t>    </w:t>
      </w:r>
    </w:p>
    <w:p w:rsidR="002065CB" w:rsidRDefault="002065CB" w:rsidP="00244B97">
      <w:pPr>
        <w:spacing w:line="240" w:lineRule="auto"/>
        <w:ind w:left="0" w:firstLineChars="221" w:firstLine="707"/>
        <w:rPr>
          <w:rFonts w:ascii="仿宋" w:eastAsia="仿宋" w:hAnsi="仿宋" w:cs="仿宋" w:hint="eastAsia"/>
          <w:sz w:val="32"/>
          <w:szCs w:val="32"/>
        </w:rPr>
      </w:pPr>
    </w:p>
    <w:p w:rsidR="002065CB" w:rsidRDefault="002065CB" w:rsidP="002065CB">
      <w:pPr>
        <w:spacing w:line="240" w:lineRule="auto"/>
        <w:ind w:left="0" w:firstLineChars="1240" w:firstLine="3968"/>
        <w:rPr>
          <w:rFonts w:ascii="仿宋" w:eastAsia="仿宋" w:hAnsi="仿宋" w:cs="仿宋" w:hint="eastAsia"/>
          <w:sz w:val="32"/>
          <w:szCs w:val="32"/>
        </w:rPr>
      </w:pPr>
      <w:r>
        <w:rPr>
          <w:rFonts w:ascii="仿宋" w:eastAsia="仿宋" w:hAnsi="仿宋" w:cs="仿宋" w:hint="eastAsia"/>
          <w:sz w:val="32"/>
          <w:szCs w:val="32"/>
        </w:rPr>
        <w:t xml:space="preserve">   新邵县水利局</w:t>
      </w:r>
    </w:p>
    <w:p w:rsidR="000D4B26" w:rsidRPr="00244B97" w:rsidRDefault="002065CB" w:rsidP="002065CB">
      <w:pPr>
        <w:spacing w:line="240" w:lineRule="auto"/>
        <w:ind w:left="0" w:firstLineChars="1240" w:firstLine="3968"/>
        <w:rPr>
          <w:rFonts w:ascii="仿宋" w:eastAsia="仿宋" w:hAnsi="仿宋" w:cs="仿宋"/>
          <w:sz w:val="32"/>
          <w:szCs w:val="32"/>
        </w:rPr>
      </w:pPr>
      <w:r>
        <w:rPr>
          <w:rFonts w:ascii="仿宋" w:eastAsia="仿宋" w:hAnsi="仿宋" w:cs="仿宋" w:hint="eastAsia"/>
          <w:sz w:val="32"/>
          <w:szCs w:val="32"/>
        </w:rPr>
        <w:t>2018年6月10日</w:t>
      </w:r>
      <w:r w:rsidR="008A0C9E" w:rsidRPr="00244B97">
        <w:rPr>
          <w:rFonts w:ascii="仿宋" w:eastAsia="仿宋" w:hAnsi="仿宋" w:cs="仿宋" w:hint="eastAsia"/>
          <w:sz w:val="32"/>
          <w:szCs w:val="32"/>
        </w:rPr>
        <w:t> </w:t>
      </w:r>
    </w:p>
    <w:p w:rsidR="000D4B26" w:rsidRDefault="000D4B26" w:rsidP="00244B97">
      <w:pPr>
        <w:adjustRightInd w:val="0"/>
        <w:snapToGrid w:val="0"/>
        <w:spacing w:line="240" w:lineRule="auto"/>
        <w:ind w:left="0" w:firstLineChars="221" w:firstLine="707"/>
        <w:rPr>
          <w:rFonts w:ascii="仿宋" w:eastAsia="仿宋" w:hAnsi="仿宋" w:cs="仿宋"/>
          <w:sz w:val="32"/>
          <w:szCs w:val="32"/>
        </w:rPr>
        <w:sectPr w:rsidR="000D4B2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p>
    <w:p w:rsidR="000D4B26" w:rsidRDefault="000D4B26" w:rsidP="000D4B26">
      <w:pPr>
        <w:ind w:left="480" w:hanging="480"/>
        <w:rPr>
          <w:rFonts w:ascii="仿宋" w:eastAsia="仿宋" w:hAnsi="仿宋" w:cs="仿宋"/>
          <w:sz w:val="32"/>
          <w:szCs w:val="32"/>
        </w:rPr>
      </w:pPr>
    </w:p>
    <w:sectPr w:rsidR="000D4B26" w:rsidSect="000D4B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E9E" w:rsidRDefault="00B83E9E" w:rsidP="00244B97">
      <w:pPr>
        <w:spacing w:line="240" w:lineRule="auto"/>
        <w:ind w:left="315" w:hanging="315"/>
      </w:pPr>
      <w:r>
        <w:separator/>
      </w:r>
    </w:p>
  </w:endnote>
  <w:endnote w:type="continuationSeparator" w:id="0">
    <w:p w:rsidR="00B83E9E" w:rsidRDefault="00B83E9E" w:rsidP="00244B97">
      <w:pPr>
        <w:spacing w:line="240" w:lineRule="auto"/>
        <w:ind w:left="315" w:hanging="31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4"/>
      <w:ind w:left="270" w:hanging="27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4"/>
      <w:ind w:left="270" w:hanging="27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4"/>
      <w:ind w:left="270" w:hanging="27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E9E" w:rsidRDefault="00B83E9E" w:rsidP="00244B97">
      <w:pPr>
        <w:spacing w:line="240" w:lineRule="auto"/>
        <w:ind w:left="315" w:hanging="315"/>
      </w:pPr>
      <w:r>
        <w:separator/>
      </w:r>
    </w:p>
  </w:footnote>
  <w:footnote w:type="continuationSeparator" w:id="0">
    <w:p w:rsidR="00B83E9E" w:rsidRDefault="00B83E9E" w:rsidP="00244B97">
      <w:pPr>
        <w:spacing w:line="240" w:lineRule="auto"/>
        <w:ind w:left="315" w:hanging="315"/>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5"/>
      <w:ind w:left="270" w:hanging="27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5"/>
      <w:pBdr>
        <w:bottom w:val="none" w:sz="0" w:space="0" w:color="auto"/>
      </w:pBdr>
      <w:ind w:left="270" w:hanging="27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B26" w:rsidRDefault="000D4B26">
    <w:pPr>
      <w:pStyle w:val="a5"/>
      <w:ind w:left="270" w:hanging="27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231049"/>
    <w:multiLevelType w:val="singleLevel"/>
    <w:tmpl w:val="D5231049"/>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DC744F3"/>
    <w:rsid w:val="000D4B26"/>
    <w:rsid w:val="002065CB"/>
    <w:rsid w:val="00244B97"/>
    <w:rsid w:val="005703E6"/>
    <w:rsid w:val="008A0C9E"/>
    <w:rsid w:val="00B83E9E"/>
    <w:rsid w:val="11A2211E"/>
    <w:rsid w:val="11C138B1"/>
    <w:rsid w:val="177E50A6"/>
    <w:rsid w:val="1A6E3BCC"/>
    <w:rsid w:val="3DC744F3"/>
    <w:rsid w:val="43DD4B42"/>
    <w:rsid w:val="4C763409"/>
    <w:rsid w:val="501B76B3"/>
    <w:rsid w:val="51E53DA8"/>
    <w:rsid w:val="783820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4B26"/>
    <w:pPr>
      <w:widowControl w:val="0"/>
      <w:spacing w:line="320" w:lineRule="exact"/>
      <w:ind w:left="150" w:hangingChars="150" w:hanging="150"/>
      <w:jc w:val="both"/>
    </w:pPr>
    <w:rPr>
      <w:rFonts w:ascii="Calibri" w:hAnsi="Calibri"/>
      <w:kern w:val="2"/>
      <w:sz w:val="21"/>
      <w:szCs w:val="22"/>
    </w:rPr>
  </w:style>
  <w:style w:type="paragraph" w:styleId="1">
    <w:name w:val="heading 1"/>
    <w:basedOn w:val="a"/>
    <w:next w:val="a"/>
    <w:qFormat/>
    <w:rsid w:val="000D4B26"/>
    <w:pPr>
      <w:spacing w:before="100" w:beforeAutospacing="1" w:after="100" w:afterAutospacing="1" w:line="240" w:lineRule="auto"/>
      <w:ind w:left="0" w:firstLineChars="0" w:firstLine="0"/>
      <w:jc w:val="left"/>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0D4B26"/>
    <w:rPr>
      <w:rFonts w:ascii="宋体" w:hAnsi="Courier New" w:cs="宋体"/>
    </w:rPr>
  </w:style>
  <w:style w:type="paragraph" w:styleId="a4">
    <w:name w:val="footer"/>
    <w:basedOn w:val="a"/>
    <w:qFormat/>
    <w:rsid w:val="000D4B26"/>
    <w:pPr>
      <w:tabs>
        <w:tab w:val="center" w:pos="4153"/>
        <w:tab w:val="right" w:pos="8306"/>
      </w:tabs>
      <w:snapToGrid w:val="0"/>
      <w:spacing w:line="240" w:lineRule="atLeast"/>
      <w:jc w:val="left"/>
    </w:pPr>
    <w:rPr>
      <w:sz w:val="18"/>
      <w:szCs w:val="18"/>
    </w:rPr>
  </w:style>
  <w:style w:type="paragraph" w:styleId="a5">
    <w:name w:val="header"/>
    <w:basedOn w:val="a"/>
    <w:qFormat/>
    <w:rsid w:val="000D4B26"/>
    <w:pPr>
      <w:pBdr>
        <w:bottom w:val="single" w:sz="6" w:space="1" w:color="auto"/>
      </w:pBdr>
      <w:tabs>
        <w:tab w:val="center" w:pos="4153"/>
        <w:tab w:val="right" w:pos="8306"/>
      </w:tabs>
      <w:snapToGrid w:val="0"/>
      <w:spacing w:line="240" w:lineRule="atLeast"/>
      <w:jc w:val="center"/>
    </w:pPr>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1535</TotalTime>
  <Pages>8</Pages>
  <Words>542</Words>
  <Characters>3096</Characters>
  <Application>Microsoft Office Word</Application>
  <DocSecurity>0</DocSecurity>
  <Lines>25</Lines>
  <Paragraphs>7</Paragraphs>
  <ScaleCrop>false</ScaleCrop>
  <Company/>
  <LinksUpToDate>false</LinksUpToDate>
  <CharactersWithSpaces>3631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2018-12-07T02:18:00Z</cp:lastPrinted>
  <dcterms:created xsi:type="dcterms:W3CDTF">2018-12-04T08:22:00Z</dcterms:created>
  <dcterms:modified xsi:type="dcterms:W3CDTF">2018-12-07T02:18:00Z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