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sz w:val="24"/>
          <w:szCs w:val="24"/>
        </w:rPr>
      </w:pPr>
    </w:p>
    <w:tbl>
      <w:tblPr>
        <w:tblStyle w:val="13"/>
        <w:tblW w:w="9657" w:type="dxa"/>
        <w:jc w:val="center"/>
        <w:tblCellSpacing w:w="0" w:type="dxa"/>
        <w:tblInd w:w="75" w:type="dxa"/>
        <w:shd w:val="clear" w:color="auto" w:fill="auto"/>
        <w:tblLayout w:type="fixed"/>
        <w:tblCellMar>
          <w:top w:w="0" w:type="dxa"/>
          <w:left w:w="0" w:type="dxa"/>
          <w:bottom w:w="0" w:type="dxa"/>
          <w:right w:w="0" w:type="dxa"/>
        </w:tblCellMar>
      </w:tblPr>
      <w:tblGrid>
        <w:gridCol w:w="9657"/>
      </w:tblGrid>
      <w:tr>
        <w:tblPrEx>
          <w:shd w:val="clear" w:color="auto" w:fill="auto"/>
          <w:tblLayout w:type="fixed"/>
          <w:tblCellMar>
            <w:top w:w="0" w:type="dxa"/>
            <w:left w:w="0" w:type="dxa"/>
            <w:bottom w:w="0" w:type="dxa"/>
            <w:right w:w="0" w:type="dxa"/>
          </w:tblCellMar>
        </w:tblPrEx>
        <w:trPr>
          <w:trHeight w:val="1200" w:hRule="atLeast"/>
          <w:tblCellSpacing w:w="0" w:type="dxa"/>
          <w:jc w:val="center"/>
        </w:trPr>
        <w:tc>
          <w:tcPr>
            <w:tcW w:w="9657" w:type="dxa"/>
            <w:shd w:val="clear" w:color="auto" w:fill="auto"/>
            <w:tcMar>
              <w:top w:w="300" w:type="dxa"/>
              <w:left w:w="750" w:type="dxa"/>
              <w:bottom w:w="225" w:type="dxa"/>
              <w:right w:w="900" w:type="dxa"/>
            </w:tcMar>
            <w:vAlign w:val="center"/>
          </w:tcPr>
          <w:p>
            <w:pPr>
              <w:keepNext w:val="0"/>
              <w:keepLines w:val="0"/>
              <w:widowControl/>
              <w:suppressLineNumbers w:val="0"/>
              <w:spacing w:line="600" w:lineRule="atLeast"/>
              <w:jc w:val="both"/>
              <w:rPr>
                <w:rFonts w:ascii="微软雅黑" w:hAnsi="微软雅黑" w:eastAsia="微软雅黑" w:cs="微软雅黑"/>
                <w:b/>
                <w:color w:val="1285CD"/>
                <w:sz w:val="28"/>
                <w:szCs w:val="28"/>
              </w:rPr>
            </w:pPr>
            <w:r>
              <w:rPr>
                <w:rFonts w:hint="eastAsia" w:ascii="仿宋_GB2312" w:hAnsi="仿宋_GB2312" w:eastAsia="仿宋_GB2312" w:cs="仿宋_GB2312"/>
                <w:b w:val="0"/>
                <w:bCs w:val="0"/>
                <w:sz w:val="28"/>
                <w:szCs w:val="28"/>
                <w:lang w:val="en-US" w:eastAsia="zh-CN"/>
              </w:rPr>
              <w:t xml:space="preserve">           </w:t>
            </w:r>
            <w:r>
              <w:rPr>
                <w:rFonts w:hint="eastAsia" w:ascii="宋体" w:hAnsi="宋体" w:eastAsia="宋体" w:cs="宋体"/>
                <w:b w:val="0"/>
                <w:bCs w:val="0"/>
                <w:sz w:val="28"/>
                <w:szCs w:val="28"/>
                <w:lang w:val="en-US" w:eastAsia="zh-CN"/>
              </w:rPr>
              <w:t xml:space="preserve">  </w:t>
            </w:r>
            <w:bookmarkStart w:id="0" w:name="_GoBack"/>
            <w:r>
              <w:rPr>
                <w:rFonts w:hint="eastAsia" w:ascii="宋体" w:hAnsi="宋体" w:eastAsia="宋体" w:cs="宋体"/>
                <w:color w:val="auto"/>
                <w:sz w:val="32"/>
                <w:szCs w:val="32"/>
              </w:rPr>
              <w:t>新邵县坪上镇庙山村垃圾转运站建设项目</w:t>
            </w:r>
            <w:r>
              <w:rPr>
                <w:rFonts w:hint="eastAsia" w:ascii="宋体" w:hAnsi="宋体" w:eastAsia="宋体" w:cs="宋体"/>
                <w:b/>
                <w:color w:val="1285CD"/>
                <w:kern w:val="0"/>
                <w:sz w:val="28"/>
                <w:szCs w:val="28"/>
                <w:lang w:val="en-US" w:eastAsia="zh-CN" w:bidi="ar"/>
              </w:rPr>
              <w:t xml:space="preserve"> </w:t>
            </w:r>
            <w:bookmarkEnd w:id="0"/>
          </w:p>
        </w:tc>
      </w:tr>
      <w:tr>
        <w:tblPrEx>
          <w:shd w:val="clear" w:color="auto" w:fill="auto"/>
          <w:tblLayout w:type="fixed"/>
          <w:tblCellMar>
            <w:top w:w="0" w:type="dxa"/>
            <w:left w:w="0" w:type="dxa"/>
            <w:bottom w:w="0" w:type="dxa"/>
            <w:right w:w="0" w:type="dxa"/>
          </w:tblCellMar>
        </w:tblPrEx>
        <w:trPr>
          <w:tblCellSpacing w:w="0" w:type="dxa"/>
          <w:jc w:val="center"/>
        </w:trPr>
        <w:tc>
          <w:tcPr>
            <w:tcW w:w="9657" w:type="dxa"/>
            <w:shd w:val="clear" w:color="auto" w:fill="auto"/>
            <w:tcMar>
              <w:top w:w="180" w:type="dxa"/>
            </w:tcMar>
            <w:vAlign w:val="center"/>
          </w:tcPr>
          <w:tbl>
            <w:tblPr>
              <w:tblStyle w:val="13"/>
              <w:tblW w:w="8691" w:type="dxa"/>
              <w:jc w:val="center"/>
              <w:tblCellSpacing w:w="0" w:type="dxa"/>
              <w:tblInd w:w="483" w:type="dxa"/>
              <w:shd w:val="clear" w:color="auto" w:fill="auto"/>
              <w:tblLayout w:type="fixed"/>
              <w:tblCellMar>
                <w:top w:w="0" w:type="dxa"/>
                <w:left w:w="0" w:type="dxa"/>
                <w:bottom w:w="0" w:type="dxa"/>
                <w:right w:w="0" w:type="dxa"/>
              </w:tblCellMar>
            </w:tblPr>
            <w:tblGrid>
              <w:gridCol w:w="8691"/>
            </w:tblGrid>
            <w:tr>
              <w:tblPrEx>
                <w:shd w:val="clear" w:color="auto" w:fill="auto"/>
                <w:tblLayout w:type="fixed"/>
                <w:tblCellMar>
                  <w:top w:w="0" w:type="dxa"/>
                  <w:left w:w="0" w:type="dxa"/>
                  <w:bottom w:w="0" w:type="dxa"/>
                  <w:right w:w="0" w:type="dxa"/>
                </w:tblCellMar>
              </w:tblPrEx>
              <w:trPr>
                <w:tblCellSpacing w:w="0" w:type="dxa"/>
                <w:jc w:val="center"/>
              </w:trPr>
              <w:tc>
                <w:tcPr>
                  <w:tcW w:w="8691" w:type="dxa"/>
                  <w:shd w:val="clear" w:color="auto" w:fill="auto"/>
                  <w:vAlign w:val="center"/>
                </w:tcPr>
                <w:p>
                  <w:pPr>
                    <w:pStyle w:val="5"/>
                    <w:keepNext w:val="0"/>
                    <w:keepLines w:val="0"/>
                    <w:widowControl/>
                    <w:suppressLineNumbers w:val="0"/>
                    <w:spacing w:before="0" w:beforeAutospacing="0" w:after="0" w:afterAutospacing="0" w:line="420" w:lineRule="atLeast"/>
                    <w:ind w:right="0"/>
                    <w:jc w:val="both"/>
                    <w:rPr>
                      <w:sz w:val="28"/>
                      <w:szCs w:val="28"/>
                    </w:rPr>
                  </w:pPr>
                  <w:r>
                    <w:rPr>
                      <w:rFonts w:hint="eastAsia" w:ascii="宋体" w:hAnsi="宋体" w:eastAsia="宋体" w:cs="宋体"/>
                      <w:color w:val="000000"/>
                      <w:sz w:val="28"/>
                      <w:szCs w:val="28"/>
                    </w:rPr>
                    <w:t>经审议，我</w:t>
                  </w:r>
                  <w:r>
                    <w:rPr>
                      <w:rFonts w:hint="eastAsia" w:ascii="宋体" w:hAnsi="宋体" w:eastAsia="宋体" w:cs="宋体"/>
                      <w:color w:val="000000"/>
                      <w:sz w:val="28"/>
                      <w:szCs w:val="28"/>
                      <w:lang w:eastAsia="zh-CN"/>
                    </w:rPr>
                    <w:t>局</w:t>
                  </w:r>
                  <w:r>
                    <w:rPr>
                      <w:rFonts w:hint="eastAsia" w:ascii="宋体" w:hAnsi="宋体" w:eastAsia="宋体" w:cs="宋体"/>
                      <w:color w:val="000000"/>
                      <w:sz w:val="28"/>
                      <w:szCs w:val="28"/>
                    </w:rPr>
                    <w:t>拟于近日内批准《</w:t>
                  </w:r>
                  <w:r>
                    <w:rPr>
                      <w:rFonts w:hint="eastAsia" w:ascii="宋体" w:hAnsi="宋体" w:eastAsia="宋体" w:cs="宋体"/>
                      <w:color w:val="auto"/>
                      <w:sz w:val="30"/>
                      <w:szCs w:val="30"/>
                    </w:rPr>
                    <w:t>新邵县坪上镇庙山村垃圾转运站建设项目</w:t>
                  </w:r>
                  <w:r>
                    <w:rPr>
                      <w:rFonts w:hint="eastAsia" w:ascii="宋体" w:hAnsi="宋体" w:eastAsia="宋体" w:cs="宋体"/>
                      <w:color w:val="000000"/>
                      <w:sz w:val="28"/>
                      <w:szCs w:val="28"/>
                    </w:rPr>
                    <w:t>环境影响报告</w:t>
                  </w:r>
                  <w:r>
                    <w:rPr>
                      <w:rFonts w:hint="eastAsia" w:ascii="宋体" w:hAnsi="宋体" w:eastAsia="宋体" w:cs="宋体"/>
                      <w:color w:val="000000"/>
                      <w:sz w:val="28"/>
                      <w:szCs w:val="28"/>
                      <w:lang w:eastAsia="zh-CN"/>
                    </w:rPr>
                    <w:t>表</w:t>
                  </w:r>
                  <w:r>
                    <w:rPr>
                      <w:rFonts w:hint="eastAsia" w:ascii="宋体" w:hAnsi="宋体" w:eastAsia="宋体" w:cs="宋体"/>
                      <w:color w:val="000000"/>
                      <w:sz w:val="28"/>
                      <w:szCs w:val="28"/>
                    </w:rPr>
                    <w:t>》，现就项目环评相关情况予以公示5个工作日。如有意见，请在公示期内向我</w:t>
                  </w:r>
                  <w:r>
                    <w:rPr>
                      <w:rFonts w:hint="eastAsia" w:ascii="宋体" w:hAnsi="宋体" w:eastAsia="宋体" w:cs="宋体"/>
                      <w:color w:val="000000"/>
                      <w:sz w:val="28"/>
                      <w:szCs w:val="28"/>
                      <w:lang w:eastAsia="zh-CN"/>
                    </w:rPr>
                    <w:t>局</w:t>
                  </w:r>
                  <w:r>
                    <w:rPr>
                      <w:rFonts w:hint="eastAsia" w:ascii="宋体" w:hAnsi="宋体" w:eastAsia="宋体" w:cs="宋体"/>
                      <w:color w:val="000000"/>
                      <w:sz w:val="28"/>
                      <w:szCs w:val="28"/>
                    </w:rPr>
                    <w:t>来信来电进行反映。</w:t>
                  </w:r>
                </w:p>
                <w:p>
                  <w:pPr>
                    <w:pStyle w:val="5"/>
                    <w:keepNext w:val="0"/>
                    <w:keepLines w:val="0"/>
                    <w:widowControl/>
                    <w:suppressLineNumbers w:val="0"/>
                    <w:spacing w:line="420" w:lineRule="atLeast"/>
                    <w:jc w:val="left"/>
                    <w:rPr>
                      <w:sz w:val="28"/>
                      <w:szCs w:val="28"/>
                    </w:rPr>
                  </w:pPr>
                  <w:r>
                    <w:rPr>
                      <w:rFonts w:hint="eastAsia" w:ascii="宋体" w:hAnsi="宋体" w:eastAsia="宋体" w:cs="宋体"/>
                      <w:color w:val="000000"/>
                      <w:sz w:val="28"/>
                      <w:szCs w:val="28"/>
                    </w:rPr>
                    <w:t>联系地址：</w:t>
                  </w:r>
                  <w:r>
                    <w:rPr>
                      <w:rFonts w:hint="eastAsia" w:ascii="宋体" w:hAnsi="宋体" w:eastAsia="宋体" w:cs="宋体"/>
                      <w:color w:val="000000"/>
                      <w:sz w:val="28"/>
                      <w:szCs w:val="28"/>
                      <w:lang w:eastAsia="zh-CN"/>
                    </w:rPr>
                    <w:t>新邵县酿溪镇沿江路</w:t>
                  </w:r>
                  <w:r>
                    <w:rPr>
                      <w:rFonts w:hint="eastAsia" w:ascii="宋体" w:hAnsi="宋体" w:eastAsia="宋体" w:cs="宋体"/>
                      <w:color w:val="000000"/>
                      <w:sz w:val="28"/>
                      <w:szCs w:val="28"/>
                    </w:rPr>
                    <w:t>8号  邮编：4</w:t>
                  </w:r>
                  <w:r>
                    <w:rPr>
                      <w:rFonts w:hint="eastAsia" w:ascii="宋体" w:hAnsi="宋体" w:eastAsia="宋体" w:cs="宋体"/>
                      <w:color w:val="000000"/>
                      <w:sz w:val="28"/>
                      <w:szCs w:val="28"/>
                      <w:lang w:val="en-US" w:eastAsia="zh-CN"/>
                    </w:rPr>
                    <w:t>22900</w:t>
                  </w:r>
                </w:p>
                <w:p>
                  <w:pPr>
                    <w:pStyle w:val="5"/>
                    <w:keepNext w:val="0"/>
                    <w:keepLines w:val="0"/>
                    <w:widowControl/>
                    <w:suppressLineNumbers w:val="0"/>
                    <w:spacing w:line="420" w:lineRule="atLeast"/>
                    <w:jc w:val="left"/>
                    <w:rPr>
                      <w:sz w:val="28"/>
                      <w:szCs w:val="28"/>
                    </w:rPr>
                  </w:pPr>
                  <w:r>
                    <w:rPr>
                      <w:rFonts w:hint="eastAsia" w:ascii="宋体" w:hAnsi="宋体" w:eastAsia="宋体" w:cs="宋体"/>
                      <w:color w:val="000000"/>
                      <w:sz w:val="28"/>
                      <w:szCs w:val="28"/>
                    </w:rPr>
                    <w:t>联系电话：073</w:t>
                  </w: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3661403</w:t>
                  </w:r>
                </w:p>
                <w:p>
                  <w:pPr>
                    <w:pStyle w:val="5"/>
                    <w:keepNext w:val="0"/>
                    <w:keepLines w:val="0"/>
                    <w:widowControl/>
                    <w:suppressLineNumbers w:val="0"/>
                    <w:spacing w:line="420" w:lineRule="atLeast"/>
                    <w:jc w:val="left"/>
                    <w:rPr>
                      <w:sz w:val="28"/>
                      <w:szCs w:val="28"/>
                    </w:rPr>
                  </w:pPr>
                  <w:r>
                    <w:rPr>
                      <w:rFonts w:hint="eastAsia" w:ascii="宋体" w:hAnsi="宋体" w:eastAsia="宋体" w:cs="宋体"/>
                      <w:color w:val="000000"/>
                      <w:sz w:val="28"/>
                      <w:szCs w:val="28"/>
                    </w:rPr>
                    <w:t>听证告知：依据《中华人民共和国行政许可法》，自公示之日起五个工作日内申请人、利害关系人可对以下拟作出的建设项目环境影响评价文件批复决定提出听证申请。</w:t>
                  </w:r>
                </w:p>
                <w:tbl>
                  <w:tblPr>
                    <w:tblStyle w:val="13"/>
                    <w:tblW w:w="8675" w:type="dxa"/>
                    <w:tblInd w:w="1"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
                  <w:tblGrid>
                    <w:gridCol w:w="3018"/>
                    <w:gridCol w:w="565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项目名称</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spacing w:before="0" w:beforeAutospacing="0" w:after="0" w:afterAutospacing="0" w:line="420" w:lineRule="atLeast"/>
                          <w:ind w:left="0" w:right="0"/>
                          <w:jc w:val="both"/>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新邵县坪上镇庙山村垃圾转运站建设项目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建设地点</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新邵县坪上镇庙山村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建设单位</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新邵桑德环卫工程有限公司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环境影响评价机构</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湖南道和环保科技有限公司</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项目概况</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u w:val="none"/>
                          </w:rPr>
                          <w:t>新邵县坪上镇庙山村垃圾转运站原选址于坪上镇岱水桥村，由于占用基本农田和当地坟山，现另行选址于坪上镇庙山村</w:t>
                        </w:r>
                        <w:r>
                          <w:rPr>
                            <w:rFonts w:hint="eastAsia" w:ascii="仿宋_GB2312" w:hAnsi="仿宋_GB2312" w:eastAsia="仿宋_GB2312" w:cs="仿宋_GB2312"/>
                            <w:color w:val="auto"/>
                            <w:kern w:val="0"/>
                            <w:sz w:val="28"/>
                            <w:szCs w:val="28"/>
                            <w:u w:val="none"/>
                          </w:rPr>
                          <w:t>，重新进行环境影响评价。</w:t>
                        </w:r>
                        <w:r>
                          <w:rPr>
                            <w:rFonts w:hint="eastAsia" w:ascii="仿宋_GB2312" w:hAnsi="仿宋_GB2312" w:eastAsia="仿宋_GB2312" w:cs="仿宋_GB2312"/>
                            <w:color w:val="auto"/>
                            <w:sz w:val="28"/>
                            <w:szCs w:val="28"/>
                          </w:rPr>
                          <w:t>该项目</w:t>
                        </w:r>
                        <w:r>
                          <w:rPr>
                            <w:rFonts w:hint="eastAsia" w:ascii="仿宋_GB2312" w:hAnsi="仿宋_GB2312" w:eastAsia="仿宋_GB2312" w:cs="仿宋_GB2312"/>
                            <w:color w:val="auto"/>
                            <w:sz w:val="28"/>
                            <w:szCs w:val="28"/>
                            <w:lang w:eastAsia="zh-CN"/>
                          </w:rPr>
                          <w:t>占地</w:t>
                        </w:r>
                        <w:r>
                          <w:rPr>
                            <w:rFonts w:hint="eastAsia" w:ascii="仿宋_GB2312" w:hAnsi="仿宋_GB2312" w:eastAsia="仿宋_GB2312" w:cs="仿宋_GB2312"/>
                            <w:color w:val="auto"/>
                            <w:sz w:val="28"/>
                            <w:szCs w:val="28"/>
                          </w:rPr>
                          <w:t>2531.32m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总建筑面积352.62m</w:t>
                        </w:r>
                        <w:r>
                          <w:rPr>
                            <w:rFonts w:hint="eastAsia" w:ascii="仿宋_GB2312" w:hAnsi="仿宋_GB2312" w:eastAsia="仿宋_GB2312" w:cs="仿宋_GB2312"/>
                            <w:color w:val="auto"/>
                            <w:sz w:val="28"/>
                            <w:szCs w:val="28"/>
                            <w:vertAlign w:val="superscript"/>
                          </w:rPr>
                          <w:t>2</w:t>
                        </w:r>
                        <w:r>
                          <w:rPr>
                            <w:rFonts w:hint="eastAsia" w:ascii="仿宋_GB2312" w:hAnsi="仿宋_GB2312" w:eastAsia="仿宋_GB2312" w:cs="仿宋_GB2312"/>
                            <w:color w:val="auto"/>
                            <w:sz w:val="28"/>
                            <w:szCs w:val="28"/>
                            <w:vertAlign w:val="baseline"/>
                            <w:lang w:eastAsia="zh-CN"/>
                          </w:rPr>
                          <w:t>，</w:t>
                        </w:r>
                        <w:r>
                          <w:rPr>
                            <w:rFonts w:hint="eastAsia" w:ascii="仿宋_GB2312" w:hAnsi="仿宋_GB2312" w:eastAsia="仿宋_GB2312" w:cs="仿宋_GB2312"/>
                            <w:color w:val="auto"/>
                            <w:sz w:val="28"/>
                            <w:szCs w:val="28"/>
                          </w:rPr>
                          <w:t>总投资1200万元，拟于新邵县坪上镇庙山村建设1座垂直压缩式转运站，主要建设内容为加工车间、再生资源回收棚及配套设施等。对坪上镇高铁新城及镇北部农村生活垃圾进行收集（道路系统不满足收运要求的农村地区不收集）、转运，</w:t>
                        </w:r>
                        <w:r>
                          <w:rPr>
                            <w:rFonts w:hint="eastAsia" w:ascii="仿宋_GB2312" w:hAnsi="仿宋_GB2312" w:eastAsia="仿宋_GB2312" w:cs="仿宋_GB2312"/>
                            <w:color w:val="auto"/>
                            <w:sz w:val="28"/>
                            <w:szCs w:val="28"/>
                            <w:u w:val="none"/>
                          </w:rPr>
                          <w:t>设计运营年限为30年，预计2045年垃圾清运量为32.60t/a，转运站</w:t>
                        </w:r>
                        <w:r>
                          <w:rPr>
                            <w:rFonts w:hint="eastAsia" w:ascii="仿宋_GB2312" w:hAnsi="仿宋_GB2312" w:eastAsia="仿宋_GB2312" w:cs="仿宋_GB2312"/>
                            <w:color w:val="auto"/>
                            <w:sz w:val="28"/>
                            <w:szCs w:val="28"/>
                            <w:u w:val="none"/>
                            <w:lang w:eastAsia="zh-CN"/>
                          </w:rPr>
                          <w:t>最大</w:t>
                        </w:r>
                        <w:r>
                          <w:rPr>
                            <w:rFonts w:hint="eastAsia" w:ascii="仿宋_GB2312" w:hAnsi="仿宋_GB2312" w:eastAsia="仿宋_GB2312" w:cs="仿宋_GB2312"/>
                            <w:color w:val="auto"/>
                            <w:sz w:val="28"/>
                            <w:szCs w:val="28"/>
                            <w:u w:val="none"/>
                          </w:rPr>
                          <w:t>转运量为42.38t/d，转运站</w:t>
                        </w:r>
                        <w:r>
                          <w:rPr>
                            <w:rFonts w:hint="eastAsia" w:ascii="仿宋_GB2312" w:hAnsi="仿宋_GB2312" w:eastAsia="仿宋_GB2312" w:cs="仿宋_GB2312"/>
                            <w:color w:val="auto"/>
                            <w:sz w:val="28"/>
                            <w:szCs w:val="28"/>
                            <w:u w:val="none"/>
                            <w:lang w:eastAsia="zh-CN"/>
                          </w:rPr>
                          <w:t>设计</w:t>
                        </w:r>
                        <w:r>
                          <w:rPr>
                            <w:rFonts w:hint="eastAsia" w:ascii="仿宋_GB2312" w:hAnsi="仿宋_GB2312" w:eastAsia="仿宋_GB2312" w:cs="仿宋_GB2312"/>
                            <w:color w:val="auto"/>
                            <w:sz w:val="28"/>
                            <w:szCs w:val="28"/>
                            <w:u w:val="none"/>
                          </w:rPr>
                          <w:t>转运能力为80t/d。项目最近敏感点为项目</w:t>
                        </w:r>
                        <w:r>
                          <w:rPr>
                            <w:rFonts w:hint="eastAsia" w:ascii="仿宋_GB2312" w:hAnsi="仿宋_GB2312" w:eastAsia="仿宋_GB2312" w:cs="仿宋_GB2312"/>
                            <w:color w:val="auto"/>
                            <w:sz w:val="28"/>
                            <w:szCs w:val="28"/>
                            <w:highlight w:val="none"/>
                            <w:u w:val="none"/>
                            <w:lang w:val="en-US" w:eastAsia="zh-CN"/>
                          </w:rPr>
                          <w:t>厂界</w:t>
                        </w:r>
                        <w:r>
                          <w:rPr>
                            <w:rFonts w:hint="eastAsia" w:ascii="仿宋_GB2312" w:hAnsi="仿宋_GB2312" w:eastAsia="仿宋_GB2312" w:cs="仿宋_GB2312"/>
                            <w:color w:val="auto"/>
                            <w:sz w:val="28"/>
                            <w:szCs w:val="28"/>
                          </w:rPr>
                          <w:t>东面</w:t>
                        </w:r>
                        <w:r>
                          <w:rPr>
                            <w:rFonts w:hint="eastAsia" w:ascii="仿宋_GB2312" w:hAnsi="仿宋_GB2312" w:eastAsia="仿宋_GB2312" w:cs="仿宋_GB2312"/>
                            <w:color w:val="auto"/>
                            <w:sz w:val="28"/>
                            <w:szCs w:val="28"/>
                            <w:highlight w:val="none"/>
                            <w:u w:val="none"/>
                            <w:lang w:val="en-US" w:eastAsia="zh-CN"/>
                          </w:rPr>
                          <w:t>385</w:t>
                        </w:r>
                        <w:r>
                          <w:rPr>
                            <w:rFonts w:hint="eastAsia" w:ascii="仿宋_GB2312" w:hAnsi="仿宋_GB2312" w:eastAsia="仿宋_GB2312" w:cs="仿宋_GB2312"/>
                            <w:color w:val="auto"/>
                            <w:sz w:val="28"/>
                            <w:szCs w:val="28"/>
                            <w:highlight w:val="none"/>
                            <w:u w:val="none"/>
                          </w:rPr>
                          <w:t>m处</w:t>
                        </w:r>
                        <w:r>
                          <w:rPr>
                            <w:rFonts w:hint="eastAsia" w:ascii="仿宋_GB2312" w:hAnsi="仿宋_GB2312" w:eastAsia="仿宋_GB2312" w:cs="仿宋_GB2312"/>
                            <w:color w:val="auto"/>
                            <w:sz w:val="28"/>
                            <w:szCs w:val="28"/>
                          </w:rPr>
                          <w:t>庙山村</w:t>
                        </w:r>
                        <w:r>
                          <w:rPr>
                            <w:rFonts w:hint="eastAsia" w:ascii="仿宋_GB2312" w:hAnsi="仿宋_GB2312" w:eastAsia="仿宋_GB2312" w:cs="仿宋_GB2312"/>
                            <w:color w:val="auto"/>
                            <w:sz w:val="28"/>
                            <w:szCs w:val="28"/>
                            <w:highlight w:val="none"/>
                            <w:u w:val="none"/>
                          </w:rPr>
                          <w:t>居民点</w:t>
                        </w:r>
                        <w:r>
                          <w:rPr>
                            <w:rFonts w:hint="eastAsia" w:ascii="仿宋_GB2312" w:hAnsi="仿宋_GB2312" w:eastAsia="仿宋_GB2312" w:cs="仿宋_GB2312"/>
                            <w:color w:val="auto"/>
                            <w:sz w:val="28"/>
                            <w:szCs w:val="28"/>
                            <w:highlight w:val="none"/>
                            <w:u w:val="none"/>
                            <w:lang w:eastAsia="zh-CN"/>
                          </w:rPr>
                          <w:t>，</w:t>
                        </w:r>
                        <w:r>
                          <w:rPr>
                            <w:rFonts w:hint="eastAsia" w:ascii="仿宋_GB2312" w:hAnsi="仿宋_GB2312" w:eastAsia="仿宋_GB2312" w:cs="仿宋_GB2312"/>
                            <w:color w:val="000000"/>
                            <w:sz w:val="28"/>
                            <w:szCs w:val="28"/>
                            <w:u w:val="none"/>
                          </w:rPr>
                          <w:t>符合《生活垃圾转运站技术规范》</w:t>
                        </w:r>
                        <w:r>
                          <w:rPr>
                            <w:rFonts w:hint="eastAsia" w:ascii="仿宋_GB2312" w:hAnsi="仿宋_GB2312" w:eastAsia="仿宋_GB2312" w:cs="仿宋_GB2312"/>
                            <w:sz w:val="28"/>
                            <w:szCs w:val="28"/>
                            <w:u w:val="none"/>
                          </w:rPr>
                          <w:t>（CJJ/T47-2016）中“与相邻建筑物间隔≥10m”的要求。</w:t>
                        </w:r>
                        <w:r>
                          <w:rPr>
                            <w:rFonts w:hint="eastAsia" w:ascii="仿宋_GB2312" w:hAnsi="仿宋_GB2312" w:eastAsia="仿宋_GB2312" w:cs="仿宋_GB2312"/>
                            <w:b w:val="0"/>
                            <w:bCs/>
                            <w:sz w:val="28"/>
                            <w:szCs w:val="28"/>
                            <w:lang w:eastAsia="zh-CN"/>
                          </w:rPr>
                          <w:t>项目拟采用“户收集、村集中、镇转运、县市处理”收运处理模式。乡镇城区采用袋装分类固定容器定点定时的收集方式，各乡镇生活垃圾收集后送至垃圾中转站，</w:t>
                        </w:r>
                        <w:r>
                          <w:rPr>
                            <w:rFonts w:hint="eastAsia" w:ascii="仿宋_GB2312" w:hAnsi="仿宋_GB2312" w:eastAsia="仿宋_GB2312" w:cs="仿宋_GB2312"/>
                            <w:spacing w:val="8"/>
                            <w:sz w:val="28"/>
                            <w:szCs w:val="28"/>
                            <w:lang w:eastAsia="zh-CN"/>
                          </w:rPr>
                          <w:t>在新邵县垃圾焚烧发电厂建成之前（预计</w:t>
                        </w:r>
                        <w:r>
                          <w:rPr>
                            <w:rFonts w:hint="eastAsia" w:ascii="仿宋_GB2312" w:hAnsi="仿宋_GB2312" w:eastAsia="仿宋_GB2312" w:cs="仿宋_GB2312"/>
                            <w:spacing w:val="8"/>
                            <w:sz w:val="28"/>
                            <w:szCs w:val="28"/>
                            <w:lang w:val="en-US" w:eastAsia="zh-CN"/>
                          </w:rPr>
                          <w:t>2018年建成</w:t>
                        </w:r>
                        <w:r>
                          <w:rPr>
                            <w:rFonts w:hint="eastAsia" w:ascii="仿宋_GB2312" w:hAnsi="仿宋_GB2312" w:eastAsia="仿宋_GB2312" w:cs="仿宋_GB2312"/>
                            <w:spacing w:val="8"/>
                            <w:sz w:val="28"/>
                            <w:szCs w:val="28"/>
                            <w:lang w:eastAsia="zh-CN"/>
                          </w:rPr>
                          <w:t>），</w:t>
                        </w:r>
                        <w:r>
                          <w:rPr>
                            <w:rFonts w:hint="eastAsia" w:ascii="仿宋_GB2312" w:hAnsi="仿宋_GB2312" w:eastAsia="仿宋_GB2312" w:cs="仿宋_GB2312"/>
                            <w:spacing w:val="8"/>
                            <w:sz w:val="28"/>
                            <w:szCs w:val="28"/>
                          </w:rPr>
                          <w:t>垃圾</w:t>
                        </w:r>
                        <w:r>
                          <w:rPr>
                            <w:rFonts w:hint="eastAsia" w:ascii="仿宋_GB2312" w:hAnsi="仿宋_GB2312" w:eastAsia="仿宋_GB2312" w:cs="仿宋_GB2312"/>
                            <w:spacing w:val="8"/>
                            <w:sz w:val="28"/>
                            <w:szCs w:val="28"/>
                            <w:lang w:eastAsia="zh-CN"/>
                          </w:rPr>
                          <w:t>转</w:t>
                        </w:r>
                        <w:r>
                          <w:rPr>
                            <w:rFonts w:hint="eastAsia" w:ascii="仿宋_GB2312" w:hAnsi="仿宋_GB2312" w:eastAsia="仿宋_GB2312" w:cs="仿宋_GB2312"/>
                            <w:spacing w:val="8"/>
                            <w:sz w:val="28"/>
                            <w:szCs w:val="28"/>
                          </w:rPr>
                          <w:t>运至市垃圾填埋场集中处理，</w:t>
                        </w:r>
                        <w:r>
                          <w:rPr>
                            <w:rFonts w:hint="eastAsia" w:ascii="仿宋_GB2312" w:hAnsi="仿宋_GB2312" w:eastAsia="仿宋_GB2312" w:cs="仿宋_GB2312"/>
                            <w:spacing w:val="8"/>
                            <w:sz w:val="28"/>
                            <w:szCs w:val="28"/>
                            <w:lang w:eastAsia="zh-CN"/>
                          </w:rPr>
                          <w:t>待新邵县垃圾焚烧发电厂建成之后，</w:t>
                        </w:r>
                        <w:r>
                          <w:rPr>
                            <w:rFonts w:hint="eastAsia" w:ascii="仿宋_GB2312" w:hAnsi="仿宋_GB2312" w:eastAsia="仿宋_GB2312" w:cs="仿宋_GB2312"/>
                            <w:spacing w:val="8"/>
                            <w:sz w:val="28"/>
                            <w:szCs w:val="28"/>
                          </w:rPr>
                          <w:t>垃圾</w:t>
                        </w:r>
                        <w:r>
                          <w:rPr>
                            <w:rFonts w:hint="eastAsia" w:ascii="仿宋_GB2312" w:hAnsi="仿宋_GB2312" w:eastAsia="仿宋_GB2312" w:cs="仿宋_GB2312"/>
                            <w:spacing w:val="8"/>
                            <w:sz w:val="28"/>
                            <w:szCs w:val="28"/>
                            <w:lang w:eastAsia="zh-CN"/>
                          </w:rPr>
                          <w:t>转</w:t>
                        </w:r>
                        <w:r>
                          <w:rPr>
                            <w:rFonts w:hint="eastAsia" w:ascii="仿宋_GB2312" w:hAnsi="仿宋_GB2312" w:eastAsia="仿宋_GB2312" w:cs="仿宋_GB2312"/>
                            <w:spacing w:val="8"/>
                            <w:sz w:val="28"/>
                            <w:szCs w:val="28"/>
                          </w:rPr>
                          <w:t>运至</w:t>
                        </w:r>
                        <w:r>
                          <w:rPr>
                            <w:rFonts w:hint="eastAsia" w:ascii="仿宋_GB2312" w:hAnsi="仿宋_GB2312" w:eastAsia="仿宋_GB2312" w:cs="仿宋_GB2312"/>
                            <w:spacing w:val="8"/>
                            <w:sz w:val="28"/>
                            <w:szCs w:val="28"/>
                            <w:lang w:eastAsia="zh-CN"/>
                          </w:rPr>
                          <w:t>新邵县垃圾焚烧发电厂处理。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主要环境影响及预防或者减轻不良环境影响的对策和措施</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200" w:right="0" w:rightChars="0"/>
                          <w:outlineLvl w:val="9"/>
                          <w:rPr>
                            <w:rFonts w:hint="eastAsia" w:ascii="仿宋_GB2312" w:hAnsi="仿宋_GB2312" w:eastAsia="仿宋_GB2312" w:cs="仿宋_GB2312"/>
                            <w:color w:val="000000"/>
                            <w:spacing w:val="-3"/>
                            <w:sz w:val="28"/>
                            <w:szCs w:val="28"/>
                            <w:lang w:eastAsia="zh-CN"/>
                          </w:rPr>
                        </w:pPr>
                        <w:r>
                          <w:rPr>
                            <w:rFonts w:hint="eastAsia" w:ascii="仿宋_GB2312" w:hAnsi="仿宋_GB2312" w:eastAsia="仿宋_GB2312" w:cs="仿宋_GB2312"/>
                            <w:color w:val="000000"/>
                            <w:spacing w:val="-3"/>
                            <w:sz w:val="28"/>
                            <w:szCs w:val="28"/>
                            <w:lang w:eastAsia="zh-CN"/>
                          </w:rPr>
                          <w:t>施工期</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639"/>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pacing w:val="-3"/>
                            <w:sz w:val="28"/>
                            <w:szCs w:val="28"/>
                            <w:lang w:val="en-US" w:eastAsia="zh-CN"/>
                          </w:rPr>
                          <w:t>废气：</w:t>
                        </w:r>
                        <w:r>
                          <w:rPr>
                            <w:rFonts w:hint="eastAsia" w:ascii="仿宋_GB2312" w:hAnsi="仿宋_GB2312" w:eastAsia="仿宋_GB2312" w:cs="仿宋_GB2312"/>
                            <w:sz w:val="28"/>
                            <w:szCs w:val="28"/>
                          </w:rPr>
                          <w:t>施工工地实施围挡施工，并定时洒水降尘，对施工场地的运输车辆采取洗车措施、施工场内洒落的土料定时进行人工清扫</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right="0" w:rightChars="0" w:firstLine="639"/>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pacing w:val="-3"/>
                            <w:sz w:val="28"/>
                            <w:szCs w:val="28"/>
                            <w:lang w:eastAsia="zh-CN"/>
                          </w:rPr>
                          <w:t>废水：</w:t>
                        </w:r>
                        <w:r>
                          <w:rPr>
                            <w:rFonts w:hint="eastAsia" w:ascii="仿宋_GB2312" w:hAnsi="仿宋_GB2312" w:eastAsia="仿宋_GB2312" w:cs="仿宋_GB2312"/>
                            <w:sz w:val="28"/>
                            <w:szCs w:val="28"/>
                          </w:rPr>
                          <w:t>施工现场</w:t>
                        </w:r>
                        <w:r>
                          <w:rPr>
                            <w:rFonts w:hint="eastAsia" w:ascii="仿宋_GB2312" w:hAnsi="仿宋_GB2312" w:eastAsia="仿宋_GB2312" w:cs="仿宋_GB2312"/>
                            <w:sz w:val="28"/>
                            <w:szCs w:val="28"/>
                            <w:lang w:eastAsia="zh-CN"/>
                          </w:rPr>
                          <w:t>修</w:t>
                        </w:r>
                        <w:r>
                          <w:rPr>
                            <w:rFonts w:hint="eastAsia" w:ascii="仿宋_GB2312" w:hAnsi="仿宋_GB2312" w:eastAsia="仿宋_GB2312" w:cs="仿宋_GB2312"/>
                            <w:sz w:val="28"/>
                            <w:szCs w:val="28"/>
                          </w:rPr>
                          <w:t>建沉淀池，将施工机械冲洗废水以及降雨时产生的泥浆水进行沉淀处理后回用。土方施工阶段尽量避开雨季。施工废水经沉淀后回用或达标排放，严禁污水</w:t>
                        </w:r>
                        <w:r>
                          <w:rPr>
                            <w:rFonts w:hint="eastAsia" w:ascii="仿宋_GB2312" w:hAnsi="仿宋_GB2312" w:eastAsia="仿宋_GB2312" w:cs="仿宋_GB2312"/>
                            <w:sz w:val="28"/>
                            <w:szCs w:val="28"/>
                            <w:lang w:eastAsia="zh-CN"/>
                          </w:rPr>
                          <w:t>直接外排</w:t>
                        </w:r>
                        <w:r>
                          <w:rPr>
                            <w:rFonts w:hint="eastAsia" w:ascii="仿宋_GB2312" w:hAnsi="仿宋_GB2312" w:eastAsia="仿宋_GB2312" w:cs="仿宋_GB2312"/>
                            <w:sz w:val="28"/>
                            <w:szCs w:val="28"/>
                          </w:rPr>
                          <w:t>，影响地表水质及景观环境。</w:t>
                        </w:r>
                      </w:p>
                      <w:p>
                        <w:pPr>
                          <w:pStyle w:val="4"/>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textAlignment w:val="baseline"/>
                          <w:outlineLvl w:val="9"/>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噪声：</w:t>
                        </w:r>
                        <w:r>
                          <w:rPr>
                            <w:rFonts w:hint="eastAsia" w:ascii="仿宋_GB2312" w:hAnsi="仿宋_GB2312" w:eastAsia="仿宋_GB2312" w:cs="仿宋_GB2312"/>
                            <w:sz w:val="28"/>
                            <w:szCs w:val="28"/>
                          </w:rPr>
                          <w:t>合理选择施工方法、施工时间，尽量选用低噪声设备，在临敏感目标一侧设置</w:t>
                        </w:r>
                        <w:r>
                          <w:rPr>
                            <w:rFonts w:hint="eastAsia" w:ascii="仿宋_GB2312" w:hAnsi="仿宋_GB2312" w:eastAsia="仿宋_GB2312" w:cs="仿宋_GB2312"/>
                            <w:sz w:val="28"/>
                            <w:szCs w:val="28"/>
                            <w:lang w:eastAsia="zh-CN"/>
                          </w:rPr>
                          <w:t>隔声</w:t>
                        </w:r>
                        <w:r>
                          <w:rPr>
                            <w:rFonts w:hint="eastAsia" w:ascii="仿宋_GB2312" w:hAnsi="仿宋_GB2312" w:eastAsia="仿宋_GB2312" w:cs="仿宋_GB2312"/>
                            <w:sz w:val="28"/>
                            <w:szCs w:val="28"/>
                          </w:rPr>
                          <w:t>声障；在中午12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00~14:00 及夜间 22：00～翌日 6：00 周边居民正常休息时间内禁止施工</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000000"/>
                            <w:kern w:val="0"/>
                            <w:sz w:val="28"/>
                            <w:szCs w:val="28"/>
                            <w:lang w:val="en-US" w:eastAsia="zh-CN"/>
                          </w:rPr>
                          <w:t>4、固废：建筑垃圾尽量回收利用，</w:t>
                        </w:r>
                        <w:r>
                          <w:rPr>
                            <w:rFonts w:hint="eastAsia" w:ascii="仿宋_GB2312" w:hAnsi="仿宋_GB2312" w:eastAsia="仿宋_GB2312" w:cs="仿宋_GB2312"/>
                            <w:color w:val="auto"/>
                            <w:sz w:val="28"/>
                            <w:szCs w:val="28"/>
                            <w:lang w:eastAsia="zh-CN"/>
                          </w:rPr>
                          <w:t>剩余部分</w:t>
                        </w:r>
                        <w:r>
                          <w:rPr>
                            <w:rFonts w:hint="eastAsia" w:ascii="仿宋_GB2312" w:hAnsi="仿宋_GB2312" w:eastAsia="仿宋_GB2312" w:cs="仿宋_GB2312"/>
                            <w:color w:val="auto"/>
                            <w:sz w:val="28"/>
                            <w:szCs w:val="28"/>
                          </w:rPr>
                          <w:t>及时运送到</w:t>
                        </w:r>
                        <w:r>
                          <w:rPr>
                            <w:rFonts w:hint="eastAsia" w:ascii="仿宋_GB2312" w:hAnsi="仿宋_GB2312" w:eastAsia="仿宋_GB2312" w:cs="仿宋_GB2312"/>
                            <w:color w:val="auto"/>
                            <w:sz w:val="28"/>
                            <w:szCs w:val="28"/>
                            <w:lang w:eastAsia="zh-CN"/>
                          </w:rPr>
                          <w:t>新邵</w:t>
                        </w:r>
                        <w:r>
                          <w:rPr>
                            <w:rFonts w:hint="eastAsia" w:ascii="仿宋_GB2312" w:hAnsi="仿宋_GB2312" w:eastAsia="仿宋_GB2312" w:cs="仿宋_GB2312"/>
                            <w:color w:val="auto"/>
                            <w:sz w:val="28"/>
                            <w:szCs w:val="28"/>
                          </w:rPr>
                          <w:t>县</w:t>
                        </w:r>
                        <w:r>
                          <w:rPr>
                            <w:rFonts w:hint="eastAsia" w:ascii="仿宋_GB2312" w:hAnsi="仿宋_GB2312" w:eastAsia="仿宋_GB2312" w:cs="仿宋_GB2312"/>
                            <w:color w:val="auto"/>
                            <w:sz w:val="28"/>
                            <w:szCs w:val="28"/>
                            <w:lang w:eastAsia="zh-CN"/>
                          </w:rPr>
                          <w:t>城建部门</w:t>
                        </w:r>
                        <w:r>
                          <w:rPr>
                            <w:rFonts w:hint="eastAsia" w:ascii="仿宋_GB2312" w:hAnsi="仿宋_GB2312" w:eastAsia="仿宋_GB2312" w:cs="仿宋_GB2312"/>
                            <w:color w:val="auto"/>
                            <w:sz w:val="28"/>
                            <w:szCs w:val="28"/>
                          </w:rPr>
                          <w:t>指定地点进行填埋</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outlineLvl w:val="9"/>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（二）运营期</w:t>
                        </w:r>
                      </w:p>
                      <w:p>
                        <w:pPr>
                          <w:keepNext w:val="0"/>
                          <w:keepLines w:val="0"/>
                          <w:pageBreakBefore w:val="0"/>
                          <w:widowControl w:val="0"/>
                          <w:kinsoku/>
                          <w:wordWrap/>
                          <w:overflowPunct/>
                          <w:topLinePunct w:val="0"/>
                          <w:autoSpaceDE/>
                          <w:autoSpaceDN/>
                          <w:bidi w:val="0"/>
                          <w:adjustRightInd/>
                          <w:snapToGrid/>
                          <w:spacing w:line="360" w:lineRule="auto"/>
                          <w:ind w:right="0" w:rightChars="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auto"/>
                            <w:sz w:val="28"/>
                            <w:szCs w:val="28"/>
                            <w:lang w:val="en-US" w:eastAsia="zh-CN"/>
                          </w:rPr>
                          <w:t xml:space="preserve">     1、废气：</w:t>
                        </w:r>
                        <w:r>
                          <w:rPr>
                            <w:rFonts w:hint="eastAsia" w:ascii="仿宋_GB2312" w:hAnsi="仿宋_GB2312" w:eastAsia="仿宋_GB2312" w:cs="仿宋_GB2312"/>
                            <w:sz w:val="28"/>
                            <w:szCs w:val="28"/>
                          </w:rPr>
                          <w:t>安装一套除尘除臭系统</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废气经除尘除臭系统处理后以无组织的方式外排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垃圾渗滤液收集装置设置封闭式浮盖，进行有序导排，防止恶臭气体无序外逸；车间设通排风系统，防止臭气在车间内积累；垃圾运输车及吸污车均采用密闭式车辆，并安装垃圾渗滤液收集装置，运输过程中垃圾不外露</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64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2、废水：搞好雨污分流，修建化粪池，购置</w:t>
                        </w:r>
                        <w:r>
                          <w:rPr>
                            <w:rFonts w:hint="eastAsia" w:ascii="仿宋_GB2312" w:hAnsi="仿宋_GB2312" w:eastAsia="仿宋_GB2312" w:cs="仿宋_GB2312"/>
                            <w:sz w:val="28"/>
                            <w:szCs w:val="28"/>
                          </w:rPr>
                          <w:t>吸污车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修建</w:t>
                        </w:r>
                        <w:r>
                          <w:rPr>
                            <w:rFonts w:hint="eastAsia" w:ascii="仿宋_GB2312" w:hAnsi="仿宋_GB2312" w:eastAsia="仿宋_GB2312" w:cs="仿宋_GB2312"/>
                            <w:sz w:val="28"/>
                            <w:szCs w:val="28"/>
                            <w:lang w:eastAsia="zh-CN"/>
                          </w:rPr>
                          <w:t>集水坑对渗滤液进行收集</w:t>
                        </w:r>
                        <w:r>
                          <w:rPr>
                            <w:rFonts w:hint="eastAsia"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集水坑</w:t>
                        </w:r>
                        <w:r>
                          <w:rPr>
                            <w:rFonts w:hint="eastAsia" w:ascii="仿宋_GB2312" w:hAnsi="仿宋_GB2312" w:eastAsia="仿宋_GB2312" w:cs="仿宋_GB2312"/>
                            <w:sz w:val="28"/>
                            <w:szCs w:val="28"/>
                          </w:rPr>
                          <w:t>做好防渗、防臭处理，垃圾渗滤液、地面及设备冲洗废水经各站内水沟收集至</w:t>
                        </w:r>
                        <w:r>
                          <w:rPr>
                            <w:rFonts w:hint="eastAsia" w:ascii="仿宋_GB2312" w:hAnsi="仿宋_GB2312" w:eastAsia="仿宋_GB2312" w:cs="仿宋_GB2312"/>
                            <w:sz w:val="28"/>
                            <w:szCs w:val="28"/>
                            <w:lang w:eastAsia="zh-CN"/>
                          </w:rPr>
                          <w:t>集水坑</w:t>
                        </w:r>
                        <w:r>
                          <w:rPr>
                            <w:rFonts w:hint="eastAsia" w:ascii="仿宋_GB2312" w:hAnsi="仿宋_GB2312" w:eastAsia="仿宋_GB2312" w:cs="仿宋_GB2312"/>
                            <w:sz w:val="28"/>
                            <w:szCs w:val="28"/>
                          </w:rPr>
                          <w:t>，采用吸污车</w:t>
                        </w:r>
                        <w:r>
                          <w:rPr>
                            <w:rFonts w:hint="eastAsia" w:ascii="仿宋_GB2312" w:hAnsi="仿宋_GB2312" w:eastAsia="仿宋_GB2312" w:cs="仿宋_GB2312"/>
                            <w:sz w:val="28"/>
                            <w:szCs w:val="28"/>
                            <w:lang w:eastAsia="zh-CN"/>
                          </w:rPr>
                          <w:t>将</w:t>
                        </w:r>
                        <w:r>
                          <w:rPr>
                            <w:rFonts w:hint="eastAsia" w:ascii="仿宋_GB2312" w:hAnsi="仿宋_GB2312" w:eastAsia="仿宋_GB2312" w:cs="仿宋_GB2312"/>
                            <w:sz w:val="28"/>
                            <w:szCs w:val="28"/>
                          </w:rPr>
                          <w:t>渗滤液</w:t>
                        </w:r>
                        <w:r>
                          <w:rPr>
                            <w:rFonts w:hint="eastAsia" w:ascii="仿宋_GB2312" w:hAnsi="仿宋_GB2312" w:eastAsia="仿宋_GB2312" w:cs="仿宋_GB2312"/>
                            <w:sz w:val="28"/>
                            <w:szCs w:val="28"/>
                            <w:lang w:eastAsia="zh-CN"/>
                          </w:rPr>
                          <w:t>和经化粪池处理后的生活污水</w:t>
                        </w:r>
                        <w:r>
                          <w:rPr>
                            <w:rFonts w:hint="eastAsia" w:ascii="仿宋_GB2312" w:hAnsi="仿宋_GB2312" w:eastAsia="仿宋_GB2312" w:cs="仿宋_GB2312"/>
                            <w:sz w:val="28"/>
                            <w:szCs w:val="28"/>
                          </w:rPr>
                          <w:t>转运至</w:t>
                        </w:r>
                        <w:r>
                          <w:rPr>
                            <w:rFonts w:hint="eastAsia" w:ascii="仿宋_GB2312" w:hAnsi="仿宋_GB2312" w:eastAsia="仿宋_GB2312" w:cs="仿宋_GB2312"/>
                            <w:sz w:val="28"/>
                            <w:szCs w:val="28"/>
                            <w:lang w:eastAsia="zh-CN"/>
                          </w:rPr>
                          <w:t>新邵县污水处理厂处理达标后外排。</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outlineLvl w:val="9"/>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sz w:val="28"/>
                            <w:szCs w:val="28"/>
                            <w:lang w:val="en-US" w:eastAsia="zh-CN"/>
                          </w:rPr>
                          <w:t xml:space="preserve"> 3、噪声：合理布局设备安装，</w:t>
                        </w:r>
                        <w:r>
                          <w:rPr>
                            <w:rFonts w:hint="eastAsia" w:ascii="仿宋_GB2312" w:hAnsi="仿宋_GB2312" w:eastAsia="仿宋_GB2312" w:cs="仿宋_GB2312"/>
                            <w:b w:val="0"/>
                            <w:i w:val="0"/>
                            <w:caps w:val="0"/>
                            <w:color w:val="000000"/>
                            <w:spacing w:val="0"/>
                            <w:sz w:val="28"/>
                            <w:szCs w:val="28"/>
                            <w:lang w:val="en-US" w:eastAsia="zh-CN"/>
                          </w:rPr>
                          <w:t>对压缩机采取基础减振、隔声等措施；对高噪声的风机等动力噪声源进气口加装消声器，车间设置隔声门窗，运行期间关闭门窗；垃圾转运站区周围设置绿化带。</w:t>
                        </w:r>
                      </w:p>
                      <w:p>
                        <w:pPr>
                          <w:keepNext w:val="0"/>
                          <w:keepLines w:val="0"/>
                          <w:pageBreakBefore w:val="0"/>
                          <w:widowControl w:val="0"/>
                          <w:kinsoku/>
                          <w:wordWrap/>
                          <w:overflowPunct/>
                          <w:topLinePunct w:val="0"/>
                          <w:autoSpaceDE/>
                          <w:autoSpaceDN/>
                          <w:bidi w:val="0"/>
                          <w:adjustRightInd/>
                          <w:snapToGrid/>
                          <w:spacing w:line="360" w:lineRule="auto"/>
                          <w:ind w:right="0" w:rightChars="0"/>
                          <w:outlineLvl w:val="9"/>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b w:val="0"/>
                            <w:i w:val="0"/>
                            <w:caps w:val="0"/>
                            <w:color w:val="000000"/>
                            <w:spacing w:val="0"/>
                            <w:sz w:val="28"/>
                            <w:szCs w:val="28"/>
                            <w:lang w:val="en-US" w:eastAsia="zh-CN"/>
                          </w:rPr>
                          <w:t xml:space="preserve">     4、固废：生活垃圾、污水收集池污泥和化粪池污泥直接进入垃圾站。</w:t>
                        </w:r>
                      </w:p>
                      <w:p>
                        <w:pPr>
                          <w:keepNext w:val="0"/>
                          <w:keepLines w:val="0"/>
                          <w:pageBreakBefore w:val="0"/>
                          <w:widowControl w:val="0"/>
                          <w:kinsoku/>
                          <w:wordWrap/>
                          <w:overflowPunct/>
                          <w:topLinePunct w:val="0"/>
                          <w:autoSpaceDE/>
                          <w:autoSpaceDN/>
                          <w:bidi w:val="0"/>
                          <w:adjustRightInd/>
                          <w:snapToGrid/>
                          <w:spacing w:line="360" w:lineRule="auto"/>
                          <w:ind w:right="0" w:rightChars="0"/>
                          <w:outlineLvl w:val="9"/>
                          <w:rPr>
                            <w:rFonts w:hint="eastAsia" w:ascii="仿宋_GB2312" w:hAnsi="仿宋_GB2312" w:eastAsia="仿宋_GB2312" w:cs="仿宋_GB2312"/>
                            <w:b w:val="0"/>
                            <w:i w:val="0"/>
                            <w:caps w:val="0"/>
                            <w:color w:val="000000"/>
                            <w:spacing w:val="0"/>
                            <w:sz w:val="28"/>
                            <w:szCs w:val="28"/>
                            <w:lang w:val="en-US" w:eastAsia="zh-CN"/>
                          </w:rPr>
                        </w:pPr>
                        <w:r>
                          <w:rPr>
                            <w:rFonts w:hint="eastAsia" w:ascii="仿宋_GB2312" w:hAnsi="仿宋_GB2312" w:eastAsia="仿宋_GB2312" w:cs="仿宋_GB2312"/>
                            <w:b w:val="0"/>
                            <w:i w:val="0"/>
                            <w:caps w:val="0"/>
                            <w:color w:val="000000"/>
                            <w:spacing w:val="0"/>
                            <w:sz w:val="28"/>
                            <w:szCs w:val="28"/>
                            <w:lang w:val="en-US" w:eastAsia="zh-CN"/>
                          </w:rPr>
                          <w:t xml:space="preserve">     5、搞好项目的地面硬化和绿化美化工作。</w:t>
                        </w:r>
                      </w:p>
                      <w:p>
                        <w:pPr>
                          <w:keepNext w:val="0"/>
                          <w:keepLines w:val="0"/>
                          <w:pageBreakBefore w:val="0"/>
                          <w:widowControl w:val="0"/>
                          <w:kinsoku/>
                          <w:wordWrap/>
                          <w:overflowPunct/>
                          <w:topLinePunct w:val="0"/>
                          <w:autoSpaceDE/>
                          <w:autoSpaceDN/>
                          <w:bidi w:val="0"/>
                          <w:adjustRightInd/>
                          <w:snapToGrid/>
                          <w:spacing w:line="360" w:lineRule="auto"/>
                          <w:ind w:right="0" w:rightChars="0"/>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i w:val="0"/>
                            <w:caps w:val="0"/>
                            <w:color w:val="000000"/>
                            <w:spacing w:val="0"/>
                            <w:sz w:val="28"/>
                            <w:szCs w:val="28"/>
                            <w:lang w:val="en-US" w:eastAsia="zh-CN"/>
                          </w:rPr>
                          <w:t xml:space="preserve">     6、</w:t>
                        </w:r>
                        <w:r>
                          <w:rPr>
                            <w:rFonts w:hint="eastAsia" w:ascii="仿宋_GB2312" w:hAnsi="仿宋_GB2312" w:eastAsia="仿宋_GB2312" w:cs="仿宋_GB2312"/>
                            <w:kern w:val="2"/>
                            <w:sz w:val="28"/>
                            <w:szCs w:val="28"/>
                            <w:u w:val="none"/>
                            <w:lang w:eastAsia="zh-CN"/>
                          </w:rPr>
                          <w:t>该</w:t>
                        </w:r>
                        <w:r>
                          <w:rPr>
                            <w:rFonts w:hint="eastAsia" w:ascii="仿宋_GB2312" w:hAnsi="仿宋_GB2312" w:eastAsia="仿宋_GB2312" w:cs="仿宋_GB2312"/>
                            <w:kern w:val="2"/>
                            <w:sz w:val="28"/>
                            <w:szCs w:val="28"/>
                            <w:u w:val="none"/>
                          </w:rPr>
                          <w:t>项目污染物总量</w:t>
                        </w:r>
                        <w:r>
                          <w:rPr>
                            <w:rFonts w:hint="eastAsia" w:ascii="仿宋_GB2312" w:hAnsi="仿宋_GB2312" w:eastAsia="仿宋_GB2312" w:cs="仿宋_GB2312"/>
                            <w:kern w:val="2"/>
                            <w:sz w:val="28"/>
                            <w:szCs w:val="28"/>
                            <w:u w:val="none"/>
                            <w:lang w:eastAsia="zh-CN"/>
                          </w:rPr>
                          <w:t>指标</w:t>
                        </w:r>
                        <w:r>
                          <w:rPr>
                            <w:rFonts w:hint="eastAsia" w:ascii="仿宋_GB2312" w:hAnsi="仿宋_GB2312" w:eastAsia="仿宋_GB2312" w:cs="仿宋_GB2312"/>
                            <w:kern w:val="2"/>
                            <w:sz w:val="28"/>
                            <w:szCs w:val="28"/>
                            <w:u w:val="none"/>
                          </w:rPr>
                          <w:t>为</w:t>
                        </w:r>
                        <w:r>
                          <w:rPr>
                            <w:rFonts w:hint="eastAsia" w:ascii="仿宋_GB2312" w:hAnsi="仿宋_GB2312" w:eastAsia="仿宋_GB2312" w:cs="仿宋_GB2312"/>
                            <w:bCs/>
                            <w:color w:val="auto"/>
                            <w:sz w:val="28"/>
                            <w:szCs w:val="28"/>
                            <w:u w:val="none"/>
                          </w:rPr>
                          <w:t>COD：</w:t>
                        </w:r>
                        <w:r>
                          <w:rPr>
                            <w:rFonts w:hint="eastAsia" w:ascii="仿宋_GB2312" w:hAnsi="仿宋_GB2312" w:eastAsia="仿宋_GB2312" w:cs="仿宋_GB2312"/>
                            <w:color w:val="auto"/>
                            <w:sz w:val="28"/>
                            <w:szCs w:val="28"/>
                            <w:u w:val="none"/>
                          </w:rPr>
                          <w:t>0.053t/a、NH</w:t>
                        </w:r>
                        <w:r>
                          <w:rPr>
                            <w:rFonts w:hint="eastAsia" w:ascii="仿宋_GB2312" w:hAnsi="仿宋_GB2312" w:eastAsia="仿宋_GB2312" w:cs="仿宋_GB2312"/>
                            <w:color w:val="auto"/>
                            <w:sz w:val="28"/>
                            <w:szCs w:val="28"/>
                            <w:u w:val="none"/>
                            <w:vertAlign w:val="subscript"/>
                          </w:rPr>
                          <w:t>3</w:t>
                        </w:r>
                        <w:r>
                          <w:rPr>
                            <w:rFonts w:hint="eastAsia" w:ascii="仿宋_GB2312" w:hAnsi="仿宋_GB2312" w:eastAsia="仿宋_GB2312" w:cs="仿宋_GB2312"/>
                            <w:color w:val="auto"/>
                            <w:sz w:val="28"/>
                            <w:szCs w:val="28"/>
                            <w:u w:val="none"/>
                          </w:rPr>
                          <w:t>-N：0.007t/a</w:t>
                        </w:r>
                        <w:r>
                          <w:rPr>
                            <w:rFonts w:hint="eastAsia" w:ascii="仿宋_GB2312" w:hAnsi="仿宋_GB2312" w:eastAsia="仿宋_GB2312" w:cs="仿宋_GB2312"/>
                            <w:bCs/>
                            <w:sz w:val="28"/>
                            <w:szCs w:val="28"/>
                            <w:u w:val="none"/>
                          </w:rPr>
                          <w:t>，纳入新邵县污水处理厂总量控制指标内</w:t>
                        </w:r>
                        <w:r>
                          <w:rPr>
                            <w:rFonts w:hint="eastAsia" w:ascii="仿宋_GB2312" w:hAnsi="仿宋_GB2312" w:eastAsia="仿宋_GB2312" w:cs="仿宋_GB2312"/>
                            <w:sz w:val="28"/>
                            <w:szCs w:val="28"/>
                            <w:u w:val="none"/>
                          </w:rPr>
                          <w:t>。</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c>
                      <w:tcPr>
                        <w:tcW w:w="3018"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5"/>
                          <w:keepNext w:val="0"/>
                          <w:keepLines w:val="0"/>
                          <w:widowControl/>
                          <w:suppressLineNumbers w:val="0"/>
                          <w:rPr>
                            <w:sz w:val="28"/>
                            <w:szCs w:val="28"/>
                          </w:rPr>
                        </w:pPr>
                        <w:r>
                          <w:rPr>
                            <w:rFonts w:hint="eastAsia" w:ascii="宋体" w:hAnsi="宋体" w:eastAsia="宋体" w:cs="宋体"/>
                            <w:color w:val="000000"/>
                            <w:sz w:val="28"/>
                            <w:szCs w:val="28"/>
                          </w:rPr>
                          <w:t>公众参与情况</w:t>
                        </w:r>
                      </w:p>
                    </w:tc>
                    <w:tc>
                      <w:tcPr>
                        <w:tcW w:w="5657" w:type="dxa"/>
                        <w:tcBorders>
                          <w:top w:val="outset" w:color="000000" w:sz="6" w:space="0"/>
                          <w:left w:val="outset" w:color="000000" w:sz="6" w:space="0"/>
                          <w:bottom w:val="outset" w:color="000000" w:sz="6" w:space="0"/>
                          <w:right w:val="outset" w:color="000000" w:sz="6"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bottom"/>
                          <w:outlineLvl w:val="9"/>
                          <w:rPr>
                            <w:rFonts w:hint="eastAsia" w:ascii="仿宋_GB2312" w:hAnsi="仿宋_GB2312" w:eastAsia="仿宋_GB2312" w:cs="仿宋_GB2312"/>
                            <w:sz w:val="28"/>
                            <w:szCs w:val="28"/>
                          </w:rPr>
                        </w:pPr>
                      </w:p>
                      <w:p>
                        <w:pPr>
                          <w:pStyle w:val="5"/>
                          <w:keepNext w:val="0"/>
                          <w:keepLines w:val="0"/>
                          <w:widowControl/>
                          <w:suppressLineNumbers w:val="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tc>
                  </w:tr>
                </w:tbl>
                <w:p>
                  <w:pPr>
                    <w:pStyle w:val="5"/>
                    <w:keepNext w:val="0"/>
                    <w:keepLines w:val="0"/>
                    <w:widowControl/>
                    <w:suppressLineNumbers w:val="0"/>
                    <w:spacing w:line="420" w:lineRule="atLeast"/>
                    <w:rPr>
                      <w:sz w:val="28"/>
                      <w:szCs w:val="28"/>
                    </w:rPr>
                  </w:pPr>
                  <w:r>
                    <w:rPr>
                      <w:rFonts w:hint="eastAsia" w:ascii="宋体" w:hAnsi="宋体" w:eastAsia="宋体" w:cs="宋体"/>
                      <w:color w:val="000000"/>
                      <w:sz w:val="28"/>
                      <w:szCs w:val="28"/>
                    </w:rPr>
                    <w:t> </w:t>
                  </w:r>
                </w:p>
                <w:p>
                  <w:pPr>
                    <w:pStyle w:val="5"/>
                    <w:keepNext w:val="0"/>
                    <w:keepLines w:val="0"/>
                    <w:widowControl/>
                    <w:suppressLineNumbers w:val="0"/>
                    <w:spacing w:line="420" w:lineRule="atLeast"/>
                    <w:rPr>
                      <w:sz w:val="28"/>
                      <w:szCs w:val="28"/>
                    </w:rPr>
                  </w:pPr>
                  <w:r>
                    <w:rPr>
                      <w:rFonts w:hint="eastAsia" w:ascii="宋体" w:hAnsi="宋体" w:eastAsia="宋体" w:cs="宋体"/>
                      <w:color w:val="000000"/>
                      <w:sz w:val="28"/>
                      <w:szCs w:val="28"/>
                    </w:rPr>
                    <w:t> </w:t>
                  </w:r>
                </w:p>
              </w:tc>
            </w:tr>
          </w:tbl>
          <w:p>
            <w:pPr>
              <w:spacing w:line="420" w:lineRule="atLeast"/>
              <w:rPr>
                <w:rFonts w:hint="eastAsia" w:ascii="宋体" w:hAnsi="宋体" w:eastAsia="宋体" w:cs="宋体"/>
                <w:color w:val="000000"/>
                <w:sz w:val="28"/>
                <w:szCs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CG Times (WN)">
    <w:altName w:val="Times New Roman"/>
    <w:panose1 w:val="00000000000000000000"/>
    <w:charset w:val="00"/>
    <w:family w:val="auto"/>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003" w:usb1="080E0000" w:usb2="00000000" w:usb3="00000000" w:csb0="00040001" w:csb1="00000000"/>
  </w:font>
  <w:font w:name="文鼎CS大宋">
    <w:altName w:val="宋体"/>
    <w:panose1 w:val="00000000000000000000"/>
    <w:charset w:val="01"/>
    <w:family w:val="auto"/>
    <w:pitch w:val="default"/>
    <w:sig w:usb0="00000000" w:usb1="00000000" w:usb2="00000000" w:usb3="00000000" w:csb0="00040001" w:csb1="00000000"/>
  </w:font>
  <w:font w:name="仿宋">
    <w:altName w:val="微软雅黑"/>
    <w:panose1 w:val="02010609060101010101"/>
    <w:charset w:val="86"/>
    <w:family w:val="auto"/>
    <w:pitch w:val="default"/>
    <w:sig w:usb0="00000000" w:usb1="00000000" w:usb2="00000016" w:usb3="00000000" w:csb0="00040001" w:csb1="00000000"/>
  </w:font>
  <w:font w:name="宋体-PUA">
    <w:panose1 w:val="02010600030101010101"/>
    <w:charset w:val="86"/>
    <w:family w:val="auto"/>
    <w:pitch w:val="default"/>
    <w:sig w:usb0="00000000" w:usb1="10000000" w:usb2="00000000" w:usb3="00000000" w:csb0="00040000" w:csb1="00000000"/>
  </w:font>
  <w:font w:name="MT Extra">
    <w:panose1 w:val="05050102010205020202"/>
    <w:charset w:val="00"/>
    <w:family w:val="auto"/>
    <w:pitch w:val="default"/>
    <w:sig w:usb0="8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Lucida Console">
    <w:panose1 w:val="020B0609040504020204"/>
    <w:charset w:val="00"/>
    <w:family w:val="modern"/>
    <w:pitch w:val="default"/>
    <w:sig w:usb0="8000028F" w:usb1="00001800" w:usb2="00000000" w:usb3="00000000" w:csb0="0000001F" w:csb1="D7D70000"/>
  </w:font>
  <w:font w:name="Garamond">
    <w:altName w:val="MV Boli"/>
    <w:panose1 w:val="02020404030301010803"/>
    <w:charset w:val="00"/>
    <w:family w:val="roman"/>
    <w:pitch w:val="default"/>
    <w:sig w:usb0="00000000" w:usb1="00000000" w:usb2="00000000" w:usb3="00000000" w:csb0="0000009F" w:csb1="00000000"/>
  </w:font>
  <w:font w:name="华文新魏">
    <w:altName w:val="宋体"/>
    <w:panose1 w:val="02010800040101010101"/>
    <w:charset w:val="86"/>
    <w:family w:val="auto"/>
    <w:pitch w:val="default"/>
    <w:sig w:usb0="00000000" w:usb1="00000000" w:usb2="00000010" w:usb3="00000000" w:csb0="00040000" w:csb1="00000000"/>
  </w:font>
  <w:font w:name="MV Boli">
    <w:panose1 w:val="02000500030200090000"/>
    <w:charset w:val="00"/>
    <w:family w:val="auto"/>
    <w:pitch w:val="default"/>
    <w:sig w:usb0="00000000" w:usb1="00000000" w:usb2="00000100" w:usb3="00000000" w:csb0="00000000" w:csb1="00000000"/>
  </w:font>
  <w:font w:name="仿宋体">
    <w:altName w:val="宋体"/>
    <w:panose1 w:val="00000000000000000000"/>
    <w:charset w:val="86"/>
    <w:family w:val="roman"/>
    <w:pitch w:val="default"/>
    <w:sig w:usb0="00000000" w:usb1="00000000" w:usb2="00000010" w:usb3="00000000" w:csb0="00040000" w:csb1="00000000"/>
  </w:font>
  <w:font w:name="Tms Rmn">
    <w:altName w:val="Times New Roman"/>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00000287" w:usb1="00000000" w:usb2="00000000" w:usb3="00000000" w:csb0="2000019F" w:csb1="00000000"/>
  </w:font>
  <w:font w:name="汉鼎简书宋">
    <w:altName w:val="宋体"/>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宋体 ! important">
    <w:altName w:val="宋体"/>
    <w:panose1 w:val="00000000000000000000"/>
    <w:charset w:val="00"/>
    <w:family w:val="auto"/>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inherit">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大标宋简体">
    <w:altName w:val="宋体"/>
    <w:panose1 w:val="00000000000000000000"/>
    <w:charset w:val="01"/>
    <w:family w:val="auto"/>
    <w:pitch w:val="default"/>
    <w:sig w:usb0="00000000" w:usb1="00000000" w:usb2="00000000" w:usb3="00000000" w:csb0="00040001" w:csb1="00000000"/>
  </w:font>
  <w:font w:name="TimesNewRomanPSMT">
    <w:altName w:val="Times New Roman"/>
    <w:panose1 w:val="00000000000000000000"/>
    <w:charset w:val="80"/>
    <w:family w:val="auto"/>
    <w:pitch w:val="default"/>
    <w:sig w:usb0="00000000" w:usb1="00000000" w:usb2="00000010" w:usb3="00000000" w:csb0="00020000" w:csb1="00000000"/>
  </w:font>
  <w:font w:name="TimesNewRomanPS-BoldMT">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华文楷体">
    <w:altName w:val="楷体_GB2312"/>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MingLiU">
    <w:panose1 w:val="02020309000000000000"/>
    <w:charset w:val="88"/>
    <w:family w:val="modern"/>
    <w:pitch w:val="default"/>
    <w:sig w:usb0="00000003" w:usb1="082E0000" w:usb2="00000016" w:usb3="00000000" w:csb0="00100001" w:csb1="00000000"/>
  </w:font>
  <w:font w:name="Cambria Math">
    <w:panose1 w:val="02040503050406030204"/>
    <w:charset w:val="00"/>
    <w:family w:val="roman"/>
    <w:pitch w:val="default"/>
    <w:sig w:usb0="A00002EF" w:usb1="420020E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FDD91"/>
    <w:multiLevelType w:val="singleLevel"/>
    <w:tmpl w:val="56CFDD91"/>
    <w:lvl w:ilvl="0" w:tentative="0">
      <w:start w:val="1"/>
      <w:numFmt w:val="chineseCounting"/>
      <w:suff w:val="nothing"/>
      <w:lvlText w:val="（%1）"/>
      <w:lvlJc w:val="left"/>
    </w:lvl>
  </w:abstractNum>
  <w:abstractNum w:abstractNumId="1">
    <w:nsid w:val="56CFDE1F"/>
    <w:multiLevelType w:val="singleLevel"/>
    <w:tmpl w:val="56CFDE1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967D92"/>
    <w:rsid w:val="08437AC4"/>
    <w:rsid w:val="09126641"/>
    <w:rsid w:val="117C51C6"/>
    <w:rsid w:val="11FF6CC1"/>
    <w:rsid w:val="141079A5"/>
    <w:rsid w:val="25457287"/>
    <w:rsid w:val="28923E2F"/>
    <w:rsid w:val="33AA61EE"/>
    <w:rsid w:val="461753E2"/>
    <w:rsid w:val="47F436EA"/>
    <w:rsid w:val="4FD149AE"/>
    <w:rsid w:val="50356BFF"/>
    <w:rsid w:val="55F85E59"/>
    <w:rsid w:val="586C3132"/>
    <w:rsid w:val="618C4407"/>
    <w:rsid w:val="66E03CEC"/>
    <w:rsid w:val="67967D92"/>
    <w:rsid w:val="687F1457"/>
    <w:rsid w:val="6F975991"/>
    <w:rsid w:val="738811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link w:val="7"/>
    <w:semiHidden/>
    <w:qFormat/>
    <w:uiPriority w:val="0"/>
    <w:rPr>
      <w:rFonts w:ascii="Calibri" w:hAnsi="Calibri"/>
      <w:szCs w:val="22"/>
    </w:rPr>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sz w:val="32"/>
    </w:rPr>
  </w:style>
  <w:style w:type="paragraph" w:styleId="3">
    <w:name w:val="Body Text Indent"/>
    <w:basedOn w:val="1"/>
    <w:qFormat/>
    <w:uiPriority w:val="0"/>
    <w:pPr>
      <w:ind w:firstLine="540"/>
    </w:pPr>
    <w:rPr>
      <w:rFonts w:ascii="宋体"/>
      <w:sz w:val="28"/>
      <w:szCs w:val="20"/>
    </w:rPr>
  </w:style>
  <w:style w:type="paragraph" w:styleId="4">
    <w:name w:val="Body Text Indent 2"/>
    <w:basedOn w:val="1"/>
    <w:uiPriority w:val="0"/>
    <w:pPr>
      <w:spacing w:line="560" w:lineRule="exact"/>
      <w:ind w:firstLine="280" w:firstLineChars="100"/>
    </w:pPr>
    <w:rPr>
      <w:sz w:val="2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customStyle="1" w:styleId="7">
    <w:name w:val="默认段落字体 Para Char Char Char Char Char Char Char"/>
    <w:basedOn w:val="1"/>
    <w:link w:val="6"/>
    <w:qFormat/>
    <w:uiPriority w:val="0"/>
    <w:rPr>
      <w:rFonts w:ascii="Calibri" w:hAnsi="Calibri"/>
      <w:szCs w:val="22"/>
    </w:rPr>
  </w:style>
  <w:style w:type="character" w:styleId="8">
    <w:name w:val="FollowedHyperlink"/>
    <w:basedOn w:val="6"/>
    <w:qFormat/>
    <w:uiPriority w:val="0"/>
    <w:rPr>
      <w:color w:val="2B2B2B"/>
      <w:u w:val="none"/>
    </w:rPr>
  </w:style>
  <w:style w:type="character" w:styleId="9">
    <w:name w:val="Emphasis"/>
    <w:basedOn w:val="6"/>
    <w:qFormat/>
    <w:uiPriority w:val="0"/>
  </w:style>
  <w:style w:type="character" w:styleId="10">
    <w:name w:val="Hyperlink"/>
    <w:basedOn w:val="6"/>
    <w:qFormat/>
    <w:uiPriority w:val="0"/>
    <w:rPr>
      <w:color w:val="2B2B2B"/>
      <w:u w:val="none"/>
    </w:rPr>
  </w:style>
  <w:style w:type="character" w:styleId="11">
    <w:name w:val="HTML Code"/>
    <w:basedOn w:val="6"/>
    <w:qFormat/>
    <w:uiPriority w:val="0"/>
    <w:rPr>
      <w:rFonts w:ascii="Courier New" w:hAnsi="Courier New"/>
      <w:sz w:val="20"/>
    </w:rPr>
  </w:style>
  <w:style w:type="character" w:styleId="12">
    <w:name w:val="HTML Cite"/>
    <w:basedOn w:val="6"/>
    <w:qFormat/>
    <w:uiPriority w:val="0"/>
  </w:style>
  <w:style w:type="character" w:customStyle="1" w:styleId="14">
    <w:name w:val="hj-easyread-speakerprocesser-position-action-icon"/>
    <w:basedOn w:val="6"/>
    <w:qFormat/>
    <w:uiPriority w:val="0"/>
  </w:style>
  <w:style w:type="character" w:customStyle="1" w:styleId="15">
    <w:name w:val="content1"/>
    <w:basedOn w:val="6"/>
    <w:qFormat/>
    <w:uiPriority w:val="0"/>
    <w:rPr>
      <w:color w:val="000000"/>
      <w:sz w:val="20"/>
      <w:szCs w:val="20"/>
    </w:rPr>
  </w:style>
  <w:style w:type="paragraph" w:customStyle="1" w:styleId="16">
    <w:name w:val="正文稿新版"/>
    <w:basedOn w:val="1"/>
    <w:qFormat/>
    <w:uiPriority w:val="0"/>
    <w:pPr>
      <w:adjustRightInd w:val="0"/>
      <w:spacing w:beforeLines="50" w:afterLines="50" w:line="400" w:lineRule="exact"/>
      <w:ind w:left="300" w:leftChars="300"/>
      <w:jc w:val="left"/>
    </w:pPr>
    <w:rPr>
      <w:rFonts w:ascii="Arial" w:hAnsi="Arial" w:eastAsia="楷体_GB2312" w:cs="Arial"/>
      <w:sz w:val="24"/>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2016-08-18T07:42:00Z</dcterms:created>
  <dc:creator>Administrator</dc:creator>
  <cp:lastModifiedBy>Administrator</cp:lastModifiedBy>
  <dcterms:modified xsi:type="dcterms:W3CDTF">2018-02-22T08:17:37Z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