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44"/>
          <w:szCs w:val="44"/>
          <w:lang w:eastAsia="zh-CN"/>
        </w:rPr>
        <w:t>新邵县食品药品工商质量监督管理局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44"/>
          <w:szCs w:val="44"/>
          <w:lang w:val="en-US" w:eastAsia="zh-CN"/>
        </w:rPr>
        <w:t>2017年决算公开说明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 xml:space="preserve"> 一、部门职责及机构设置情况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(一)部门职责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１、贯彻执行国家、省、市有关工商行政管理、质量技术监督、食品（含食品添加剂、保健食品、酒类，下同）安全、药品（含中药、民族药，下同）、医疗器械、化妆品监督管理的法律、法规、规章和政策；拟定相关规范性文件、办法和措施并组织实施；统筹规划与协调全县食品药品资源配置，负责食品药品应急工作，制订食品药品应急预案和政策措施；依法开展市场监督管理和行政执法的有关工作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２、制定并组织实施市场监督管理事业发展规划和技术机构建设规划；组织推进质量发展和商标战略工作；协助有关部门制定商品交易市场发展规划；负责市场监督管理信息化建设，推进市场监管领域社会共治机制，建立健全市场主体社会信用体系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３、负责涉及工商行政管理、质量技术监督、食品药品监督管理的各类行政审批和行政许可并监督管理；组织查处违反工商行政管理、质量技术监督、食品药品监督管理法律、法规、规章的行为；承担依法查处取缔无证无照经营行为的责任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4、承担县食品安全委员会办公室日常工作。负责食品安全综合协调，推动健全协调联动机制；承担食品安全监督考评和协调指导职责，协调食品安全事故和突发事件的应对处置工作；统一发布重大食品安全信息；负责重大食品药品安全事故应急体系建设，组织、指导重大食品药品安全事故应急处置和调查处理工作，监督事故查处落实情况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5、负责食品生产、流通、消费环节的安全监督管理职责；负责食品质量监督抽查、检测工作；承担酒类流通、保健食品市场监管职责；依法查处食品安全违法行为。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6、负责药品、医疗器械、保健食品和化妆品质量安全的监督管理。监督实施药品、医疗器械生产、经营、使用质量管理规范；监督实施药品、医疗器械标准及分类管理制度，负责药品、医疗器械及药用包装材料、医疗机构制剂的监督管理；组织开展药品化妆品不良反应和医疗器械不良事件监测、调查处理；负责放射性药品、麻醉药品、毒性药品、精神药品以及药品类易制毒化学品的监督管理；组织实施处方药和非处方药分类管理制度；建立健全药品安全应急体系；依法查处药品、医疗器械、保健食品和化妆品的违法行为；监督实施问题产品召回和处置制度；配合有关部门实施国家基本药物制度；组织开展药品、医疗器械和化妆品监督抽样检验工作；组织实施中药品种保护制度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7、负责制定并组织实施全县产品质量技术监督、食品药品安全科技发展政策措施，推动产品质量、食品药品检验检测体系和监管追溯体系。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8、依法承担对有关市场秩序的监督管理责任。依法监督管理各类消费品市场、生产资料市场，参与监督管理生产要素市场；负责监督管理网络商品交易及有关服务的行为；监督管理经纪人、经纪机构、经纪活动以及有关中介服务机构；根据授权，负责垄断协议、滥用市场支配地位、滥用行政权力排除限制竞争方面的反垄断执法工作（价格垄断行为除外）；依法查处不正当竞争、商业贿赂以及走私贩私等经济违法行为；组织开展企业信用体系建设，推进政府企业信用、行业信用建设，实施信用分类管理；承担查处违法直销和传销案件的职责，依法监督管理直销企业和直销员及其直销活动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9、依法实施对商标使用和广告活动的监督管理工作。依法查处商标侵权行为，保护注册商标专用权；开展湖南省著名商标申报和保护工作；依法保护驰名商标、地理标志商标、特殊标志、官方标志；指导广告业发展，依法开展广告监督管理工作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10、依法实施合同行政监督管理，组织实施消费类合同格式条款备案；依法查处合同欺诈等违法行为；负责管理动产抵押登记，组织监督管理拍卖行为。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11、依法承担消费者权益保护责任，建立消费者权益保护体系，组织指导消费维权工作；负责涉及工商行政管理、质量技术监督、食品药品监督管理的申诉和举报工作；查处侵害消费者合法权益的违法行为。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12、承办产品质量诚信体系建设有关工作。组织实施质量振兴工作；推进名牌发展战略；起草有关质量技术监督的规范性文件，负责与质量技术监督有关的技术规范工作；组织有关产品质量事故的调查处理，实施缺陷产品召回制度；监督管理产品防伪工作；组织实施地理标志产品保护工作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13、负责计量监督管理工作。推行国家法定计量单位和计量制度，依法监督管理计量器具及量值传递和计量比对；承担规范和监督商品量和市场计量行为等工作；负责管理能源计量工作，产品能源效率标识监管，依法推行用能单位能源计量管理工作；查处计量违法行为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14、负责标准化管理工作。组织实施国家、行业、地方标准工作；管理企业新产品标准备案工作；依法查处标准化违法行为；管理组织机构代码和商品条码工作。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15、负责特种设备安全监察工作。依法对特种设备生产、经营、使用单位和检验、检测机构实施监督检查；依法监督管理特种设备注册登记，监督检查高耗能特种设备节能标准的执行情况；负责特种设备统计工作；配合特种设备事故的调查处理；开展特种设备安全专项检查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16、负责产品质量安全监督和认证认可工作。负责产品质量安全强制检验、风险监控和监督抽查等工作；负责工业产品生产许可证管理和纤维质量监督管理工作；负责机动车安全技术检验机构的监督管理；监督管理产品质量安全仲裁检验；依法对质量检验机构及相关社会中介组织进行监督管理，对质量认证产品进行监督检查，依法对强制性产品认证和自愿性认证活动实施监督管理；承担对认证机构、认证培训机构的监督管理工作；组织开展产品质量专项整治，依法查处产品质量违法行为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17、负责开展产品质量技术监督、食品药品安全宣传、教育培训；研究分析食品药品、医疗器械、化妆品安全形势和存在问题，提出完善制度机制和改革工作的建议。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18、指导乡（镇）建立健全商品市场、食品药品安全、质量监督管理制度。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19、承办上级工商行政管理、质量技术监督、食品药品监督管理部门和县委、县政府交办的其他事项。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）机构设置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根据编委核定，我局共设18个内设机构、7个基层监管所、4个直属机构、1个挂靠社会组织，全部纳入201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年部门预算编制范围。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内设机构分别是：办公室、政工股、计划财务股、法规股、综合协调股（加持应急管理股牌子）、食品生产和流通安全监督管理股、餐饮服务食品安全监督管理股、药品医疗器械监督管理股、保健食品化妆品监督管理股、消费者权益保护股、注册登记管理股、特种设备安全监察股、市场监督管理股、标准计量监督管理股、质量监督管理股、商标广告监督管理股、企业和个体私营经济监督管理股、监察室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基层监管所分别是：均为县市场和质量监督管理局股级派出机构，分别是县市场和质量监督管理局酿溪、陈家坊、严塘、坪上、寸石、新田铺、龙溪铺监督管理所。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直属机构直属机构分别是：县市场和质量监督综合执法大队（加挂县食品药品稽查大队眼牌子，副科级公益一类全额拨款事业单位）、县市场和质量监督检验检测所（副科级公益一类全额拨款事业单位）、县市场和质量举报投诉中心（加挂县市场和质量信息中心牌子，股级公益一类金额拨款事业单位）、县个体私营经济发展指导中心（加挂县个体私营协会牌子，股级公益一类金额拨款事业单位）。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挂靠社会组织为新邵县消费者委员会，为公益性社会社会组织。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）机构人员情况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根据编委核定，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eastAsia="zh-CN"/>
        </w:rPr>
        <w:t>我局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机关行政编制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名，其中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eastAsia="zh-CN"/>
        </w:rPr>
        <w:t>机关人员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1名，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eastAsia="zh-CN"/>
        </w:rPr>
        <w:t>工勤人员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名，核定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eastAsia="zh-CN"/>
        </w:rPr>
        <w:t>参照公务员法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全额拨款事业编制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名。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2017年年末实有行政人员104人，事业人员33人。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二、部门决算情况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（一）年度收支决算情况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201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年财政拨款收入合计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24082642.95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元。本年支出合计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24082642.95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（二）年度一般公共预算财政拨款支出情况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201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年公共预算财政拨款支出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24082642.95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元，系保障单位正常运转、完成日常工作任务而发生的各项支出。包括用于在职和离退休人员基本工资、津贴补贴等人员经费以及办公费、水电费、差旅费等日常公用经费；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（三）年度“三公”经费决算情况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201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年“三公”经费支出合计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875191.6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元。分项为：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因公出国（境）费支出0元。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公务接待费支出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470226.5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元，支出减少的主要原因为认真贯彻落实“八项”规定要求，实行预算控制制度，严格控制公务接待数量、规模、接待标准等。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公务用车购置及运行维护支出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404965.1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　（四）年度机关运行经费决算情况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一般公共预算财政拨款基本支出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20787442.13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元，其中：人员经费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14761690.39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元，包括在职和离退休人员基本工资、津贴补贴等人员经费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公用经费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5614309.74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元，其中办公费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709504.71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元、印刷费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281438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元、水电费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98902.42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元、邮电费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232033.66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元，差旅费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765974.6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元等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eastAsia="zh-CN"/>
        </w:rPr>
        <w:t>；设备购置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411442元，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保证了局机关的正常运转。详见《一般公共预算财政拨款基本支出决算表》。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　　201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555555"/>
          <w:spacing w:val="0"/>
          <w:sz w:val="28"/>
          <w:szCs w:val="28"/>
        </w:rPr>
        <w:t>年，我局严格执行部门预算，健全相关管理制度，切实加强“三公”经费管理，努力降低行政成本，厉行节约，勤俭办事，较好地完成了本年度的预算执行任务。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2018年12月5日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B2"/>
    <w:rsid w:val="009C24B2"/>
    <w:rsid w:val="3EE91FDC"/>
    <w:rsid w:val="63137233"/>
    <w:rsid w:val="6D535020"/>
    <w:rsid w:val="7A66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2019-01-02T03:14:00Z</dcterms:created>
  <dc:creator>扁扁</dc:creator>
  <cp:lastModifiedBy>扁扁</cp:lastModifiedBy>
  <dcterms:modified xsi:type="dcterms:W3CDTF">2019-01-04T02:21:22Z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