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209" w:rsidRDefault="00296209" w:rsidP="00296209">
      <w:pPr>
        <w:widowControl/>
        <w:spacing w:line="600" w:lineRule="exact"/>
        <w:ind w:left="147" w:hangingChars="46" w:hanging="147"/>
        <w:rPr>
          <w:rFonts w:ascii="仿宋" w:eastAsia="仿宋" w:hAnsi="仿宋"/>
          <w:sz w:val="32"/>
          <w:szCs w:val="32"/>
        </w:rPr>
      </w:pPr>
    </w:p>
    <w:p w:rsidR="00F82B84" w:rsidRPr="00F82B84" w:rsidRDefault="00F82B84" w:rsidP="00F82B84">
      <w:pPr>
        <w:snapToGrid w:val="0"/>
        <w:spacing w:afterLines="50" w:after="156" w:line="540" w:lineRule="exact"/>
        <w:ind w:left="0" w:firstLineChars="0" w:firstLine="0"/>
        <w:rPr>
          <w:rFonts w:ascii="Times New Roman" w:eastAsia="方正小标宋_GBK" w:hAnsi="Times New Roman" w:hint="eastAsia"/>
          <w:spacing w:val="-8"/>
          <w:sz w:val="32"/>
          <w:szCs w:val="32"/>
        </w:rPr>
      </w:pPr>
      <w:r w:rsidRPr="00F82B84">
        <w:rPr>
          <w:rFonts w:ascii="Times New Roman" w:eastAsia="方正小标宋_GBK" w:hAnsi="Times New Roman" w:hint="eastAsia"/>
          <w:spacing w:val="-8"/>
          <w:sz w:val="32"/>
          <w:szCs w:val="32"/>
        </w:rPr>
        <w:t>附件</w:t>
      </w:r>
      <w:r w:rsidRPr="00F82B84">
        <w:rPr>
          <w:rFonts w:ascii="Times New Roman" w:eastAsia="方正小标宋_GBK" w:hAnsi="Times New Roman" w:hint="eastAsia"/>
          <w:spacing w:val="-8"/>
          <w:sz w:val="32"/>
          <w:szCs w:val="32"/>
        </w:rPr>
        <w:t>1</w:t>
      </w:r>
    </w:p>
    <w:p w:rsidR="00F82B84" w:rsidRPr="00F82B84" w:rsidRDefault="00F82B84" w:rsidP="00F82B84">
      <w:pPr>
        <w:snapToGrid w:val="0"/>
        <w:spacing w:line="240" w:lineRule="auto"/>
        <w:ind w:left="0" w:firstLineChars="0" w:firstLine="0"/>
        <w:jc w:val="center"/>
        <w:rPr>
          <w:rFonts w:ascii="Times New Roman" w:eastAsia="方正小标宋_GBK" w:hAnsi="Times New Roman" w:hint="eastAsia"/>
          <w:spacing w:val="-8"/>
          <w:sz w:val="28"/>
          <w:szCs w:val="28"/>
        </w:rPr>
      </w:pPr>
      <w:r w:rsidRPr="00F82B84">
        <w:rPr>
          <w:rFonts w:ascii="Times New Roman" w:eastAsia="方正小标宋_GBK" w:hAnsi="Times New Roman" w:hint="eastAsia"/>
          <w:sz w:val="36"/>
          <w:szCs w:val="36"/>
        </w:rPr>
        <w:t>新邵县</w:t>
      </w:r>
      <w:r>
        <w:rPr>
          <w:rFonts w:ascii="Times New Roman" w:eastAsia="方正小标宋_GBK" w:hAnsi="Times New Roman" w:hint="eastAsia"/>
          <w:sz w:val="36"/>
          <w:szCs w:val="36"/>
        </w:rPr>
        <w:t>广播电视台</w:t>
      </w:r>
      <w:bookmarkStart w:id="0" w:name="_GoBack"/>
      <w:bookmarkEnd w:id="0"/>
      <w:r w:rsidRPr="00F82B84">
        <w:rPr>
          <w:rFonts w:ascii="Times New Roman" w:eastAsia="方正小标宋_GBK" w:hAnsi="Times New Roman"/>
          <w:sz w:val="36"/>
          <w:szCs w:val="36"/>
        </w:rPr>
        <w:t>201</w:t>
      </w:r>
      <w:r w:rsidRPr="00F82B84">
        <w:rPr>
          <w:rFonts w:ascii="Times New Roman" w:eastAsia="方正小标宋_GBK" w:hAnsi="Times New Roman" w:hint="eastAsia"/>
          <w:sz w:val="36"/>
          <w:szCs w:val="36"/>
        </w:rPr>
        <w:t>7</w:t>
      </w:r>
      <w:r w:rsidRPr="00F82B84">
        <w:rPr>
          <w:rFonts w:ascii="Times New Roman" w:eastAsia="方正小标宋_GBK" w:hAnsi="Times New Roman"/>
          <w:sz w:val="36"/>
          <w:szCs w:val="36"/>
        </w:rPr>
        <w:t>年度</w:t>
      </w:r>
      <w:r w:rsidRPr="00F82B84">
        <w:rPr>
          <w:rFonts w:ascii="Times New Roman" w:eastAsia="方正小标宋_GBK" w:hAnsi="Times New Roman" w:hint="eastAsia"/>
          <w:sz w:val="36"/>
          <w:szCs w:val="36"/>
        </w:rPr>
        <w:t>部门整体支出</w:t>
      </w:r>
      <w:r w:rsidRPr="00F82B84">
        <w:rPr>
          <w:rFonts w:ascii="Times New Roman" w:eastAsia="方正小标宋_GBK" w:hAnsi="Times New Roman"/>
          <w:spacing w:val="-8"/>
          <w:sz w:val="36"/>
          <w:szCs w:val="36"/>
        </w:rPr>
        <w:t>绩效评价指标评分表</w:t>
      </w:r>
    </w:p>
    <w:tbl>
      <w:tblPr>
        <w:tblW w:w="0" w:type="auto"/>
        <w:jc w:val="center"/>
        <w:tblLayout w:type="fixed"/>
        <w:tblCellMar>
          <w:left w:w="0" w:type="dxa"/>
          <w:right w:w="0" w:type="dxa"/>
        </w:tblCellMar>
        <w:tblLook w:val="0000" w:firstRow="0" w:lastRow="0" w:firstColumn="0" w:lastColumn="0" w:noHBand="0" w:noVBand="0"/>
      </w:tblPr>
      <w:tblGrid>
        <w:gridCol w:w="709"/>
        <w:gridCol w:w="680"/>
        <w:gridCol w:w="1172"/>
        <w:gridCol w:w="3573"/>
        <w:gridCol w:w="696"/>
        <w:gridCol w:w="5886"/>
        <w:gridCol w:w="464"/>
      </w:tblGrid>
      <w:tr w:rsidR="00F82B84" w:rsidRPr="00F82B84" w:rsidTr="006205A0">
        <w:trPr>
          <w:trHeight w:val="553"/>
          <w:tblHeader/>
          <w:jc w:val="center"/>
        </w:trPr>
        <w:tc>
          <w:tcPr>
            <w:tcW w:w="709" w:type="dxa"/>
            <w:tcBorders>
              <w:top w:val="single" w:sz="4" w:space="0" w:color="auto"/>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一级</w:t>
            </w:r>
            <w:r w:rsidRPr="00F82B84">
              <w:rPr>
                <w:rFonts w:ascii="宋体" w:hAnsi="宋体" w:cs="宋体" w:hint="eastAsia"/>
                <w:b/>
                <w:bCs/>
                <w:kern w:val="0"/>
                <w:sz w:val="20"/>
                <w:szCs w:val="20"/>
              </w:rPr>
              <w:br/>
              <w:t>指标</w:t>
            </w:r>
          </w:p>
        </w:tc>
        <w:tc>
          <w:tcPr>
            <w:tcW w:w="680" w:type="dxa"/>
            <w:tcBorders>
              <w:top w:val="single" w:sz="4" w:space="0" w:color="auto"/>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二级</w:t>
            </w:r>
          </w:p>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指标</w:t>
            </w:r>
          </w:p>
        </w:tc>
        <w:tc>
          <w:tcPr>
            <w:tcW w:w="1172" w:type="dxa"/>
            <w:tcBorders>
              <w:top w:val="single" w:sz="4" w:space="0" w:color="auto"/>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三级指标</w:t>
            </w:r>
          </w:p>
        </w:tc>
        <w:tc>
          <w:tcPr>
            <w:tcW w:w="3573" w:type="dxa"/>
            <w:tcBorders>
              <w:top w:val="single" w:sz="4" w:space="0" w:color="auto"/>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指标解释</w:t>
            </w:r>
          </w:p>
        </w:tc>
        <w:tc>
          <w:tcPr>
            <w:tcW w:w="696" w:type="dxa"/>
            <w:tcBorders>
              <w:top w:val="single" w:sz="4" w:space="0" w:color="auto"/>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kern w:val="0"/>
                <w:sz w:val="20"/>
                <w:szCs w:val="20"/>
              </w:rPr>
              <w:t>分值</w:t>
            </w:r>
          </w:p>
        </w:tc>
        <w:tc>
          <w:tcPr>
            <w:tcW w:w="5886" w:type="dxa"/>
            <w:tcBorders>
              <w:top w:val="single" w:sz="4" w:space="0" w:color="auto"/>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指标说明</w:t>
            </w:r>
          </w:p>
        </w:tc>
        <w:tc>
          <w:tcPr>
            <w:tcW w:w="464" w:type="dxa"/>
            <w:tcBorders>
              <w:top w:val="single" w:sz="4" w:space="0" w:color="auto"/>
              <w:left w:val="nil"/>
              <w:bottom w:val="single" w:sz="8" w:space="0" w:color="auto"/>
              <w:right w:val="single" w:sz="8" w:space="0" w:color="auto"/>
            </w:tcBorders>
            <w:vAlign w:val="center"/>
          </w:tcPr>
          <w:p w:rsidR="00F82B84" w:rsidRPr="00F82B84" w:rsidRDefault="00F82B84" w:rsidP="00F82B84">
            <w:pPr>
              <w:snapToGrid w:val="0"/>
              <w:spacing w:line="240" w:lineRule="auto"/>
              <w:ind w:left="0" w:firstLineChars="0" w:firstLine="0"/>
              <w:jc w:val="center"/>
              <w:textAlignment w:val="center"/>
              <w:rPr>
                <w:rFonts w:ascii="宋体" w:hAnsi="宋体" w:cs="宋体" w:hint="eastAsia"/>
                <w:b/>
                <w:kern w:val="0"/>
                <w:sz w:val="20"/>
                <w:szCs w:val="20"/>
              </w:rPr>
            </w:pPr>
            <w:r w:rsidRPr="00F82B84">
              <w:rPr>
                <w:rFonts w:ascii="宋体" w:hAnsi="宋体" w:cs="宋体" w:hint="eastAsia"/>
                <w:b/>
                <w:kern w:val="0"/>
                <w:sz w:val="20"/>
                <w:szCs w:val="20"/>
              </w:rPr>
              <w:t>单位</w:t>
            </w:r>
          </w:p>
          <w:p w:rsidR="00F82B84" w:rsidRPr="00F82B84" w:rsidRDefault="00F82B84" w:rsidP="00F82B84">
            <w:pPr>
              <w:snapToGrid w:val="0"/>
              <w:spacing w:line="240" w:lineRule="auto"/>
              <w:ind w:left="0" w:firstLineChars="0" w:firstLine="0"/>
              <w:jc w:val="center"/>
              <w:textAlignment w:val="center"/>
              <w:rPr>
                <w:rFonts w:ascii="Times New Roman" w:hAnsi="Times New Roman"/>
                <w:b/>
                <w:bCs/>
                <w:sz w:val="20"/>
                <w:szCs w:val="20"/>
              </w:rPr>
            </w:pPr>
            <w:r w:rsidRPr="00F82B84">
              <w:rPr>
                <w:rFonts w:ascii="宋体" w:hAnsi="宋体" w:cs="宋体" w:hint="eastAsia"/>
                <w:b/>
                <w:kern w:val="0"/>
                <w:sz w:val="20"/>
                <w:szCs w:val="20"/>
              </w:rPr>
              <w:t>自评</w:t>
            </w:r>
          </w:p>
        </w:tc>
      </w:tr>
      <w:tr w:rsidR="00F82B84" w:rsidRPr="00F82B84" w:rsidTr="006205A0">
        <w:trPr>
          <w:trHeight w:val="1006"/>
          <w:jc w:val="center"/>
        </w:trPr>
        <w:tc>
          <w:tcPr>
            <w:tcW w:w="709" w:type="dxa"/>
            <w:vMerge w:val="restart"/>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投入(20分)</w:t>
            </w:r>
          </w:p>
        </w:tc>
        <w:tc>
          <w:tcPr>
            <w:tcW w:w="680" w:type="dxa"/>
            <w:vMerge w:val="restart"/>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目标</w:t>
            </w:r>
            <w:r w:rsidRPr="00F82B84">
              <w:rPr>
                <w:rFonts w:ascii="宋体" w:hAnsi="宋体" w:cs="宋体" w:hint="eastAsia"/>
                <w:b/>
                <w:bCs/>
                <w:kern w:val="0"/>
                <w:sz w:val="20"/>
                <w:szCs w:val="20"/>
              </w:rPr>
              <w:br/>
              <w:t>设定</w:t>
            </w:r>
          </w:p>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（5分）</w:t>
            </w: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绩效目标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合理性</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部门所设立的整体绩效目标依据是否充分，是否符合客观实际，用以反映和考核部门整体绩效目标与部门履职、年度工作任务的相符性情况。</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①符合国家法律法规、国民经济和社会发展总体规划计1分；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②符合部门“三定”方案确定的职责计0.5分；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③是否符合部门制定的中长期实施规划计0.5分。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w:t>
            </w:r>
          </w:p>
        </w:tc>
      </w:tr>
      <w:tr w:rsidR="00F82B84" w:rsidRPr="00F82B84" w:rsidTr="006205A0">
        <w:trPr>
          <w:trHeight w:val="1024"/>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绩效指标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明确性</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（3分）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部门依据整体绩效目标所设定的绩效指标是否清晰、细化、可衡量，用以反映和考核部门整体绩效目标的明细化情况。</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3</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①将部门整体的绩效目标细化分解为具体的工作任务计1分；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②通过清晰、可衡量的指标值予以体现计0.5分；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③与部门年度的任务数或计划数相对应计0.5分；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④与本年度部门预算资金相匹配计1分。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3</w:t>
            </w:r>
          </w:p>
        </w:tc>
      </w:tr>
      <w:tr w:rsidR="00F82B84" w:rsidRPr="00F82B84" w:rsidTr="006205A0">
        <w:trPr>
          <w:trHeight w:val="1077"/>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val="restart"/>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预算</w:t>
            </w:r>
            <w:r w:rsidRPr="00F82B84">
              <w:rPr>
                <w:rFonts w:ascii="宋体" w:hAnsi="宋体" w:cs="宋体" w:hint="eastAsia"/>
                <w:b/>
                <w:bCs/>
                <w:kern w:val="0"/>
                <w:sz w:val="20"/>
                <w:szCs w:val="20"/>
              </w:rPr>
              <w:br/>
              <w:t>配置（15分）</w:t>
            </w: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在职人员</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控制率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部门本年度实际在职人员数与编制数的比率，用以反映和考核部门对人员成本的控制程度。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r>
      <w:tr w:rsidR="00F82B84" w:rsidRPr="00F82B84" w:rsidTr="006205A0">
        <w:trPr>
          <w:trHeight w:val="1057"/>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“三公经费”变动率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部门本年度“三公经费”预算数与上年度“三公经费”预算数的变动比率，用以反映和考核部门对控制重点行政成本的努力程度。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r>
      <w:tr w:rsidR="00F82B84" w:rsidRPr="00F82B84" w:rsidTr="006205A0">
        <w:trPr>
          <w:trHeight w:val="1451"/>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重点支出</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安排率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部门本年度预算安排的重点项目支出与部门项目总支出的比率，用以反映和考核部门对履行主要职责或完成重点任务的保障程度。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r>
      <w:tr w:rsidR="00F82B84" w:rsidRPr="00F82B84" w:rsidTr="006205A0">
        <w:trPr>
          <w:trHeight w:val="850"/>
          <w:jc w:val="center"/>
        </w:trPr>
        <w:tc>
          <w:tcPr>
            <w:tcW w:w="709" w:type="dxa"/>
            <w:vMerge w:val="restart"/>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lastRenderedPageBreak/>
              <w:t>过程</w:t>
            </w:r>
          </w:p>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(40分)</w:t>
            </w:r>
          </w:p>
        </w:tc>
        <w:tc>
          <w:tcPr>
            <w:tcW w:w="680" w:type="dxa"/>
            <w:vMerge w:val="restart"/>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预算</w:t>
            </w:r>
            <w:r w:rsidRPr="00F82B84">
              <w:rPr>
                <w:rFonts w:ascii="宋体" w:hAnsi="宋体" w:cs="宋体" w:hint="eastAsia"/>
                <w:b/>
                <w:bCs/>
                <w:kern w:val="0"/>
                <w:sz w:val="20"/>
                <w:szCs w:val="20"/>
              </w:rPr>
              <w:br/>
              <w:t>执行</w:t>
            </w:r>
          </w:p>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(23分)</w:t>
            </w: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预算</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完成率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（4分）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部门本年度预算完成数与预算数的比率，用以反映和考核部门预算完成程度。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4</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预算完成率=（预算完成数/预算数）×100%。完成年初预算计4分，未完成年初预算按比例扣减，预算完成数：部门本年度实际完成的预算数。预算数：财政部门批复的本年度部门预算数。</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4</w:t>
            </w:r>
          </w:p>
        </w:tc>
      </w:tr>
      <w:tr w:rsidR="00F82B84" w:rsidRPr="00F82B84" w:rsidTr="006205A0">
        <w:trPr>
          <w:trHeight w:val="1289"/>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预算</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调整率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部门本年度预算调整数与预算数的比率，用以反映和考核部门预算的调整程度。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1</w:t>
            </w:r>
          </w:p>
        </w:tc>
      </w:tr>
      <w:tr w:rsidR="00F82B84" w:rsidRPr="00F82B84" w:rsidTr="006205A0">
        <w:trPr>
          <w:trHeight w:val="1627"/>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支付</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进度率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部门实际支付进度与既定支付进度的比率，用以反映和考核部门预算执行的及时性和均衡性程度。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w:t>
            </w:r>
          </w:p>
        </w:tc>
      </w:tr>
      <w:tr w:rsidR="00F82B84" w:rsidRPr="00F82B84" w:rsidTr="006205A0">
        <w:trPr>
          <w:trHeight w:val="1159"/>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结转结余</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控制率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（4分）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部门本年度结转结余总额与上年结转结余总额增减比例，用以反映和考核部门对存量资金的实际控制程度。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4</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w:t>
            </w:r>
          </w:p>
        </w:tc>
      </w:tr>
      <w:tr w:rsidR="00F82B84" w:rsidRPr="00F82B84" w:rsidTr="006205A0">
        <w:trPr>
          <w:trHeight w:val="936"/>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公用经费</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控制率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（4分）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部门本年度实际支出的公用经费总额与预算安排的公用经费总额的比率，用以反映和考核部门对机构运转成本的实际控制程度。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4</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公用经费控制率=（实际支出公用经费总额/预算安排公用经费总额）×100%。为100%的计4分，每超过1个百分点扣0.1分，扣完为止。</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3</w:t>
            </w:r>
          </w:p>
        </w:tc>
      </w:tr>
      <w:tr w:rsidR="00F82B84" w:rsidRPr="00F82B84" w:rsidTr="006205A0">
        <w:trPr>
          <w:trHeight w:val="879"/>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“三公经费”控制率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（3分）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部门本年度“三公经费”实际支出数与预算安排数的比率，用以反映和考核部门对“三公经费”的实际控制程度。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3</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“三公经费”控制率=（“三公经费”实际支出数/“三公经费”预算安排数）×100%。为100%的计3分，每超过1个百分点扣0.5分，扣完为止。</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3</w:t>
            </w:r>
          </w:p>
        </w:tc>
      </w:tr>
      <w:tr w:rsidR="00F82B84" w:rsidRPr="00F82B84" w:rsidTr="006205A0">
        <w:trPr>
          <w:trHeight w:val="1170"/>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政府采购</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执行率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（4分）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部门本年度实际政府采购金额与年初政府采购预算的比率，用以反映和考核部门政府采购预算执行情况。</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4</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4</w:t>
            </w:r>
          </w:p>
        </w:tc>
      </w:tr>
      <w:tr w:rsidR="00F82B84" w:rsidRPr="00F82B84" w:rsidTr="006205A0">
        <w:trPr>
          <w:trHeight w:val="1076"/>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val="restart"/>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预算</w:t>
            </w:r>
          </w:p>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管理</w:t>
            </w:r>
          </w:p>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(12分)</w:t>
            </w: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管理制度</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健全性</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部门为加强预算管理、规范财务行为而制定的管理制度是否健全完整，用以反映和考核部门预算管理制度对完成主要职责或促进事业发展的保障情况。</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已制定或具有预算资金管理办法、内部财务管理制度、会计核算制度等管理制度计1分；相关管理制度合法、合规、完整计0.5分；相关管理制度得到有效执行计0.5分。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1.5</w:t>
            </w:r>
          </w:p>
        </w:tc>
      </w:tr>
      <w:tr w:rsidR="00F82B84" w:rsidRPr="00F82B84" w:rsidTr="006205A0">
        <w:trPr>
          <w:trHeight w:val="1559"/>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资金使用</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合规性</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部门使用预算资金是否符合相关的预算财务管理制度的规定，用以反映和考核部门预算资金的规范运行情况。</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①符合国家财经法规和财务管理制度规定以及有关专项资金管理办法的规定计1分；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②资金的拨付有完整的审批程序和手续计1分；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③项目的重大开支经过评估论证计1分；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④符合部门预算批复的用途计1分；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⑤不存在截留、挤占、挪用、虚列支出等情况计1分。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r>
      <w:tr w:rsidR="00F82B84" w:rsidRPr="00F82B84" w:rsidTr="006205A0">
        <w:trPr>
          <w:trHeight w:val="897"/>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预决算信</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息公开性</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部门是否按照政府信息公开有关规定公开相关预决算信息，用以反映和考核部门预决算管理的公开透明情况。</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①按规定内容公开预决算信息计1分；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②按规定时限公开预决算信息计1分。预决算信息是指与部门预算、执行、决算、监督、绩效等管理相关的信息。</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w:t>
            </w:r>
          </w:p>
        </w:tc>
      </w:tr>
      <w:tr w:rsidR="00F82B84" w:rsidRPr="00F82B84" w:rsidTr="006205A0">
        <w:trPr>
          <w:trHeight w:val="821"/>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基础信息</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完善性</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（3分）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部门基础信息是否完善，用以反映和考核基础信息对预算管理工作的支撑情况。</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3</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①基础数据信息和会计信息资料真实计1分；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②基础数据信息和会计信息资料完整计1分；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③基础数据信息和会计信息资料准确计1分。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3</w:t>
            </w:r>
          </w:p>
        </w:tc>
      </w:tr>
      <w:tr w:rsidR="00F82B84" w:rsidRPr="00F82B84" w:rsidTr="006205A0">
        <w:trPr>
          <w:trHeight w:val="968"/>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val="restart"/>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资产</w:t>
            </w:r>
            <w:r w:rsidRPr="00F82B84">
              <w:rPr>
                <w:rFonts w:ascii="宋体" w:hAnsi="宋体" w:cs="宋体" w:hint="eastAsia"/>
                <w:b/>
                <w:bCs/>
                <w:kern w:val="0"/>
                <w:sz w:val="20"/>
                <w:szCs w:val="20"/>
              </w:rPr>
              <w:br/>
              <w:t>管理</w:t>
            </w:r>
          </w:p>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（5分）</w:t>
            </w: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管理制度</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健全性</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部门为加强资产管理、规范资产管理行为而制定的管理制度是否健全完整，用以反映和考核部门资产管理制度对完成主要职责或促进社会发展的保障情况。</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①制定或具有资产管理制度计1分；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②相关资金管理制度合法、合规、完整计0.5分；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③相关资产管理制度得到有效执行计0.5分。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w:t>
            </w:r>
          </w:p>
        </w:tc>
      </w:tr>
      <w:tr w:rsidR="00F82B84" w:rsidRPr="00F82B84" w:rsidTr="006205A0">
        <w:trPr>
          <w:trHeight w:val="1382"/>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资产管理</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安全性</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761"/>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部门的资产是否保存完整、使用合规、配置合理、处置规范、收入及时足额上缴，用以反映和考核部门资产安全运行情况。</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①资产保存完整计0.4分；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②资产配置合理计0.4分；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③资产处置规范计0.4分；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④资产账务管理合规、帐实相符计0.4分；</w:t>
            </w:r>
          </w:p>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⑤资产有偿使用及处置收入及时足额上缴计0.4分。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761"/>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2</w:t>
            </w:r>
          </w:p>
        </w:tc>
      </w:tr>
      <w:tr w:rsidR="00F82B84" w:rsidRPr="00F82B84" w:rsidTr="006205A0">
        <w:trPr>
          <w:trHeight w:val="919"/>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固定资产</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利用率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（1分）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部门实际在用固定资产总额与所有固定资产总额的比率，用以反映和考核部门固定资产使用效率程度。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1</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固定资产利用率=（实际在用固定资产总额/所有固定资产总额）×100%。利用率为100%的计1分，每降1个百分点扣0.1分，扣完为止。</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1</w:t>
            </w:r>
          </w:p>
        </w:tc>
      </w:tr>
      <w:tr w:rsidR="00F82B84" w:rsidRPr="00F82B84" w:rsidTr="006205A0">
        <w:trPr>
          <w:trHeight w:val="894"/>
          <w:jc w:val="center"/>
        </w:trPr>
        <w:tc>
          <w:tcPr>
            <w:tcW w:w="709" w:type="dxa"/>
            <w:vMerge w:val="restart"/>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产出</w:t>
            </w:r>
          </w:p>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(20分)</w:t>
            </w:r>
          </w:p>
        </w:tc>
        <w:tc>
          <w:tcPr>
            <w:tcW w:w="680" w:type="dxa"/>
            <w:vMerge w:val="restart"/>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职责</w:t>
            </w:r>
            <w:r w:rsidRPr="00F82B84">
              <w:rPr>
                <w:rFonts w:ascii="宋体" w:hAnsi="宋体" w:cs="宋体" w:hint="eastAsia"/>
                <w:b/>
                <w:bCs/>
                <w:kern w:val="0"/>
                <w:sz w:val="20"/>
                <w:szCs w:val="20"/>
              </w:rPr>
              <w:br/>
              <w:t>履行</w:t>
            </w: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实际完成率（5分）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部门履行职责而实际完成工作数与计划工作数的比率，用以反映和考核部门履职工作任务目标的实现程度。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实际完成率得分=完成县委县政府绩效考核得分或上级主管部门考核指标得分/指标分值*5分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4</w:t>
            </w:r>
          </w:p>
        </w:tc>
      </w:tr>
      <w:tr w:rsidR="00F82B84" w:rsidRPr="00F82B84" w:rsidTr="006205A0">
        <w:trPr>
          <w:trHeight w:val="864"/>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完成及时率（4分）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部门在规定时限内及时完成的实际工作数与计划工作数的比率,用以反映和考核部门履职时效目标的实现程度。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4</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完成及时率=（及时完成实际工作数/计划工作数）×100%。1-4季度各得1分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4</w:t>
            </w:r>
          </w:p>
        </w:tc>
      </w:tr>
      <w:tr w:rsidR="00F82B84" w:rsidRPr="00F82B84" w:rsidTr="006205A0">
        <w:trPr>
          <w:trHeight w:val="804"/>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质量达标率（5分）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达到质量标准（绩效标准值）的实际工作数与计划工作数的比率,用以反映和考核部门履职质量目标的实现程度。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质量达标率=（质量达标实际工作数/计划工作数）×100%。实际得分=达标率*5分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r>
      <w:tr w:rsidR="00F82B84" w:rsidRPr="00F82B84" w:rsidTr="006205A0">
        <w:trPr>
          <w:trHeight w:val="1059"/>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重点工作</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办结率</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（6分）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部门年度重点工作实际完成数与交办或下达数的比率，用以反映部门对重点工作的办理落实程度。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6</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重点工作办结率=（重点工作实际完成数/交办或下达数）×100%。实际得分=办结率*6分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r>
      <w:tr w:rsidR="00F82B84" w:rsidRPr="00F82B84" w:rsidTr="006205A0">
        <w:trPr>
          <w:trHeight w:val="644"/>
          <w:jc w:val="center"/>
        </w:trPr>
        <w:tc>
          <w:tcPr>
            <w:tcW w:w="709" w:type="dxa"/>
            <w:vMerge w:val="restart"/>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效果</w:t>
            </w:r>
          </w:p>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(20分)</w:t>
            </w:r>
          </w:p>
        </w:tc>
        <w:tc>
          <w:tcPr>
            <w:tcW w:w="680" w:type="dxa"/>
            <w:vMerge w:val="restart"/>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履职</w:t>
            </w:r>
            <w:r w:rsidRPr="00F82B84">
              <w:rPr>
                <w:rFonts w:ascii="宋体" w:hAnsi="宋体" w:cs="宋体" w:hint="eastAsia"/>
                <w:b/>
                <w:bCs/>
                <w:kern w:val="0"/>
                <w:sz w:val="20"/>
                <w:szCs w:val="20"/>
              </w:rPr>
              <w:br/>
              <w:t>效益(20分)</w:t>
            </w: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经济效益</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部门履行职责对经济发展所带来的直接或间接影响。</w:t>
            </w:r>
          </w:p>
        </w:tc>
        <w:tc>
          <w:tcPr>
            <w:tcW w:w="696" w:type="dxa"/>
            <w:tcBorders>
              <w:top w:val="nil"/>
              <w:left w:val="nil"/>
              <w:bottom w:val="single" w:sz="4"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c>
          <w:tcPr>
            <w:tcW w:w="5886" w:type="dxa"/>
            <w:tcBorders>
              <w:top w:val="nil"/>
              <w:left w:val="nil"/>
              <w:bottom w:val="single" w:sz="4"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按经济效益实现程度计算得分（5分）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r>
      <w:tr w:rsidR="00F82B84" w:rsidRPr="00F82B84" w:rsidTr="006205A0">
        <w:trPr>
          <w:trHeight w:val="644"/>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社会效益</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部门履行职责对社会发展所带来的直接或间接影响。</w:t>
            </w:r>
          </w:p>
        </w:tc>
        <w:tc>
          <w:tcPr>
            <w:tcW w:w="696" w:type="dxa"/>
            <w:tcBorders>
              <w:top w:val="single" w:sz="4" w:space="0" w:color="auto"/>
              <w:left w:val="nil"/>
              <w:bottom w:val="single" w:sz="4"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sz w:val="20"/>
                <w:szCs w:val="20"/>
              </w:rPr>
            </w:pPr>
            <w:r w:rsidRPr="00F82B84">
              <w:rPr>
                <w:rFonts w:ascii="宋体" w:hAnsi="宋体" w:cs="宋体" w:hint="eastAsia"/>
                <w:sz w:val="20"/>
                <w:szCs w:val="20"/>
              </w:rPr>
              <w:t>5</w:t>
            </w:r>
          </w:p>
        </w:tc>
        <w:tc>
          <w:tcPr>
            <w:tcW w:w="5886" w:type="dxa"/>
            <w:tcBorders>
              <w:top w:val="single" w:sz="4" w:space="0" w:color="auto"/>
              <w:left w:val="nil"/>
              <w:bottom w:val="single" w:sz="4"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sz w:val="20"/>
                <w:szCs w:val="20"/>
              </w:rPr>
            </w:pPr>
            <w:r w:rsidRPr="00F82B84">
              <w:rPr>
                <w:rFonts w:ascii="宋体" w:hAnsi="宋体" w:cs="宋体" w:hint="eastAsia"/>
                <w:sz w:val="20"/>
                <w:szCs w:val="20"/>
              </w:rPr>
              <w:t>按社会效益实现程度计算得分（5分）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r>
      <w:tr w:rsidR="00F82B84" w:rsidRPr="00F82B84" w:rsidTr="006205A0">
        <w:trPr>
          <w:trHeight w:val="644"/>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lang w:bidi="ar"/>
              </w:rPr>
            </w:pPr>
            <w:r w:rsidRPr="00F82B84">
              <w:rPr>
                <w:rFonts w:ascii="宋体" w:hAnsi="宋体" w:cs="宋体" w:hint="eastAsia"/>
                <w:kern w:val="0"/>
                <w:sz w:val="20"/>
                <w:szCs w:val="20"/>
                <w:lang w:bidi="ar"/>
              </w:rPr>
              <w:t>行政效能</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lang w:bidi="ar"/>
              </w:rPr>
            </w:pPr>
            <w:r w:rsidRPr="00F82B84">
              <w:rPr>
                <w:rFonts w:ascii="宋体" w:hAnsi="宋体" w:cs="宋体" w:hint="eastAsia"/>
                <w:kern w:val="0"/>
                <w:sz w:val="20"/>
                <w:szCs w:val="20"/>
                <w:lang w:bidi="ar"/>
              </w:rPr>
              <w:t>（5分）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促进部门改进文风会风，加强经费及资产管理，推动网上办事，提高行政效率。</w:t>
            </w:r>
          </w:p>
        </w:tc>
        <w:tc>
          <w:tcPr>
            <w:tcW w:w="696" w:type="dxa"/>
            <w:tcBorders>
              <w:top w:val="single" w:sz="4" w:space="0" w:color="auto"/>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c>
          <w:tcPr>
            <w:tcW w:w="5886" w:type="dxa"/>
            <w:tcBorders>
              <w:top w:val="single" w:sz="4" w:space="0" w:color="auto"/>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降低行政成本效果较好的计6分；一般3分；无效果或者效果不明显0分。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r>
      <w:tr w:rsidR="00F82B84" w:rsidRPr="00F82B84" w:rsidTr="006205A0">
        <w:trPr>
          <w:trHeight w:val="1259"/>
          <w:jc w:val="center"/>
        </w:trPr>
        <w:tc>
          <w:tcPr>
            <w:tcW w:w="709" w:type="dxa"/>
            <w:vMerge/>
            <w:tcBorders>
              <w:top w:val="nil"/>
              <w:left w:val="single" w:sz="8" w:space="0" w:color="auto"/>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680" w:type="dxa"/>
            <w:vMerge/>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b/>
                <w:bCs/>
                <w:sz w:val="20"/>
                <w:szCs w:val="20"/>
              </w:rPr>
            </w:pP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社会公众</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或服务对</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象满意度</w:t>
            </w:r>
          </w:p>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（5分）</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100" w:firstLine="200"/>
              <w:rPr>
                <w:rFonts w:ascii="宋体" w:hAnsi="宋体" w:cs="宋体" w:hint="eastAsia"/>
                <w:kern w:val="0"/>
                <w:sz w:val="20"/>
                <w:szCs w:val="20"/>
              </w:rPr>
            </w:pPr>
            <w:r w:rsidRPr="00F82B84">
              <w:rPr>
                <w:rFonts w:ascii="宋体" w:hAnsi="宋体" w:cs="宋体" w:hint="eastAsia"/>
                <w:kern w:val="0"/>
                <w:sz w:val="20"/>
                <w:szCs w:val="20"/>
              </w:rPr>
              <w:t>社会公众或部门的服务对象对部门履职效果的满意程度。</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hint="eastAsia"/>
                <w:kern w:val="0"/>
                <w:sz w:val="20"/>
                <w:szCs w:val="20"/>
              </w:rPr>
            </w:pPr>
            <w:r w:rsidRPr="00F82B84">
              <w:rPr>
                <w:rFonts w:ascii="宋体" w:hAnsi="宋体" w:hint="eastAsia"/>
                <w:kern w:val="0"/>
                <w:sz w:val="20"/>
                <w:szCs w:val="20"/>
              </w:rPr>
              <w:t>5</w:t>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100" w:firstLine="200"/>
              <w:rPr>
                <w:rFonts w:ascii="宋体" w:hAnsi="宋体" w:cs="宋体" w:hint="eastAsia"/>
                <w:kern w:val="0"/>
                <w:sz w:val="20"/>
                <w:szCs w:val="20"/>
              </w:rPr>
            </w:pPr>
            <w:r w:rsidRPr="00F82B84">
              <w:rPr>
                <w:rFonts w:ascii="宋体" w:hAnsi="宋体" w:hint="eastAsia"/>
                <w:kern w:val="0"/>
                <w:sz w:val="20"/>
                <w:szCs w:val="20"/>
              </w:rPr>
              <w:t>90%</w:t>
            </w:r>
            <w:r w:rsidRPr="00F82B84">
              <w:rPr>
                <w:rFonts w:ascii="宋体" w:hAnsi="宋体" w:cs="宋体" w:hint="eastAsia"/>
                <w:kern w:val="0"/>
                <w:sz w:val="20"/>
                <w:szCs w:val="20"/>
              </w:rPr>
              <w:t>（含）以上计5分；80%（含）-90%，计4分；70%（含）-80%，计3分；60%（含）-70%，计2分；低于60%计0分。</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5</w:t>
            </w:r>
          </w:p>
        </w:tc>
      </w:tr>
      <w:tr w:rsidR="00F82B84" w:rsidRPr="00F82B84" w:rsidTr="006205A0">
        <w:trPr>
          <w:trHeight w:val="669"/>
          <w:jc w:val="center"/>
        </w:trPr>
        <w:tc>
          <w:tcPr>
            <w:tcW w:w="709" w:type="dxa"/>
            <w:tcBorders>
              <w:top w:val="nil"/>
              <w:left w:val="single" w:sz="8" w:space="0" w:color="auto"/>
              <w:bottom w:val="single" w:sz="8" w:space="0" w:color="auto"/>
              <w:right w:val="single" w:sz="8" w:space="0" w:color="auto"/>
            </w:tcBorders>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总分</w:t>
            </w:r>
          </w:p>
        </w:tc>
        <w:tc>
          <w:tcPr>
            <w:tcW w:w="680" w:type="dxa"/>
            <w:tcBorders>
              <w:top w:val="nil"/>
              <w:left w:val="nil"/>
              <w:bottom w:val="single" w:sz="8" w:space="0" w:color="auto"/>
              <w:right w:val="single" w:sz="8" w:space="0" w:color="auto"/>
            </w:tcBorders>
            <w:vAlign w:val="center"/>
          </w:tcPr>
          <w:p w:rsidR="00F82B84" w:rsidRPr="00F82B84" w:rsidRDefault="00F82B84" w:rsidP="00F82B84">
            <w:pPr>
              <w:snapToGrid w:val="0"/>
              <w:spacing w:line="240" w:lineRule="exact"/>
              <w:ind w:left="0" w:firstLineChars="0" w:firstLine="0"/>
              <w:jc w:val="center"/>
              <w:rPr>
                <w:rFonts w:ascii="宋体" w:hAnsi="宋体" w:cs="宋体" w:hint="eastAsia"/>
                <w:b/>
                <w:bCs/>
                <w:kern w:val="0"/>
                <w:sz w:val="20"/>
                <w:szCs w:val="20"/>
              </w:rPr>
            </w:pPr>
            <w:r w:rsidRPr="00F82B84">
              <w:rPr>
                <w:rFonts w:ascii="宋体" w:hAnsi="宋体" w:cs="宋体" w:hint="eastAsia"/>
                <w:b/>
                <w:bCs/>
                <w:kern w:val="0"/>
                <w:sz w:val="20"/>
                <w:szCs w:val="20"/>
              </w:rPr>
              <w:t>100</w:t>
            </w:r>
          </w:p>
        </w:tc>
        <w:tc>
          <w:tcPr>
            <w:tcW w:w="1172"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t xml:space="preserve">100　</w:t>
            </w:r>
          </w:p>
        </w:tc>
        <w:tc>
          <w:tcPr>
            <w:tcW w:w="3573"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tabs>
                <w:tab w:val="left" w:pos="2604"/>
              </w:tabs>
              <w:snapToGrid w:val="0"/>
              <w:spacing w:line="240" w:lineRule="exact"/>
              <w:ind w:left="0" w:firstLineChars="0" w:firstLine="0"/>
              <w:rPr>
                <w:rFonts w:ascii="宋体" w:hAnsi="宋体" w:cs="宋体" w:hint="eastAsia"/>
                <w:kern w:val="0"/>
                <w:sz w:val="20"/>
                <w:szCs w:val="20"/>
              </w:rPr>
            </w:pPr>
            <w:r w:rsidRPr="00F82B84">
              <w:rPr>
                <w:rFonts w:ascii="宋体" w:hAnsi="宋体" w:cs="宋体" w:hint="eastAsia"/>
                <w:kern w:val="0"/>
                <w:sz w:val="20"/>
                <w:szCs w:val="20"/>
              </w:rPr>
              <w:t> </w:t>
            </w:r>
          </w:p>
        </w:tc>
        <w:tc>
          <w:tcPr>
            <w:tcW w:w="69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fldChar w:fldCharType="begin"/>
            </w:r>
            <w:r w:rsidRPr="00F82B84">
              <w:rPr>
                <w:rFonts w:ascii="宋体" w:hAnsi="宋体" w:cs="宋体" w:hint="eastAsia"/>
                <w:kern w:val="0"/>
                <w:sz w:val="20"/>
                <w:szCs w:val="20"/>
              </w:rPr>
              <w:instrText xml:space="preserve"> = sum(E2:E28) \* MERGEFORMAT </w:instrText>
            </w:r>
            <w:r w:rsidRPr="00F82B84">
              <w:rPr>
                <w:rFonts w:ascii="宋体" w:hAnsi="宋体" w:cs="宋体" w:hint="eastAsia"/>
                <w:kern w:val="0"/>
                <w:sz w:val="20"/>
                <w:szCs w:val="20"/>
              </w:rPr>
              <w:fldChar w:fldCharType="separate"/>
            </w:r>
            <w:r w:rsidRPr="00F82B84">
              <w:rPr>
                <w:rFonts w:ascii="宋体" w:hAnsi="宋体" w:cs="宋体" w:hint="eastAsia"/>
                <w:kern w:val="0"/>
                <w:sz w:val="20"/>
                <w:szCs w:val="20"/>
              </w:rPr>
              <w:t>100</w:t>
            </w:r>
            <w:r w:rsidRPr="00F82B84">
              <w:rPr>
                <w:rFonts w:ascii="宋体" w:hAnsi="宋体" w:cs="宋体" w:hint="eastAsia"/>
                <w:kern w:val="0"/>
                <w:sz w:val="20"/>
                <w:szCs w:val="20"/>
              </w:rPr>
              <w:fldChar w:fldCharType="end"/>
            </w:r>
          </w:p>
        </w:tc>
        <w:tc>
          <w:tcPr>
            <w:tcW w:w="5886" w:type="dxa"/>
            <w:tcBorders>
              <w:top w:val="nil"/>
              <w:left w:val="nil"/>
              <w:bottom w:val="single" w:sz="8" w:space="0" w:color="auto"/>
              <w:right w:val="single" w:sz="8" w:space="0" w:color="auto"/>
            </w:tcBorders>
            <w:tcMar>
              <w:top w:w="10" w:type="dxa"/>
              <w:left w:w="10" w:type="dxa"/>
              <w:right w:w="10" w:type="dxa"/>
            </w:tcMar>
            <w:vAlign w:val="center"/>
          </w:tcPr>
          <w:p w:rsidR="00F82B84" w:rsidRPr="00F82B84" w:rsidRDefault="00F82B84" w:rsidP="00F82B84">
            <w:pPr>
              <w:snapToGrid w:val="0"/>
              <w:spacing w:line="240" w:lineRule="exact"/>
              <w:ind w:left="0" w:firstLineChars="0" w:firstLine="0"/>
              <w:rPr>
                <w:rFonts w:ascii="宋体" w:hAnsi="宋体" w:cs="宋体" w:hint="eastAsia"/>
                <w:kern w:val="0"/>
                <w:sz w:val="20"/>
                <w:szCs w:val="20"/>
              </w:rPr>
            </w:pPr>
            <w:r w:rsidRPr="00F82B84">
              <w:rPr>
                <w:rFonts w:ascii="宋体" w:hAnsi="宋体" w:cs="宋体" w:hint="eastAsia"/>
                <w:kern w:val="0"/>
                <w:sz w:val="20"/>
                <w:szCs w:val="20"/>
              </w:rPr>
              <w:t> </w:t>
            </w:r>
          </w:p>
        </w:tc>
        <w:tc>
          <w:tcPr>
            <w:tcW w:w="464" w:type="dxa"/>
            <w:tcBorders>
              <w:top w:val="nil"/>
              <w:left w:val="nil"/>
              <w:bottom w:val="single" w:sz="8" w:space="0" w:color="auto"/>
              <w:right w:val="single" w:sz="8" w:space="0" w:color="auto"/>
            </w:tcBorders>
            <w:vAlign w:val="center"/>
          </w:tcPr>
          <w:p w:rsidR="00F82B84" w:rsidRPr="00F82B84" w:rsidRDefault="00F82B84" w:rsidP="00F82B84">
            <w:pPr>
              <w:tabs>
                <w:tab w:val="left" w:pos="2604"/>
              </w:tabs>
              <w:spacing w:line="240" w:lineRule="atLeast"/>
              <w:ind w:left="0" w:firstLineChars="0" w:firstLine="0"/>
              <w:jc w:val="center"/>
              <w:rPr>
                <w:rFonts w:ascii="宋体" w:hAnsi="宋体" w:cs="宋体" w:hint="eastAsia"/>
                <w:kern w:val="0"/>
                <w:sz w:val="20"/>
                <w:szCs w:val="20"/>
              </w:rPr>
            </w:pPr>
            <w:r w:rsidRPr="00F82B84">
              <w:rPr>
                <w:rFonts w:ascii="宋体" w:hAnsi="宋体" w:cs="宋体" w:hint="eastAsia"/>
                <w:kern w:val="0"/>
                <w:sz w:val="20"/>
                <w:szCs w:val="20"/>
              </w:rPr>
              <w:fldChar w:fldCharType="begin"/>
            </w:r>
            <w:r w:rsidRPr="00F82B84">
              <w:rPr>
                <w:rFonts w:ascii="宋体" w:hAnsi="宋体" w:cs="宋体" w:hint="eastAsia"/>
                <w:kern w:val="0"/>
                <w:sz w:val="20"/>
                <w:szCs w:val="20"/>
              </w:rPr>
              <w:instrText xml:space="preserve"> = sum(G2:G28) \* MERGEFORMAT </w:instrText>
            </w:r>
            <w:r w:rsidRPr="00F82B84">
              <w:rPr>
                <w:rFonts w:ascii="宋体" w:hAnsi="宋体" w:cs="宋体" w:hint="eastAsia"/>
                <w:kern w:val="0"/>
                <w:sz w:val="20"/>
                <w:szCs w:val="20"/>
              </w:rPr>
              <w:fldChar w:fldCharType="separate"/>
            </w:r>
            <w:r w:rsidRPr="00F82B84">
              <w:rPr>
                <w:rFonts w:ascii="宋体" w:hAnsi="宋体" w:cs="宋体" w:hint="eastAsia"/>
                <w:kern w:val="0"/>
                <w:sz w:val="20"/>
                <w:szCs w:val="20"/>
              </w:rPr>
              <w:t>93.5</w:t>
            </w:r>
            <w:r w:rsidRPr="00F82B84">
              <w:rPr>
                <w:rFonts w:ascii="宋体" w:hAnsi="宋体" w:cs="宋体" w:hint="eastAsia"/>
                <w:kern w:val="0"/>
                <w:sz w:val="20"/>
                <w:szCs w:val="20"/>
              </w:rPr>
              <w:fldChar w:fldCharType="end"/>
            </w:r>
          </w:p>
        </w:tc>
      </w:tr>
    </w:tbl>
    <w:p w:rsidR="00F82B84" w:rsidRPr="00F82B84" w:rsidRDefault="00F82B84" w:rsidP="00F82B84">
      <w:pPr>
        <w:snapToGrid w:val="0"/>
        <w:spacing w:line="240" w:lineRule="auto"/>
        <w:ind w:left="0" w:firstLineChars="0" w:firstLine="0"/>
        <w:rPr>
          <w:rFonts w:ascii="宋体" w:hAnsi="宋体" w:hint="eastAsia"/>
          <w:sz w:val="10"/>
          <w:szCs w:val="10"/>
        </w:rPr>
      </w:pPr>
    </w:p>
    <w:p w:rsidR="004B7C49" w:rsidRDefault="004B7C49" w:rsidP="00296209">
      <w:pPr>
        <w:ind w:left="315" w:hanging="315"/>
      </w:pPr>
    </w:p>
    <w:sectPr w:rsidR="004B7C49" w:rsidSect="0029620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89"/>
    <w:rsid w:val="00296209"/>
    <w:rsid w:val="004B7C49"/>
    <w:rsid w:val="00712E89"/>
    <w:rsid w:val="00F82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209"/>
    <w:pPr>
      <w:widowControl w:val="0"/>
      <w:spacing w:line="320" w:lineRule="exact"/>
      <w:ind w:left="150" w:hangingChars="150" w:hanging="15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6209"/>
    <w:pPr>
      <w:spacing w:before="100" w:beforeAutospacing="1" w:after="100" w:afterAutospacing="1" w:line="240" w:lineRule="auto"/>
      <w:ind w:left="0" w:firstLineChars="0" w:firstLine="0"/>
      <w:jc w:val="left"/>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209"/>
    <w:pPr>
      <w:widowControl w:val="0"/>
      <w:spacing w:line="320" w:lineRule="exact"/>
      <w:ind w:left="150" w:hangingChars="150" w:hanging="15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6209"/>
    <w:pPr>
      <w:spacing w:before="100" w:beforeAutospacing="1" w:after="100" w:afterAutospacing="1" w:line="240" w:lineRule="auto"/>
      <w:ind w:left="0" w:firstLineChars="0" w:firstLine="0"/>
      <w:jc w:val="left"/>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2018-12-10T01:06:00Z</dcterms:created>
  <dcterms:modified xsi:type="dcterms:W3CDTF">2018-12-10T01:06:00Z</dcterms:modified>
</cp:coreProperties>
</file>