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left="262" w:leftChars="-100" w:right="-440" w:rightChars="-200" w:hanging="482"/>
        <w:jc w:val="center"/>
        <w:textAlignment w:val="auto"/>
        <w:rPr>
          <w:rFonts w:ascii="仿宋" w:hAnsi="仿宋" w:eastAsia="仿宋"/>
          <w:b/>
          <w:sz w:val="32"/>
          <w:szCs w:val="32"/>
        </w:rPr>
      </w:pPr>
      <w:r>
        <w:rPr>
          <w:rFonts w:hint="eastAsia" w:ascii="仿宋" w:hAnsi="仿宋" w:eastAsia="仿宋"/>
          <w:b/>
          <w:sz w:val="32"/>
          <w:szCs w:val="32"/>
        </w:rPr>
        <w:t>新邵县龙山国有林场</w:t>
      </w:r>
      <w:r>
        <w:rPr>
          <w:rFonts w:hint="eastAsia" w:ascii="仿宋" w:hAnsi="仿宋" w:eastAsia="仿宋" w:cs="宋体"/>
          <w:b/>
          <w:color w:val="000000"/>
          <w:sz w:val="32"/>
          <w:szCs w:val="32"/>
        </w:rPr>
        <w:t>社会事务管理专项资金</w:t>
      </w:r>
      <w:r>
        <w:rPr>
          <w:rFonts w:hint="eastAsia" w:ascii="仿宋" w:hAnsi="仿宋" w:eastAsia="仿宋"/>
          <w:b/>
          <w:sz w:val="32"/>
          <w:szCs w:val="32"/>
        </w:rPr>
        <w:t>项目</w:t>
      </w:r>
    </w:p>
    <w:p>
      <w:pPr>
        <w:keepNext w:val="0"/>
        <w:keepLines w:val="0"/>
        <w:pageBreakBefore w:val="0"/>
        <w:widowControl/>
        <w:kinsoku/>
        <w:wordWrap/>
        <w:overflowPunct/>
        <w:topLinePunct w:val="0"/>
        <w:autoSpaceDE/>
        <w:autoSpaceDN/>
        <w:bidi w:val="0"/>
        <w:spacing w:line="560" w:lineRule="exact"/>
        <w:ind w:left="262" w:leftChars="-100" w:right="-440" w:rightChars="-200" w:hanging="482"/>
        <w:jc w:val="center"/>
        <w:textAlignment w:val="auto"/>
        <w:rPr>
          <w:rFonts w:ascii="仿宋" w:hAnsi="仿宋" w:eastAsia="仿宋"/>
          <w:b/>
          <w:sz w:val="32"/>
          <w:szCs w:val="32"/>
        </w:rPr>
      </w:pPr>
      <w:r>
        <w:rPr>
          <w:rFonts w:hint="eastAsia" w:ascii="仿宋" w:hAnsi="仿宋" w:eastAsia="仿宋"/>
          <w:b/>
          <w:sz w:val="32"/>
          <w:szCs w:val="32"/>
        </w:rPr>
        <w:t>绩效自评报告</w:t>
      </w:r>
    </w:p>
    <w:p>
      <w:pPr>
        <w:keepNext w:val="0"/>
        <w:keepLines w:val="0"/>
        <w:pageBreakBefore w:val="0"/>
        <w:widowControl/>
        <w:kinsoku/>
        <w:wordWrap/>
        <w:overflowPunct/>
        <w:topLinePunct w:val="0"/>
        <w:autoSpaceDE/>
        <w:autoSpaceDN/>
        <w:bidi w:val="0"/>
        <w:spacing w:line="560" w:lineRule="exact"/>
        <w:ind w:left="-220" w:leftChars="-100" w:right="-440" w:rightChars="-200" w:firstLine="630" w:firstLineChars="196"/>
        <w:textAlignment w:val="auto"/>
        <w:outlineLvl w:val="0"/>
        <w:rPr>
          <w:rFonts w:ascii="仿宋" w:hAnsi="仿宋" w:eastAsia="仿宋"/>
          <w:b/>
          <w:sz w:val="32"/>
          <w:szCs w:val="32"/>
        </w:rPr>
      </w:pPr>
    </w:p>
    <w:p>
      <w:pPr>
        <w:keepNext w:val="0"/>
        <w:keepLines w:val="0"/>
        <w:pageBreakBefore w:val="0"/>
        <w:widowControl/>
        <w:kinsoku/>
        <w:wordWrap/>
        <w:overflowPunct/>
        <w:topLinePunct w:val="0"/>
        <w:autoSpaceDE/>
        <w:autoSpaceDN/>
        <w:bidi w:val="0"/>
        <w:spacing w:line="560" w:lineRule="exact"/>
        <w:ind w:left="-220" w:leftChars="-100" w:right="-440" w:rightChars="-200" w:firstLine="630" w:firstLineChars="196"/>
        <w:textAlignment w:val="auto"/>
        <w:outlineLvl w:val="0"/>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基本情况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27" w:firstLineChars="196"/>
        <w:textAlignment w:val="auto"/>
        <w:outlineLvl w:val="0"/>
        <w:rPr>
          <w:rFonts w:ascii="仿宋" w:hAnsi="仿宋" w:eastAsia="仿宋"/>
          <w:b/>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w:t>
      </w:r>
      <w:r>
        <w:rPr>
          <w:rFonts w:hint="eastAsia" w:ascii="仿宋" w:hAnsi="仿宋" w:eastAsia="仿宋"/>
          <w:sz w:val="32"/>
          <w:szCs w:val="32"/>
          <w:lang w:eastAsia="zh-CN"/>
        </w:rPr>
        <w:t>单位基本情况。</w:t>
      </w:r>
      <w:r>
        <w:rPr>
          <w:rFonts w:hint="eastAsia" w:ascii="仿宋" w:hAnsi="仿宋" w:eastAsia="仿宋" w:cs="仿宋"/>
          <w:sz w:val="32"/>
          <w:szCs w:val="32"/>
        </w:rPr>
        <w:t>龙山林场森林总面积6.07万亩，属公益一类全额拨款事业单位，内设办公室、营林生产股、资源保护股、计划财务股、社会事务股5个职能股室，下辖矿山、烟竹坑、谭家岭、鸡冠山、坪山、道仕坪、劳底石、石头冲8个工区。定编188人，现有干部职工526人，其中在职职工177人，离退休人员349人</w:t>
      </w:r>
      <w:r>
        <w:rPr>
          <w:rFonts w:hint="eastAsia" w:ascii="仿宋" w:hAnsi="仿宋" w:eastAsia="仿宋" w:cs="仿宋"/>
          <w:spacing w:val="-19"/>
          <w:sz w:val="32"/>
          <w:szCs w:val="32"/>
        </w:rPr>
        <w:t>，</w:t>
      </w:r>
      <w:r>
        <w:rPr>
          <w:rFonts w:hint="eastAsia" w:ascii="仿宋" w:hAnsi="仿宋" w:eastAsia="仿宋" w:cs="仿宋"/>
          <w:sz w:val="32"/>
          <w:szCs w:val="32"/>
        </w:rPr>
        <w:t>职工家属及农户达1100多人，田土面积438亩，是典型的农户过渡型林场。</w:t>
      </w:r>
      <w:r>
        <w:rPr>
          <w:rFonts w:hint="eastAsia" w:ascii="仿宋" w:hAnsi="仿宋" w:eastAsia="仿宋"/>
          <w:sz w:val="32"/>
          <w:szCs w:val="32"/>
        </w:rPr>
        <w:t>主要工作职责</w:t>
      </w:r>
      <w:r>
        <w:rPr>
          <w:rFonts w:hint="eastAsia" w:ascii="仿宋" w:hAnsi="仿宋" w:eastAsia="仿宋"/>
          <w:sz w:val="32"/>
          <w:szCs w:val="32"/>
          <w:lang w:eastAsia="zh-CN"/>
        </w:rPr>
        <w:t>：</w:t>
      </w:r>
      <w:r>
        <w:rPr>
          <w:rFonts w:hint="eastAsia" w:ascii="仿宋" w:hAnsi="仿宋" w:eastAsia="仿宋" w:cs="仿宋"/>
          <w:sz w:val="32"/>
          <w:szCs w:val="32"/>
        </w:rPr>
        <w:t>贯彻落实中央、国务院制定的各项林业方针、政策、法律、法规以及地方政府制定的各项规章；制定林场生态建设和产业发展规划，合理调整林业产业布局，促进产业协调发展；建设、保护国有林地、林木、湿地资源，受县林业局委托打击滥发盗伐林木、乱占滥挖林地等破坏森林资源的行为，促进生态文化建设</w:t>
      </w:r>
      <w:r>
        <w:rPr>
          <w:rFonts w:hint="eastAsia" w:ascii="仿宋" w:hAnsi="仿宋" w:eastAsia="仿宋" w:cs="仿宋"/>
          <w:sz w:val="32"/>
          <w:szCs w:val="32"/>
          <w:lang w:eastAsia="zh-CN"/>
        </w:rPr>
        <w:t>；</w:t>
      </w:r>
      <w:r>
        <w:rPr>
          <w:rFonts w:hint="eastAsia" w:ascii="仿宋" w:hAnsi="仿宋" w:eastAsia="仿宋" w:cs="仿宋"/>
          <w:sz w:val="32"/>
          <w:szCs w:val="32"/>
        </w:rPr>
        <w:t>组织生态公益林的保护和管理，承担在宜林地植树、种草等生物措施防治水土流失的工作；负责管护区域内的森林防火、林业有害生物防治以及森林资源培育工作；负责林场农户的社会事务管理工作，维护林区社会稳定；承办县委、县政府和上级主管部门交办的其他工作。</w:t>
      </w:r>
    </w:p>
    <w:p>
      <w:pPr>
        <w:keepNext w:val="0"/>
        <w:keepLines w:val="0"/>
        <w:pageBreakBefore w:val="0"/>
        <w:widowControl/>
        <w:kinsoku/>
        <w:wordWrap/>
        <w:overflowPunct/>
        <w:topLinePunct w:val="0"/>
        <w:autoSpaceDE/>
        <w:autoSpaceDN/>
        <w:bidi w:val="0"/>
        <w:spacing w:line="560" w:lineRule="exact"/>
        <w:ind w:left="-220" w:leftChars="-100" w:right="-440" w:rightChars="-200" w:firstLine="645"/>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）项目基本情况。龙山属农户过渡型林场，矿山、烟竹坑、谭家岭、劳底石4个工区相当于4个村民居委会，总人口1680人，职工5</w:t>
      </w:r>
      <w:r>
        <w:rPr>
          <w:rFonts w:hint="eastAsia" w:ascii="仿宋" w:hAnsi="仿宋" w:eastAsia="仿宋"/>
          <w:sz w:val="32"/>
          <w:szCs w:val="32"/>
          <w:lang w:val="en-US" w:eastAsia="zh-CN"/>
        </w:rPr>
        <w:t>26</w:t>
      </w:r>
      <w:r>
        <w:rPr>
          <w:rFonts w:hint="eastAsia" w:ascii="仿宋" w:hAnsi="仿宋" w:eastAsia="仿宋"/>
          <w:sz w:val="32"/>
          <w:szCs w:val="32"/>
        </w:rPr>
        <w:t>人，其中在职职工1</w:t>
      </w:r>
      <w:r>
        <w:rPr>
          <w:rFonts w:hint="eastAsia" w:ascii="仿宋" w:hAnsi="仿宋" w:eastAsia="仿宋"/>
          <w:sz w:val="32"/>
          <w:szCs w:val="32"/>
          <w:lang w:val="en-US" w:eastAsia="zh-CN"/>
        </w:rPr>
        <w:t>77</w:t>
      </w:r>
      <w:r>
        <w:rPr>
          <w:rFonts w:hint="eastAsia" w:ascii="仿宋" w:hAnsi="仿宋" w:eastAsia="仿宋"/>
          <w:sz w:val="32"/>
          <w:szCs w:val="32"/>
        </w:rPr>
        <w:t>人，离退休人员3</w:t>
      </w:r>
      <w:r>
        <w:rPr>
          <w:rFonts w:hint="eastAsia" w:ascii="仿宋" w:hAnsi="仿宋" w:eastAsia="仿宋"/>
          <w:sz w:val="32"/>
          <w:szCs w:val="32"/>
          <w:lang w:val="en-US" w:eastAsia="zh-CN"/>
        </w:rPr>
        <w:t>49</w:t>
      </w:r>
      <w:r>
        <w:rPr>
          <w:rFonts w:hint="eastAsia" w:ascii="仿宋" w:hAnsi="仿宋" w:eastAsia="仿宋"/>
          <w:sz w:val="32"/>
          <w:szCs w:val="32"/>
        </w:rPr>
        <w:t>人，职工家属及农户1100多人，田土面积438亩，具有乡村管理的职能。林场承担区域内社会综合治理、环境卫生整治、计划生育、社会救助、低保、武装、种粮补贴、农户养老、新农合、户籍管理、安全饮水、电力维修等工作，投入管理及维护经费</w:t>
      </w:r>
      <w:r>
        <w:rPr>
          <w:rFonts w:hint="eastAsia" w:ascii="仿宋" w:hAnsi="仿宋" w:eastAsia="仿宋"/>
          <w:sz w:val="32"/>
          <w:szCs w:val="32"/>
          <w:lang w:val="en-US" w:eastAsia="zh-CN"/>
        </w:rPr>
        <w:t>15</w:t>
      </w:r>
      <w:r>
        <w:rPr>
          <w:rFonts w:hint="eastAsia" w:ascii="仿宋" w:hAnsi="仿宋" w:eastAsia="仿宋"/>
          <w:sz w:val="32"/>
          <w:szCs w:val="32"/>
        </w:rPr>
        <w:t>万元，</w:t>
      </w:r>
      <w:r>
        <w:rPr>
          <w:rFonts w:hint="eastAsia" w:ascii="仿宋" w:hAnsi="仿宋" w:eastAsia="仿宋"/>
          <w:sz w:val="32"/>
          <w:szCs w:val="32"/>
          <w:lang w:eastAsia="zh-CN"/>
        </w:rPr>
        <w:t>改善职工群众生产生活条件，维护林区和谐稳定</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spacing w:line="560" w:lineRule="exact"/>
        <w:ind w:left="-220" w:leftChars="-100" w:right="-440" w:rightChars="-200" w:firstLine="803" w:firstLineChars="250"/>
        <w:textAlignment w:val="auto"/>
        <w:rPr>
          <w:rFonts w:ascii="仿宋" w:hAnsi="仿宋" w:eastAsia="仿宋"/>
          <w:b/>
          <w:sz w:val="32"/>
          <w:szCs w:val="32"/>
        </w:rPr>
      </w:pPr>
      <w:r>
        <w:rPr>
          <w:rFonts w:hint="eastAsia" w:ascii="仿宋" w:hAnsi="仿宋" w:eastAsia="仿宋"/>
          <w:b/>
          <w:sz w:val="32"/>
          <w:szCs w:val="32"/>
        </w:rPr>
        <w:t>二、补贴资金使用及管理情况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）补贴资金拨入及使用情况。</w:t>
      </w:r>
      <w:r>
        <w:rPr>
          <w:rFonts w:hint="eastAsia" w:ascii="仿宋" w:hAnsi="仿宋" w:eastAsia="仿宋"/>
          <w:color w:val="000000" w:themeColor="text1"/>
          <w:sz w:val="32"/>
          <w:szCs w:val="32"/>
          <w:lang w:val="en-US" w:eastAsia="zh-CN"/>
        </w:rPr>
        <w:t>2017年 4月，</w:t>
      </w:r>
      <w:r>
        <w:rPr>
          <w:rFonts w:hint="eastAsia" w:ascii="仿宋" w:hAnsi="仿宋" w:eastAsia="仿宋"/>
          <w:sz w:val="32"/>
          <w:szCs w:val="32"/>
          <w:lang w:val="en-US" w:eastAsia="zh-CN"/>
        </w:rPr>
        <w:t>财政预算内</w:t>
      </w:r>
      <w:r>
        <w:rPr>
          <w:rFonts w:hint="eastAsia" w:ascii="仿宋" w:hAnsi="仿宋" w:eastAsia="仿宋"/>
          <w:sz w:val="32"/>
          <w:szCs w:val="32"/>
          <w:lang w:eastAsia="zh-CN"/>
        </w:rPr>
        <w:t>社会事务管理专项经费</w:t>
      </w:r>
      <w:r>
        <w:rPr>
          <w:rFonts w:hint="eastAsia" w:ascii="仿宋" w:hAnsi="仿宋" w:eastAsia="仿宋"/>
          <w:sz w:val="32"/>
          <w:szCs w:val="32"/>
          <w:lang w:val="en-US" w:eastAsia="zh-CN"/>
        </w:rPr>
        <w:t>指标15万元，当年实际支出15万元</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spacing w:line="560" w:lineRule="exact"/>
        <w:ind w:left="-220" w:leftChars="-100" w:right="-440" w:rightChars="-200" w:firstLine="800" w:firstLineChars="250"/>
        <w:textAlignment w:val="auto"/>
        <w:rPr>
          <w:rFonts w:hint="eastAsia" w:ascii="仿宋" w:hAnsi="仿宋" w:eastAsia="仿宋"/>
          <w:color w:val="000000" w:themeColor="text1"/>
          <w:sz w:val="32"/>
          <w:szCs w:val="32"/>
          <w:lang w:val="en-US" w:eastAsia="zh-CN"/>
        </w:rPr>
      </w:pPr>
      <w:r>
        <w:rPr>
          <w:rFonts w:hint="eastAsia" w:ascii="仿宋" w:hAnsi="仿宋" w:eastAsia="仿宋"/>
          <w:sz w:val="32"/>
          <w:szCs w:val="32"/>
        </w:rPr>
        <w:t>（二）补贴资金实际使用情况</w:t>
      </w:r>
      <w:r>
        <w:rPr>
          <w:rFonts w:hint="eastAsia" w:ascii="仿宋" w:hAnsi="仿宋" w:eastAsia="仿宋"/>
          <w:sz w:val="32"/>
          <w:szCs w:val="32"/>
          <w:lang w:eastAsia="zh-CN"/>
        </w:rPr>
        <w:t>：</w:t>
      </w:r>
      <w:r>
        <w:rPr>
          <w:rFonts w:hint="eastAsia" w:ascii="仿宋" w:hAnsi="仿宋" w:eastAsia="仿宋"/>
          <w:color w:val="000000" w:themeColor="text1"/>
          <w:sz w:val="32"/>
          <w:szCs w:val="32"/>
          <w:lang w:eastAsia="zh-CN"/>
        </w:rPr>
        <w:t>平安创建</w:t>
      </w:r>
      <w:r>
        <w:rPr>
          <w:rFonts w:hint="eastAsia" w:ascii="仿宋" w:hAnsi="仿宋" w:eastAsia="仿宋"/>
          <w:color w:val="000000" w:themeColor="text1"/>
          <w:sz w:val="32"/>
          <w:szCs w:val="32"/>
          <w:lang w:val="en-US" w:eastAsia="zh-CN"/>
        </w:rPr>
        <w:t xml:space="preserve"> 0.8 万元、武装民兵1.2  万元、安全饮水  3.1万元、电力线路维修  8.3万元、其他 1.6 万元。</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textAlignment w:val="auto"/>
        <w:rPr>
          <w:rFonts w:ascii="仿宋" w:hAnsi="仿宋" w:eastAsia="仿宋" w:cs="仿宋"/>
          <w:b/>
          <w:bCs/>
          <w:color w:val="000000"/>
          <w:sz w:val="32"/>
          <w:szCs w:val="32"/>
        </w:rPr>
      </w:pPr>
      <w:r>
        <w:rPr>
          <w:rFonts w:hint="eastAsia" w:ascii="仿宋" w:hAnsi="仿宋" w:eastAsia="仿宋"/>
          <w:sz w:val="32"/>
          <w:szCs w:val="32"/>
        </w:rPr>
        <w:t>（三）补贴</w:t>
      </w:r>
      <w:r>
        <w:rPr>
          <w:rFonts w:ascii="仿宋" w:hAnsi="仿宋" w:eastAsia="仿宋"/>
          <w:sz w:val="32"/>
          <w:szCs w:val="32"/>
        </w:rPr>
        <w:t>资金管理情况分析</w:t>
      </w:r>
      <w:r>
        <w:rPr>
          <w:rFonts w:hint="eastAsia" w:ascii="仿宋" w:hAnsi="仿宋" w:eastAsia="仿宋"/>
          <w:sz w:val="32"/>
          <w:szCs w:val="32"/>
        </w:rPr>
        <w:t>。我场专项资金纳入财政国库集中支付管理，建立了专项资金管理办法，严格遵循专款专用、独立核算的原则。专项项目的申报严格按照财政资金管理的要求进行，专项资金财政拨款到位后及时进行项目实施和资金投入。</w:t>
      </w:r>
    </w:p>
    <w:p>
      <w:pPr>
        <w:keepNext w:val="0"/>
        <w:keepLines w:val="0"/>
        <w:pageBreakBefore w:val="0"/>
        <w:widowControl/>
        <w:kinsoku/>
        <w:wordWrap/>
        <w:overflowPunct/>
        <w:topLinePunct w:val="0"/>
        <w:autoSpaceDE/>
        <w:autoSpaceDN/>
        <w:bidi w:val="0"/>
        <w:spacing w:line="560" w:lineRule="exact"/>
        <w:ind w:left="-220" w:leftChars="-100" w:right="-440" w:rightChars="-200" w:firstLine="803" w:firstLineChars="250"/>
        <w:textAlignment w:val="auto"/>
        <w:rPr>
          <w:rFonts w:ascii="仿宋" w:hAnsi="仿宋" w:eastAsia="仿宋"/>
          <w:b/>
          <w:sz w:val="32"/>
          <w:szCs w:val="32"/>
        </w:rPr>
      </w:pPr>
      <w:r>
        <w:rPr>
          <w:rFonts w:hint="eastAsia" w:ascii="仿宋" w:hAnsi="仿宋" w:eastAsia="仿宋"/>
          <w:b/>
          <w:sz w:val="32"/>
          <w:szCs w:val="32"/>
        </w:rPr>
        <w:t>三、主要绩效评价指标情况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textAlignment w:val="auto"/>
        <w:rPr>
          <w:rFonts w:hint="eastAsia" w:ascii="仿宋" w:hAnsi="仿宋" w:eastAsia="仿宋" w:cs="仿宋"/>
          <w:sz w:val="32"/>
          <w:szCs w:val="32"/>
          <w:lang w:eastAsia="zh-CN"/>
        </w:rPr>
      </w:pPr>
      <w:r>
        <w:rPr>
          <w:rFonts w:hint="eastAsia" w:ascii="仿宋" w:hAnsi="仿宋" w:eastAsia="仿宋"/>
          <w:sz w:val="32"/>
          <w:szCs w:val="32"/>
        </w:rPr>
        <w:t>（一）项目决策情况</w:t>
      </w:r>
      <w:r>
        <w:rPr>
          <w:rFonts w:hint="eastAsia" w:ascii="仿宋" w:hAnsi="仿宋" w:eastAsia="仿宋"/>
          <w:sz w:val="32"/>
          <w:szCs w:val="32"/>
          <w:lang w:eastAsia="zh-CN"/>
        </w:rPr>
        <w:t>。根据县委、县政府及上级主管部门工作安排，</w:t>
      </w:r>
      <w:r>
        <w:rPr>
          <w:rFonts w:hint="eastAsia" w:ascii="仿宋" w:hAnsi="仿宋" w:eastAsia="仿宋" w:cs="宋体"/>
          <w:color w:val="000000"/>
          <w:kern w:val="0"/>
          <w:sz w:val="32"/>
          <w:szCs w:val="32"/>
        </w:rPr>
        <w:t>开展</w:t>
      </w:r>
      <w:r>
        <w:rPr>
          <w:rFonts w:hint="eastAsia" w:ascii="仿宋" w:hAnsi="仿宋" w:eastAsia="仿宋" w:cs="仿宋"/>
          <w:sz w:val="32"/>
          <w:szCs w:val="32"/>
        </w:rPr>
        <w:t>林区综合治理、环境卫生、计划生育、社会救助、低保、武装、种粮补贴、农户养老、新农合、户籍管理、安全饮水等工作</w:t>
      </w:r>
      <w:r>
        <w:rPr>
          <w:rFonts w:hint="eastAsia" w:ascii="仿宋" w:hAnsi="仿宋" w:eastAsia="仿宋" w:cs="仿宋"/>
          <w:sz w:val="32"/>
          <w:szCs w:val="32"/>
          <w:lang w:eastAsia="zh-CN"/>
        </w:rPr>
        <w:t>，</w:t>
      </w:r>
      <w:r>
        <w:rPr>
          <w:rFonts w:hint="eastAsia" w:ascii="仿宋" w:hAnsi="仿宋" w:eastAsia="仿宋" w:cs="宋体"/>
          <w:color w:val="000000"/>
          <w:kern w:val="0"/>
          <w:sz w:val="32"/>
          <w:szCs w:val="32"/>
        </w:rPr>
        <w:t>维护林区和谐稳定，服务职工群众生产生活、打造宜居、宜商、宜游的环境条件</w:t>
      </w:r>
      <w:r>
        <w:rPr>
          <w:rFonts w:hint="eastAsia" w:ascii="仿宋" w:hAnsi="仿宋" w:eastAsia="仿宋" w:cs="宋体"/>
          <w:color w:val="000000"/>
          <w:kern w:val="0"/>
          <w:sz w:val="32"/>
          <w:szCs w:val="32"/>
          <w:lang w:eastAsia="zh-CN"/>
        </w:rPr>
        <w:t>。</w:t>
      </w:r>
      <w:r>
        <w:rPr>
          <w:rFonts w:hint="eastAsia" w:ascii="仿宋" w:hAnsi="仿宋" w:eastAsia="仿宋" w:cs="仿宋"/>
          <w:sz w:val="32"/>
          <w:szCs w:val="32"/>
          <w:lang w:val="en-US" w:eastAsia="zh-CN"/>
        </w:rPr>
        <w:t>2017年社会事务管理</w:t>
      </w:r>
      <w:r>
        <w:rPr>
          <w:rFonts w:hint="eastAsia" w:ascii="仿宋" w:hAnsi="仿宋" w:eastAsia="仿宋"/>
          <w:sz w:val="32"/>
          <w:szCs w:val="32"/>
          <w:lang w:eastAsia="zh-CN"/>
        </w:rPr>
        <w:t>专项经费财政预算</w:t>
      </w:r>
      <w:r>
        <w:rPr>
          <w:rFonts w:hint="eastAsia" w:ascii="仿宋" w:hAnsi="仿宋" w:eastAsia="仿宋"/>
          <w:sz w:val="32"/>
          <w:szCs w:val="32"/>
          <w:lang w:val="en-US" w:eastAsia="zh-CN"/>
        </w:rPr>
        <w:t>15万元，实际拨付15万元，资金到位律、使用律均为100%。</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textAlignment w:val="auto"/>
        <w:rPr>
          <w:rFonts w:ascii="仿宋" w:hAnsi="仿宋" w:eastAsia="仿宋" w:cs="仿宋"/>
          <w:b/>
          <w:bCs/>
          <w:color w:val="000000"/>
          <w:sz w:val="32"/>
          <w:szCs w:val="32"/>
        </w:rPr>
      </w:pPr>
      <w:r>
        <w:rPr>
          <w:rFonts w:hint="eastAsia" w:ascii="仿宋" w:hAnsi="仿宋" w:eastAsia="仿宋"/>
          <w:sz w:val="32"/>
          <w:szCs w:val="32"/>
        </w:rPr>
        <w:t>（二）项目管理情况。</w:t>
      </w:r>
      <w:r>
        <w:rPr>
          <w:rFonts w:hint="eastAsia" w:ascii="仿宋_GB2312" w:hAnsi="仿宋" w:eastAsia="仿宋_GB2312" w:cs="仿宋"/>
          <w:sz w:val="32"/>
          <w:szCs w:val="32"/>
        </w:rPr>
        <w:t>我场始终贯彻以人为本的理念，维护林区的和谐稳定</w:t>
      </w:r>
      <w:r>
        <w:rPr>
          <w:rFonts w:hint="eastAsia" w:ascii="仿宋_GB2312" w:hAnsi="仿宋" w:eastAsia="仿宋_GB2312" w:cs="仿宋"/>
          <w:sz w:val="32"/>
          <w:szCs w:val="32"/>
          <w:lang w:eastAsia="zh-CN"/>
        </w:rPr>
        <w:t>，组建社会事务股具体负责社会事务管理工作</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通过申请民政低保，做到应保尽保，申报独生子女父母退休人员生活补助，享受政府奖励待遇。收缴城乡居民养老、医疗保险，解决非职工居民养老医疗问题。开展计划生育政策宣传、按期组织妇检，贯彻计划生育国策。开展征兵、民兵训练，服务国防事业。加强户籍管理，开展平安创建、宣传法制和安全生产知识，创造美好的生产生活环境。</w:t>
      </w:r>
      <w:r>
        <w:rPr>
          <w:rFonts w:hint="eastAsia" w:ascii="仿宋" w:hAnsi="仿宋" w:eastAsia="仿宋" w:cs="仿宋"/>
          <w:sz w:val="32"/>
          <w:szCs w:val="32"/>
          <w:lang w:eastAsia="zh-CN"/>
        </w:rPr>
        <w:t>未发生截留、挤占、挪用、虚列专项资金情况。</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color w:val="FF0000"/>
          <w:sz w:val="32"/>
          <w:szCs w:val="32"/>
        </w:rPr>
      </w:pPr>
      <w:r>
        <w:rPr>
          <w:rFonts w:hint="eastAsia" w:ascii="仿宋" w:hAnsi="仿宋" w:eastAsia="仿宋"/>
          <w:sz w:val="32"/>
          <w:szCs w:val="32"/>
        </w:rPr>
        <w:t>（三）项目绩效情况。</w:t>
      </w: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是</w:t>
      </w:r>
      <w:r>
        <w:rPr>
          <w:rFonts w:hint="eastAsia" w:ascii="仿宋_GB2312" w:hAnsi="仿宋" w:eastAsia="仿宋_GB2312" w:cs="仿宋"/>
          <w:sz w:val="32"/>
          <w:szCs w:val="32"/>
          <w:lang w:eastAsia="zh-CN"/>
        </w:rPr>
        <w:t>在去年民政部门对低保户重新核实清理的基础上</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上半年申报了</w:t>
      </w:r>
      <w:r>
        <w:rPr>
          <w:rFonts w:hint="eastAsia" w:ascii="仿宋_GB2312" w:hAnsi="仿宋" w:eastAsia="仿宋_GB2312" w:cs="仿宋"/>
          <w:sz w:val="32"/>
          <w:szCs w:val="32"/>
          <w:lang w:val="en-US" w:eastAsia="zh-CN"/>
        </w:rPr>
        <w:t>2户残疾困难户低保资料，目前，</w:t>
      </w:r>
      <w:r>
        <w:rPr>
          <w:rFonts w:hint="eastAsia" w:ascii="仿宋_GB2312" w:hAnsi="仿宋" w:eastAsia="仿宋_GB2312" w:cs="仿宋"/>
          <w:sz w:val="32"/>
          <w:szCs w:val="32"/>
        </w:rPr>
        <w:t>我场有低保户</w:t>
      </w:r>
      <w:r>
        <w:rPr>
          <w:rFonts w:hint="eastAsia" w:ascii="仿宋_GB2312" w:hAnsi="仿宋" w:eastAsia="仿宋_GB2312" w:cs="仿宋"/>
          <w:sz w:val="32"/>
          <w:szCs w:val="32"/>
          <w:lang w:val="en-US" w:eastAsia="zh-CN"/>
        </w:rPr>
        <w:t>69</w:t>
      </w:r>
      <w:r>
        <w:rPr>
          <w:rFonts w:hint="eastAsia" w:ascii="仿宋_GB2312" w:hAnsi="仿宋" w:eastAsia="仿宋_GB2312" w:cs="仿宋"/>
          <w:sz w:val="32"/>
          <w:szCs w:val="32"/>
        </w:rPr>
        <w:t>户，共</w:t>
      </w:r>
      <w:r>
        <w:rPr>
          <w:rFonts w:hint="eastAsia" w:ascii="仿宋_GB2312" w:hAnsi="仿宋" w:eastAsia="仿宋_GB2312" w:cs="仿宋"/>
          <w:sz w:val="32"/>
          <w:szCs w:val="32"/>
          <w:lang w:val="en-US" w:eastAsia="zh-CN"/>
        </w:rPr>
        <w:t>112</w:t>
      </w:r>
      <w:r>
        <w:rPr>
          <w:rFonts w:hint="eastAsia" w:ascii="仿宋_GB2312" w:hAnsi="仿宋" w:eastAsia="仿宋_GB2312" w:cs="仿宋"/>
          <w:sz w:val="32"/>
          <w:szCs w:val="32"/>
        </w:rPr>
        <w:t>人</w:t>
      </w: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是对去年年底办理退休手续的</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名符合城镇独生子女父</w:t>
      </w:r>
      <w:r>
        <w:rPr>
          <w:rFonts w:hint="eastAsia" w:ascii="仿宋_GB2312" w:hAnsi="仿宋" w:eastAsia="仿宋_GB2312" w:cs="仿宋"/>
          <w:color w:val="000000"/>
          <w:sz w:val="32"/>
          <w:szCs w:val="32"/>
        </w:rPr>
        <w:t>母奖励条件的退休人员进行了申报，现在共有6</w:t>
      </w:r>
      <w:r>
        <w:rPr>
          <w:rFonts w:hint="eastAsia" w:ascii="仿宋_GB2312" w:hAnsi="仿宋" w:eastAsia="仿宋_GB2312" w:cs="仿宋"/>
          <w:color w:val="000000"/>
          <w:sz w:val="32"/>
          <w:szCs w:val="32"/>
          <w:lang w:val="en-US" w:eastAsia="zh-CN"/>
        </w:rPr>
        <w:t>7</w:t>
      </w:r>
      <w:r>
        <w:rPr>
          <w:rFonts w:hint="eastAsia" w:ascii="仿宋_GB2312" w:hAnsi="仿宋" w:eastAsia="仿宋_GB2312" w:cs="仿宋"/>
          <w:color w:val="000000"/>
          <w:sz w:val="32"/>
          <w:szCs w:val="32"/>
        </w:rPr>
        <w:t>名退休人员享受了独生子女父母奖励待遇。</w:t>
      </w:r>
      <w:r>
        <w:rPr>
          <w:rFonts w:hint="eastAsia" w:ascii="仿宋_GB2312" w:hAnsi="仿宋" w:eastAsia="仿宋_GB2312" w:cs="仿宋"/>
          <w:color w:val="000000"/>
          <w:sz w:val="32"/>
          <w:szCs w:val="32"/>
          <w:lang w:eastAsia="zh-CN"/>
        </w:rPr>
        <w:t>三</w:t>
      </w:r>
      <w:r>
        <w:rPr>
          <w:rFonts w:hint="eastAsia" w:ascii="仿宋_GB2312" w:hAnsi="仿宋" w:eastAsia="仿宋_GB2312" w:cs="仿宋"/>
          <w:color w:val="000000"/>
          <w:sz w:val="32"/>
          <w:szCs w:val="32"/>
        </w:rPr>
        <w:t>是</w:t>
      </w:r>
      <w:r>
        <w:rPr>
          <w:rFonts w:hint="eastAsia" w:ascii="仿宋_GB2312" w:hAnsi="仿宋" w:eastAsia="仿宋_GB2312" w:cs="仿宋"/>
          <w:color w:val="000000"/>
          <w:sz w:val="32"/>
          <w:szCs w:val="32"/>
          <w:lang w:val="en-US" w:eastAsia="zh-CN"/>
        </w:rPr>
        <w:t>收缴</w:t>
      </w:r>
      <w:r>
        <w:rPr>
          <w:rFonts w:hint="eastAsia" w:ascii="仿宋_GB2312" w:hAnsi="仿宋" w:eastAsia="仿宋_GB2312" w:cs="仿宋"/>
          <w:color w:val="000000"/>
          <w:sz w:val="32"/>
          <w:szCs w:val="32"/>
          <w:lang w:eastAsia="zh-CN"/>
        </w:rPr>
        <w:t>全场家属及住户城乡居民医保参保缴费，参保人数</w:t>
      </w:r>
      <w:r>
        <w:rPr>
          <w:rFonts w:hint="eastAsia" w:ascii="仿宋_GB2312" w:hAnsi="仿宋" w:eastAsia="仿宋_GB2312" w:cs="仿宋"/>
          <w:color w:val="000000"/>
          <w:sz w:val="32"/>
          <w:szCs w:val="32"/>
          <w:lang w:val="en-US" w:eastAsia="zh-CN"/>
        </w:rPr>
        <w:t>956人，参保率达100%，并严格按照农合办及民政优抚政策，核实五保老人及低保户缴费减免工作。四是宣传落实计划生育工作，广泛宣传人口计划生育政策，做好工作台账，每季度组织一次妇女健康检查，并认真做好人口出生、登记落户、迁入迁出、户口注销等户籍管理。五是搞好平安林区创建，在各工区开展法制、安全常识、吸毒贩毒、打黑除恶宣传教育，张贴宣传标语80份、横幅5条，宣传栏2处，全年场内未发生一起治安案件，</w:t>
      </w:r>
      <w:r>
        <w:rPr>
          <w:rFonts w:hint="eastAsia" w:ascii="仿宋_GB2312" w:hAnsi="仿宋" w:eastAsia="仿宋_GB2312" w:cs="仿宋"/>
          <w:color w:val="000000"/>
          <w:sz w:val="32"/>
          <w:szCs w:val="32"/>
        </w:rPr>
        <w:t>确保了林区平安、稳定。</w:t>
      </w:r>
    </w:p>
    <w:p>
      <w:pPr>
        <w:pStyle w:val="2"/>
        <w:keepNext w:val="0"/>
        <w:keepLines w:val="0"/>
        <w:pageBreakBefore w:val="0"/>
        <w:widowControl/>
        <w:kinsoku/>
        <w:wordWrap/>
        <w:overflowPunct/>
        <w:topLinePunct w:val="0"/>
        <w:autoSpaceDE/>
        <w:autoSpaceDN/>
        <w:bidi w:val="0"/>
        <w:spacing w:before="0" w:beforeAutospacing="0" w:after="0" w:afterAutospacing="0" w:line="560" w:lineRule="exact"/>
        <w:ind w:left="-220" w:leftChars="-100" w:right="-440" w:rightChars="-200" w:firstLine="643" w:firstLineChars="200"/>
        <w:jc w:val="both"/>
        <w:textAlignment w:val="auto"/>
        <w:rPr>
          <w:rFonts w:hint="default" w:ascii="仿宋" w:hAnsi="仿宋" w:eastAsia="仿宋" w:cs="黑体"/>
          <w:color w:val="C00000"/>
          <w:sz w:val="32"/>
          <w:szCs w:val="32"/>
        </w:rPr>
      </w:pPr>
      <w:r>
        <w:rPr>
          <w:rFonts w:ascii="仿宋" w:hAnsi="仿宋" w:eastAsia="仿宋" w:cs="黑体"/>
          <w:sz w:val="32"/>
          <w:szCs w:val="32"/>
        </w:rPr>
        <w:t>四、绩效评价结果及主要绩效</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通过项目实施，林场承担区域内社会综合治理、环境卫生整治、计划生育、社会救助、低保、武装、种粮补贴、农户养老、新农合、户籍管理、安全饮水、电力维修等工作</w:t>
      </w:r>
      <w:r>
        <w:rPr>
          <w:rFonts w:hint="eastAsia" w:ascii="仿宋" w:hAnsi="仿宋" w:eastAsia="仿宋"/>
          <w:sz w:val="32"/>
          <w:szCs w:val="32"/>
          <w:lang w:eastAsia="zh-CN"/>
        </w:rPr>
        <w:t>，</w:t>
      </w:r>
      <w:r>
        <w:rPr>
          <w:rFonts w:hint="eastAsia" w:ascii="仿宋" w:hAnsi="仿宋" w:eastAsia="仿宋"/>
          <w:color w:val="000000"/>
          <w:kern w:val="0"/>
          <w:sz w:val="32"/>
          <w:szCs w:val="32"/>
        </w:rPr>
        <w:t>更好</w:t>
      </w:r>
      <w:r>
        <w:rPr>
          <w:rFonts w:hint="eastAsia" w:ascii="仿宋" w:hAnsi="仿宋" w:eastAsia="仿宋"/>
          <w:color w:val="000000"/>
          <w:kern w:val="0"/>
          <w:sz w:val="32"/>
          <w:szCs w:val="32"/>
          <w:lang w:eastAsia="zh-CN"/>
        </w:rPr>
        <w:t>地</w:t>
      </w:r>
      <w:r>
        <w:rPr>
          <w:rFonts w:hint="eastAsia" w:ascii="仿宋" w:hAnsi="仿宋" w:eastAsia="仿宋"/>
          <w:color w:val="000000"/>
          <w:kern w:val="0"/>
          <w:sz w:val="32"/>
          <w:szCs w:val="32"/>
        </w:rPr>
        <w:t>服务职工群众学习、工作、生活</w:t>
      </w:r>
      <w:r>
        <w:rPr>
          <w:rFonts w:hint="eastAsia" w:ascii="仿宋" w:hAnsi="仿宋" w:eastAsia="仿宋"/>
          <w:color w:val="000000"/>
          <w:kern w:val="0"/>
          <w:sz w:val="32"/>
          <w:szCs w:val="32"/>
          <w:lang w:eastAsia="zh-CN"/>
        </w:rPr>
        <w:t>，</w:t>
      </w:r>
      <w:r>
        <w:rPr>
          <w:rFonts w:hint="eastAsia" w:ascii="仿宋" w:hAnsi="仿宋" w:eastAsia="仿宋" w:cs="宋体"/>
          <w:color w:val="000000"/>
          <w:kern w:val="0"/>
          <w:sz w:val="32"/>
          <w:szCs w:val="32"/>
        </w:rPr>
        <w:t>创造宜居、宜商、宜游的环境条件</w:t>
      </w:r>
      <w:r>
        <w:rPr>
          <w:rFonts w:hint="eastAsia" w:ascii="仿宋" w:hAnsi="仿宋" w:eastAsia="仿宋" w:cs="宋体"/>
          <w:color w:val="000000"/>
          <w:kern w:val="0"/>
          <w:sz w:val="32"/>
          <w:szCs w:val="32"/>
          <w:lang w:eastAsia="zh-CN"/>
        </w:rPr>
        <w:t>，</w:t>
      </w:r>
      <w:r>
        <w:rPr>
          <w:rFonts w:hint="eastAsia" w:ascii="仿宋" w:hAnsi="仿宋" w:eastAsia="仿宋"/>
          <w:color w:val="000000"/>
          <w:kern w:val="0"/>
          <w:sz w:val="32"/>
          <w:szCs w:val="32"/>
        </w:rPr>
        <w:t>促进林场稳定、健康发展</w:t>
      </w:r>
      <w:r>
        <w:rPr>
          <w:rFonts w:hint="eastAsia" w:ascii="仿宋" w:hAnsi="仿宋" w:eastAsia="仿宋"/>
          <w:color w:val="000000"/>
          <w:kern w:val="0"/>
          <w:sz w:val="32"/>
          <w:szCs w:val="32"/>
          <w:lang w:eastAsia="zh-CN"/>
        </w:rPr>
        <w:t>。</w:t>
      </w:r>
      <w:r>
        <w:rPr>
          <w:rFonts w:hint="eastAsia" w:ascii="仿宋" w:hAnsi="仿宋" w:eastAsia="仿宋"/>
          <w:sz w:val="32"/>
          <w:szCs w:val="32"/>
        </w:rPr>
        <w:t>职工群众对居住、生产和工作条件满意度提升，对党和政府关心林场发展、关注林场民生、改善生态环境十分感激，认为此举是全面建成小康社会、建设生态文明的真实体现，是党践行群众路线的具体表现，群众满意度达</w:t>
      </w:r>
      <w:r>
        <w:rPr>
          <w:rFonts w:hint="eastAsia" w:ascii="仿宋" w:hAnsi="仿宋" w:eastAsia="仿宋" w:cs="宋体"/>
          <w:sz w:val="28"/>
          <w:szCs w:val="28"/>
        </w:rPr>
        <w:t>95%</w:t>
      </w:r>
      <w:r>
        <w:rPr>
          <w:rFonts w:hint="eastAsia" w:ascii="仿宋" w:hAnsi="仿宋" w:eastAsia="仿宋"/>
          <w:sz w:val="32"/>
          <w:szCs w:val="32"/>
        </w:rPr>
        <w:t>。</w:t>
      </w:r>
    </w:p>
    <w:p>
      <w:pPr>
        <w:keepNext w:val="0"/>
        <w:keepLines w:val="0"/>
        <w:pageBreakBefore w:val="0"/>
        <w:widowControl/>
        <w:numPr>
          <w:ilvl w:val="0"/>
          <w:numId w:val="0"/>
        </w:numPr>
        <w:kinsoku/>
        <w:wordWrap/>
        <w:overflowPunct/>
        <w:topLinePunct w:val="0"/>
        <w:autoSpaceDE/>
        <w:autoSpaceDN/>
        <w:bidi w:val="0"/>
        <w:spacing w:line="560" w:lineRule="exact"/>
        <w:ind w:left="-220" w:leftChars="-100" w:right="-440" w:rightChars="-200" w:firstLine="643" w:firstLineChars="200"/>
        <w:textAlignment w:val="auto"/>
        <w:rPr>
          <w:rFonts w:hint="eastAsia" w:ascii="仿宋" w:hAnsi="仿宋" w:eastAsia="仿宋"/>
          <w:b/>
          <w:sz w:val="32"/>
          <w:szCs w:val="32"/>
        </w:rPr>
      </w:pPr>
      <w:r>
        <w:rPr>
          <w:rFonts w:hint="eastAsia" w:ascii="仿宋" w:hAnsi="仿宋" w:eastAsia="仿宋"/>
          <w:b/>
          <w:sz w:val="32"/>
          <w:szCs w:val="32"/>
          <w:lang w:eastAsia="zh-CN"/>
        </w:rPr>
        <w:t>五、</w:t>
      </w:r>
      <w:r>
        <w:rPr>
          <w:rFonts w:hint="eastAsia" w:ascii="仿宋" w:hAnsi="仿宋" w:eastAsia="仿宋"/>
          <w:b/>
          <w:sz w:val="32"/>
          <w:szCs w:val="32"/>
        </w:rPr>
        <w:t>存在的主要问题。</w:t>
      </w:r>
    </w:p>
    <w:p>
      <w:pPr>
        <w:keepNext w:val="0"/>
        <w:keepLines w:val="0"/>
        <w:pageBreakBefore w:val="0"/>
        <w:widowControl/>
        <w:numPr>
          <w:ilvl w:val="0"/>
          <w:numId w:val="0"/>
        </w:numPr>
        <w:kinsoku/>
        <w:wordWrap/>
        <w:overflowPunct/>
        <w:topLinePunct w:val="0"/>
        <w:autoSpaceDE/>
        <w:autoSpaceDN/>
        <w:bidi w:val="0"/>
        <w:spacing w:line="560" w:lineRule="exact"/>
        <w:ind w:left="-220" w:leftChars="-100" w:right="-440" w:rightChars="-200" w:firstLine="640" w:firstLineChars="200"/>
        <w:textAlignment w:val="auto"/>
        <w:rPr>
          <w:rFonts w:hint="eastAsia" w:ascii="仿宋" w:hAnsi="仿宋" w:eastAsia="仿宋" w:cs="仿宋"/>
          <w:sz w:val="32"/>
          <w:szCs w:val="32"/>
        </w:rPr>
      </w:pPr>
      <w:r>
        <w:rPr>
          <w:rFonts w:hint="eastAsia" w:ascii="仿宋" w:hAnsi="仿宋" w:eastAsia="仿宋"/>
          <w:sz w:val="32"/>
          <w:szCs w:val="32"/>
          <w:lang w:eastAsia="zh-CN"/>
        </w:rPr>
        <w:t>（一）</w:t>
      </w:r>
      <w:r>
        <w:rPr>
          <w:rFonts w:hint="eastAsia" w:ascii="仿宋" w:hAnsi="仿宋" w:eastAsia="仿宋"/>
          <w:sz w:val="32"/>
          <w:szCs w:val="32"/>
        </w:rPr>
        <w:t>我场</w:t>
      </w:r>
      <w:r>
        <w:rPr>
          <w:rFonts w:hint="eastAsia" w:ascii="仿宋" w:hAnsi="仿宋" w:eastAsia="仿宋" w:cs="仿宋"/>
          <w:spacing w:val="-19"/>
          <w:sz w:val="32"/>
          <w:szCs w:val="32"/>
          <w:lang w:eastAsia="zh-CN"/>
        </w:rPr>
        <w:t>公路、电力、通讯</w:t>
      </w:r>
      <w:r>
        <w:rPr>
          <w:rFonts w:hint="eastAsia" w:ascii="仿宋" w:hAnsi="仿宋" w:eastAsia="仿宋" w:cs="仿宋"/>
          <w:spacing w:val="-19"/>
          <w:sz w:val="32"/>
          <w:szCs w:val="32"/>
        </w:rPr>
        <w:t>等设施建设</w:t>
      </w:r>
      <w:r>
        <w:rPr>
          <w:rFonts w:hint="eastAsia" w:ascii="仿宋" w:hAnsi="仿宋" w:eastAsia="仿宋" w:cs="仿宋"/>
          <w:sz w:val="32"/>
          <w:szCs w:val="32"/>
        </w:rPr>
        <w:t>财政预算不足，资金缺口大，不利于林场生产发展。</w:t>
      </w:r>
    </w:p>
    <w:p>
      <w:pPr>
        <w:keepNext w:val="0"/>
        <w:keepLines w:val="0"/>
        <w:pageBreakBefore w:val="0"/>
        <w:widowControl/>
        <w:kinsoku/>
        <w:wordWrap/>
        <w:overflowPunct/>
        <w:topLinePunct w:val="0"/>
        <w:autoSpaceDE/>
        <w:autoSpaceDN/>
        <w:bidi w:val="0"/>
        <w:adjustRightInd/>
        <w:snapToGrid/>
        <w:spacing w:line="560" w:lineRule="exact"/>
        <w:ind w:left="-220" w:leftChars="-100" w:right="-440" w:righ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w:t>
      </w:r>
      <w:r>
        <w:rPr>
          <w:rFonts w:hint="eastAsia" w:ascii="仿宋_GB2312" w:hAnsi="仿宋" w:eastAsia="仿宋_GB2312" w:cs="仿宋"/>
          <w:sz w:val="32"/>
          <w:szCs w:val="32"/>
          <w:lang w:val="en-US" w:eastAsia="zh-CN"/>
        </w:rPr>
        <w:t>家属及待业青年多次到林场及上级部门反映要求解决养老保险参保补贴及享受危旧房改造政策，存在不稳定因素。</w:t>
      </w:r>
    </w:p>
    <w:p>
      <w:pPr>
        <w:keepNext w:val="0"/>
        <w:keepLines w:val="0"/>
        <w:pageBreakBefore w:val="0"/>
        <w:widowControl/>
        <w:kinsoku/>
        <w:wordWrap/>
        <w:overflowPunct/>
        <w:topLinePunct w:val="0"/>
        <w:autoSpaceDE/>
        <w:autoSpaceDN/>
        <w:bidi w:val="0"/>
        <w:spacing w:line="560" w:lineRule="exact"/>
        <w:ind w:left="-220" w:leftChars="-100" w:right="-440" w:rightChars="-200" w:firstLine="803" w:firstLineChars="250"/>
        <w:textAlignment w:val="auto"/>
        <w:outlineLvl w:val="0"/>
        <w:rPr>
          <w:rFonts w:ascii="仿宋" w:hAnsi="仿宋" w:eastAsia="仿宋"/>
          <w:b/>
          <w:sz w:val="32"/>
          <w:szCs w:val="32"/>
        </w:rPr>
      </w:pPr>
      <w:r>
        <w:rPr>
          <w:rFonts w:hint="eastAsia" w:ascii="仿宋" w:hAnsi="仿宋" w:eastAsia="仿宋"/>
          <w:b/>
          <w:sz w:val="32"/>
          <w:szCs w:val="32"/>
        </w:rPr>
        <w:t>六、改进意见及建议</w:t>
      </w:r>
    </w:p>
    <w:p>
      <w:pPr>
        <w:keepNext w:val="0"/>
        <w:keepLines w:val="0"/>
        <w:pageBreakBefore w:val="0"/>
        <w:widowControl/>
        <w:kinsoku/>
        <w:wordWrap/>
        <w:overflowPunct/>
        <w:topLinePunct w:val="0"/>
        <w:autoSpaceDE/>
        <w:autoSpaceDN/>
        <w:bidi w:val="0"/>
        <w:spacing w:line="560" w:lineRule="exact"/>
        <w:ind w:left="-220" w:leftChars="-100" w:right="-440" w:rightChars="-200" w:firstLine="640" w:firstLineChars="200"/>
        <w:textAlignment w:val="auto"/>
        <w:rPr>
          <w:rFonts w:ascii="仿宋" w:hAnsi="仿宋" w:eastAsia="仿宋" w:cs="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后续工作计划。</w:t>
      </w:r>
      <w:r>
        <w:rPr>
          <w:rFonts w:hint="eastAsia" w:ascii="仿宋" w:hAnsi="仿宋" w:eastAsia="仿宋"/>
          <w:sz w:val="32"/>
          <w:szCs w:val="32"/>
        </w:rPr>
        <w:t>加大森林防火宣传，</w:t>
      </w:r>
      <w:r>
        <w:rPr>
          <w:rFonts w:hint="eastAsia" w:ascii="仿宋" w:hAnsi="仿宋" w:eastAsia="仿宋" w:cs="仿宋"/>
          <w:sz w:val="32"/>
          <w:szCs w:val="32"/>
        </w:rPr>
        <w:t>改善护林防火基础设施条件，积极向有关部门争取，进一步落实改革政策，将林场公路、电力、安全饮水、通讯等基础设施建设纳入地方发展规划，利用部门项目实施进行基础设施建设。</w:t>
      </w:r>
      <w:r>
        <w:rPr>
          <w:rFonts w:hint="eastAsia" w:ascii="仿宋_GB2312" w:hAnsi="仿宋" w:eastAsia="仿宋_GB2312" w:cs="仿宋"/>
          <w:sz w:val="32"/>
          <w:szCs w:val="32"/>
          <w:lang w:val="en-US" w:eastAsia="zh-CN"/>
        </w:rPr>
        <w:t>创建平安和谐林区环境，开展社会公德教育，实施人居环境卫生整治，开展丰富多彩文体活动，营造文明、健康新风尚。</w:t>
      </w:r>
    </w:p>
    <w:p>
      <w:pPr>
        <w:keepNext w:val="0"/>
        <w:keepLines w:val="0"/>
        <w:pageBreakBefore w:val="0"/>
        <w:widowControl/>
        <w:kinsoku/>
        <w:wordWrap/>
        <w:overflowPunct/>
        <w:topLinePunct w:val="0"/>
        <w:autoSpaceDE/>
        <w:autoSpaceDN/>
        <w:bidi w:val="0"/>
        <w:spacing w:line="560" w:lineRule="exact"/>
        <w:ind w:left="-220" w:leftChars="-100" w:right="-440" w:rightChars="-200" w:firstLine="480" w:firstLineChars="150"/>
        <w:textAlignment w:val="auto"/>
        <w:rPr>
          <w:rFonts w:ascii="仿宋" w:hAnsi="仿宋" w:eastAsia="仿宋" w:cs="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w:t>
      </w:r>
      <w:r>
        <w:rPr>
          <w:rFonts w:ascii="仿宋" w:hAnsi="仿宋" w:eastAsia="仿宋"/>
          <w:sz w:val="32"/>
          <w:szCs w:val="32"/>
        </w:rPr>
        <w:t>主要经验做法、存在的问题和建议。</w:t>
      </w:r>
      <w:r>
        <w:rPr>
          <w:rFonts w:hint="eastAsia" w:ascii="仿宋" w:hAnsi="仿宋" w:eastAsia="仿宋" w:cs="仿宋"/>
          <w:sz w:val="32"/>
          <w:szCs w:val="32"/>
        </w:rPr>
        <w:t>在上级主管部门的精心指导下，扎实开展财政预算绩效监督考核工作，健全工作机制、规范会计核算、严格资金管理，按计划使用资金，按时、按质、按量完成各项建设任务。项目实施无浪费行为，无挤占挪用或套取资金现象，运行成本大幅降低，取得良好的经济、生态、社会效益。</w:t>
      </w:r>
    </w:p>
    <w:p>
      <w:pPr>
        <w:keepNext w:val="0"/>
        <w:keepLines w:val="0"/>
        <w:pageBreakBefore w:val="0"/>
        <w:widowControl/>
        <w:kinsoku/>
        <w:wordWrap/>
        <w:overflowPunct/>
        <w:topLinePunct w:val="0"/>
        <w:autoSpaceDE/>
        <w:autoSpaceDN/>
        <w:bidi w:val="0"/>
        <w:adjustRightInd/>
        <w:snapToGrid/>
        <w:spacing w:line="560" w:lineRule="exact"/>
        <w:ind w:left="-220" w:leftChars="-100" w:right="-440" w:rightChars="-20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积极配合森林公园基础设施建设，</w:t>
      </w:r>
      <w:r>
        <w:rPr>
          <w:rFonts w:hint="eastAsia" w:ascii="仿宋_GB2312" w:hAnsi="仿宋" w:eastAsia="仿宋_GB2312" w:cs="仿宋"/>
          <w:sz w:val="32"/>
          <w:szCs w:val="32"/>
        </w:rPr>
        <w:t>加快森林旅游资源开发，鼓励职工及家属通过创办森林人家、发展种养业等家庭经济，提高职工群众收入和生活水平。</w:t>
      </w:r>
      <w:r>
        <w:rPr>
          <w:rFonts w:hint="eastAsia" w:ascii="仿宋_GB2312" w:hAnsi="仿宋" w:eastAsia="仿宋_GB2312" w:cs="仿宋"/>
          <w:sz w:val="32"/>
          <w:szCs w:val="32"/>
          <w:lang w:val="en-US" w:eastAsia="zh-CN"/>
        </w:rPr>
        <w:t>同时，积极向县委政府汇报龙山特殊情况，妥善解决家属及待业青年养老保险参保优惠政策，非正式职工困难家庭纳入危旧房改造政策范围，解决国有林场改革遗留问题。</w:t>
      </w:r>
    </w:p>
    <w:p>
      <w:pPr>
        <w:rPr>
          <w:rFonts w:hint="eastAsia" w:ascii="仿宋_GB2312" w:hAnsi="仿宋" w:eastAsia="仿宋_GB2312" w:cs="仿宋"/>
          <w:sz w:val="32"/>
          <w:szCs w:val="32"/>
          <w:lang w:val="en-US" w:eastAsia="zh-CN" w:bidi="ar-SA"/>
        </w:rPr>
      </w:pPr>
    </w:p>
    <w:p>
      <w:pPr>
        <w:rPr>
          <w:rFonts w:hint="eastAsia" w:ascii="仿宋_GB2312" w:hAnsi="仿宋" w:eastAsia="仿宋_GB2312" w:cs="仿宋"/>
          <w:sz w:val="32"/>
          <w:szCs w:val="32"/>
          <w:lang w:val="en-US" w:eastAsia="zh-CN" w:bidi="ar-SA"/>
        </w:rPr>
      </w:pPr>
    </w:p>
    <w:p>
      <w:pPr>
        <w:rPr>
          <w:rFonts w:hint="eastAsia" w:ascii="仿宋_GB2312" w:hAnsi="仿宋" w:eastAsia="仿宋_GB2312" w:cs="仿宋"/>
          <w:sz w:val="32"/>
          <w:szCs w:val="32"/>
          <w:lang w:val="en-US" w:eastAsia="zh-CN" w:bidi="ar-SA"/>
        </w:rPr>
      </w:pPr>
    </w:p>
    <w:p>
      <w:pPr>
        <w:rPr>
          <w:rFonts w:hint="eastAsia" w:ascii="仿宋_GB2312" w:hAnsi="仿宋" w:eastAsia="仿宋_GB2312" w:cs="仿宋"/>
          <w:sz w:val="32"/>
          <w:szCs w:val="32"/>
          <w:lang w:val="en-US" w:eastAsia="zh-CN" w:bidi="ar-SA"/>
        </w:rPr>
      </w:pPr>
    </w:p>
    <w:p>
      <w:pPr>
        <w:rPr>
          <w:rFonts w:hint="eastAsia" w:ascii="仿宋_GB2312" w:hAnsi="仿宋" w:eastAsia="仿宋_GB2312" w:cs="仿宋"/>
          <w:sz w:val="32"/>
          <w:szCs w:val="32"/>
          <w:lang w:val="en-US" w:eastAsia="zh-CN" w:bidi="ar-SA"/>
        </w:rPr>
      </w:pPr>
    </w:p>
    <w:p>
      <w:pPr>
        <w:rPr>
          <w:rFonts w:hint="eastAsia" w:ascii="仿宋_GB2312" w:hAnsi="仿宋" w:eastAsia="仿宋_GB2312" w:cs="仿宋"/>
          <w:sz w:val="32"/>
          <w:szCs w:val="32"/>
          <w:lang w:val="en-US" w:eastAsia="zh-CN" w:bidi="ar-SA"/>
        </w:rPr>
      </w:pPr>
    </w:p>
    <w:p>
      <w:pPr>
        <w:rPr>
          <w:rFonts w:hint="eastAsia" w:ascii="仿宋_GB2312" w:hAnsi="仿宋" w:eastAsia="仿宋_GB2312" w:cs="仿宋"/>
          <w:sz w:val="32"/>
          <w:szCs w:val="32"/>
          <w:lang w:val="en-US" w:eastAsia="zh-CN" w:bidi="ar-SA"/>
        </w:rPr>
      </w:pPr>
    </w:p>
    <w:p>
      <w:pPr>
        <w:rPr>
          <w:rFonts w:hint="eastAsia" w:ascii="仿宋_GB2312" w:hAnsi="仿宋" w:eastAsia="仿宋_GB2312" w:cs="仿宋"/>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pacing w:before="156" w:beforeLines="50" w:after="156" w:afterLines="50"/>
        <w:ind w:left="0" w:leftChars="0" w:right="0" w:rightChars="0"/>
        <w:jc w:val="center"/>
        <w:textAlignment w:val="auto"/>
        <w:rPr>
          <w:rFonts w:hint="eastAsia" w:ascii="仿宋" w:hAnsi="仿宋" w:eastAsia="仿宋" w:cs="仿宋"/>
          <w:sz w:val="36"/>
          <w:szCs w:val="36"/>
        </w:rPr>
      </w:pPr>
      <w:r>
        <w:rPr>
          <w:rFonts w:hint="eastAsia" w:ascii="仿宋" w:hAnsi="仿宋" w:eastAsia="仿宋" w:cs="仿宋"/>
          <w:sz w:val="36"/>
          <w:szCs w:val="36"/>
          <w:lang w:eastAsia="zh-CN"/>
        </w:rPr>
        <w:t>新邵县2017年社会事务管理</w:t>
      </w:r>
      <w:r>
        <w:rPr>
          <w:rFonts w:hint="eastAsia" w:ascii="仿宋" w:hAnsi="仿宋" w:eastAsia="仿宋" w:cs="仿宋"/>
          <w:sz w:val="36"/>
          <w:szCs w:val="36"/>
        </w:rPr>
        <w:t>绩效评价表</w:t>
      </w:r>
    </w:p>
    <w:p>
      <w:pPr>
        <w:keepNext w:val="0"/>
        <w:keepLines w:val="0"/>
        <w:pageBreakBefore w:val="0"/>
        <w:kinsoku/>
        <w:wordWrap/>
        <w:overflowPunct/>
        <w:topLinePunct w:val="0"/>
        <w:autoSpaceDE/>
        <w:autoSpaceDN/>
        <w:bidi w:val="0"/>
        <w:adjustRightInd/>
        <w:snapToGrid w:val="0"/>
        <w:spacing w:line="540" w:lineRule="exact"/>
        <w:ind w:left="0" w:leftChars="0" w:right="0" w:rightChars="0"/>
        <w:jc w:val="right"/>
        <w:textAlignment w:val="auto"/>
        <w:rPr>
          <w:rFonts w:hint="eastAsia" w:ascii="仿宋" w:hAnsi="仿宋" w:eastAsia="仿宋" w:cs="仿宋"/>
          <w:sz w:val="28"/>
          <w:szCs w:val="28"/>
        </w:rPr>
      </w:pPr>
      <w:r>
        <w:rPr>
          <w:rFonts w:hint="eastAsia" w:ascii="仿宋" w:hAnsi="仿宋" w:eastAsia="仿宋" w:cs="仿宋"/>
          <w:sz w:val="28"/>
          <w:szCs w:val="28"/>
        </w:rPr>
        <w:t>填报日期：201</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p>
    <w:tbl>
      <w:tblPr>
        <w:tblStyle w:val="6"/>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78"/>
        <w:gridCol w:w="1395"/>
        <w:gridCol w:w="575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627" w:type="dxa"/>
            <w:vMerge w:val="restart"/>
            <w:noWrap w:val="0"/>
            <w:vAlign w:val="center"/>
          </w:tcPr>
          <w:p>
            <w:pPr>
              <w:snapToGrid w:val="0"/>
              <w:jc w:val="center"/>
              <w:rPr>
                <w:rFonts w:hint="eastAsia" w:ascii="仿宋" w:hAnsi="仿宋" w:eastAsia="仿宋" w:cs="仿宋"/>
                <w:sz w:val="28"/>
                <w:szCs w:val="28"/>
              </w:rPr>
            </w:pPr>
          </w:p>
          <w:p>
            <w:pPr>
              <w:snapToGrid w:val="0"/>
              <w:jc w:val="center"/>
              <w:rPr>
                <w:rFonts w:hint="eastAsia" w:ascii="仿宋" w:hAnsi="仿宋" w:eastAsia="仿宋" w:cs="仿宋"/>
                <w:sz w:val="28"/>
                <w:szCs w:val="28"/>
              </w:rPr>
            </w:pPr>
            <w:r>
              <w:rPr>
                <w:rFonts w:hint="eastAsia" w:ascii="仿宋" w:hAnsi="仿宋" w:eastAsia="仿宋" w:cs="仿宋"/>
                <w:sz w:val="28"/>
                <w:szCs w:val="28"/>
              </w:rPr>
              <w:t>项目基本情况</w:t>
            </w: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项目名称</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textAlignment w:val="auto"/>
              <w:rPr>
                <w:rFonts w:hint="eastAsia" w:ascii="仿宋" w:hAnsi="仿宋" w:eastAsia="仿宋" w:cs="仿宋"/>
                <w:sz w:val="28"/>
                <w:szCs w:val="28"/>
              </w:rPr>
            </w:pPr>
            <w:r>
              <w:rPr>
                <w:rFonts w:hint="eastAsia" w:ascii="仿宋" w:hAnsi="仿宋" w:eastAsia="仿宋" w:cs="仿宋"/>
                <w:sz w:val="28"/>
                <w:szCs w:val="28"/>
                <w:lang w:eastAsia="zh-CN"/>
              </w:rPr>
              <w:t>新邵县2017年社会事务管理经费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项目内容</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新邵县2017年社会事务管理经费</w:t>
            </w:r>
            <w:r>
              <w:rPr>
                <w:rFonts w:hint="eastAsia" w:ascii="仿宋" w:hAnsi="仿宋" w:eastAsia="仿宋" w:cs="仿宋"/>
                <w:sz w:val="28"/>
                <w:szCs w:val="28"/>
              </w:rPr>
              <w:t>财政绩效评价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项目单位</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新邵县龙山国有林场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项目属性</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本次评价</w:t>
            </w:r>
          </w:p>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工作的目的</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28"/>
                <w:szCs w:val="28"/>
              </w:rPr>
            </w:pPr>
            <w:r>
              <w:rPr>
                <w:rFonts w:hint="eastAsia" w:ascii="仿宋" w:hAnsi="仿宋" w:eastAsia="仿宋" w:cs="仿宋"/>
                <w:b w:val="0"/>
                <w:bCs w:val="0"/>
                <w:sz w:val="28"/>
                <w:szCs w:val="28"/>
              </w:rPr>
              <w:t>社会综合治理、环境卫生整治、计划生育、社会救助、低保、武装、种粮补贴、农户养老、新农合、户籍管理、安全饮水、电力维修等工作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维护林区的和谐稳定。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资金总额</w:t>
            </w:r>
          </w:p>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及构成</w:t>
            </w:r>
          </w:p>
        </w:tc>
        <w:tc>
          <w:tcPr>
            <w:tcW w:w="6874"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2017年</w:t>
            </w:r>
            <w:r>
              <w:rPr>
                <w:rFonts w:hint="eastAsia" w:ascii="仿宋" w:hAnsi="仿宋" w:eastAsia="仿宋" w:cs="仿宋"/>
                <w:sz w:val="28"/>
                <w:szCs w:val="28"/>
              </w:rPr>
              <w:t>共收到</w:t>
            </w:r>
            <w:r>
              <w:rPr>
                <w:rFonts w:hint="eastAsia" w:ascii="仿宋" w:hAnsi="仿宋" w:eastAsia="仿宋" w:cs="仿宋"/>
                <w:sz w:val="28"/>
                <w:szCs w:val="28"/>
                <w:lang w:eastAsia="zh-CN"/>
              </w:rPr>
              <w:t>社会事务管理经费</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万元。</w:t>
            </w:r>
          </w:p>
          <w:p>
            <w:pPr>
              <w:keepNext w:val="0"/>
              <w:keepLines w:val="0"/>
              <w:pageBreakBefore w:val="0"/>
              <w:kinsoku/>
              <w:wordWrap/>
              <w:overflowPunct/>
              <w:topLinePunct w:val="0"/>
              <w:autoSpaceDE/>
              <w:autoSpaceDN/>
              <w:bidi w:val="0"/>
              <w:adjustRightInd/>
              <w:snapToGrid w:val="0"/>
              <w:ind w:left="0" w:leftChars="0" w:right="0" w:rightChars="0"/>
              <w:jc w:val="left"/>
              <w:textAlignment w:val="auto"/>
              <w:rPr>
                <w:rFonts w:hint="eastAsia" w:ascii="仿宋" w:hAnsi="仿宋" w:eastAsia="仿宋" w:cs="仿宋"/>
                <w:sz w:val="30"/>
                <w:szCs w:val="30"/>
              </w:rPr>
            </w:pPr>
            <w:r>
              <w:rPr>
                <w:rFonts w:hint="eastAsia" w:ascii="仿宋" w:hAnsi="仿宋" w:eastAsia="仿宋" w:cs="仿宋"/>
                <w:color w:val="auto"/>
                <w:sz w:val="28"/>
                <w:szCs w:val="28"/>
                <w:lang w:eastAsia="zh-CN"/>
              </w:rPr>
              <w:t>2017年</w:t>
            </w:r>
            <w:r>
              <w:rPr>
                <w:rFonts w:hint="eastAsia" w:ascii="仿宋" w:hAnsi="仿宋" w:eastAsia="仿宋" w:cs="仿宋"/>
                <w:sz w:val="28"/>
                <w:szCs w:val="28"/>
                <w:lang w:eastAsia="zh-CN"/>
              </w:rPr>
              <w:t>社会事务管理经费</w:t>
            </w:r>
            <w:r>
              <w:rPr>
                <w:rFonts w:hint="eastAsia" w:ascii="仿宋" w:hAnsi="仿宋" w:eastAsia="仿宋" w:cs="仿宋"/>
                <w:color w:val="auto"/>
                <w:sz w:val="28"/>
                <w:szCs w:val="28"/>
              </w:rPr>
              <w:t>支出合计</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6" w:hRule="atLeast"/>
          <w:jc w:val="center"/>
        </w:trPr>
        <w:tc>
          <w:tcPr>
            <w:tcW w:w="627" w:type="dxa"/>
            <w:vMerge w:val="continue"/>
            <w:noWrap w:val="0"/>
            <w:vAlign w:val="center"/>
          </w:tcPr>
          <w:p>
            <w:pPr>
              <w:snapToGrid w:val="0"/>
              <w:jc w:val="center"/>
              <w:rPr>
                <w:rFonts w:hint="eastAsia" w:ascii="仿宋" w:hAnsi="仿宋" w:eastAsia="仿宋" w:cs="仿宋"/>
                <w:sz w:val="28"/>
                <w:szCs w:val="28"/>
              </w:rPr>
            </w:pPr>
          </w:p>
        </w:tc>
        <w:tc>
          <w:tcPr>
            <w:tcW w:w="1673" w:type="dxa"/>
            <w:gridSpan w:val="2"/>
            <w:noWrap w:val="0"/>
            <w:vAlign w:val="center"/>
          </w:tcPr>
          <w:p>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sz w:val="28"/>
                <w:szCs w:val="28"/>
              </w:rPr>
              <w:t>项目背景</w:t>
            </w:r>
          </w:p>
        </w:tc>
        <w:tc>
          <w:tcPr>
            <w:tcW w:w="6874" w:type="dxa"/>
            <w:gridSpan w:val="2"/>
            <w:noWrap w:val="0"/>
            <w:vAlign w:val="center"/>
          </w:tcPr>
          <w:p>
            <w:pPr>
              <w:keepNext w:val="0"/>
              <w:keepLines w:val="0"/>
              <w:pageBreakBefore w:val="0"/>
              <w:widowControl/>
              <w:numPr>
                <w:ilvl w:val="0"/>
                <w:numId w:val="0"/>
              </w:numPr>
              <w:kinsoku/>
              <w:wordWrap/>
              <w:overflowPunct/>
              <w:topLinePunct w:val="0"/>
              <w:autoSpaceDE/>
              <w:autoSpaceDN/>
              <w:bidi w:val="0"/>
              <w:spacing w:line="560" w:lineRule="exact"/>
              <w:ind w:left="-220" w:leftChars="-100" w:right="-440" w:rightChars="-200" w:firstLine="560" w:firstLineChars="200"/>
              <w:jc w:val="left"/>
              <w:textAlignment w:val="auto"/>
              <w:rPr>
                <w:rFonts w:hint="eastAsia" w:ascii="仿宋" w:hAnsi="仿宋" w:eastAsia="仿宋" w:cs="仿宋"/>
                <w:spacing w:val="-19"/>
                <w:sz w:val="28"/>
                <w:szCs w:val="28"/>
              </w:rPr>
            </w:pPr>
            <w:r>
              <w:rPr>
                <w:rFonts w:hint="eastAsia" w:ascii="仿宋" w:hAnsi="仿宋" w:eastAsia="仿宋" w:cs="仿宋"/>
                <w:sz w:val="28"/>
                <w:szCs w:val="28"/>
                <w:lang w:eastAsia="zh-CN"/>
              </w:rPr>
              <w:t>我林场人口多，条件差，</w:t>
            </w:r>
            <w:r>
              <w:rPr>
                <w:rFonts w:hint="eastAsia" w:ascii="仿宋" w:hAnsi="仿宋" w:eastAsia="仿宋" w:cs="仿宋"/>
                <w:spacing w:val="-19"/>
                <w:sz w:val="28"/>
                <w:szCs w:val="28"/>
                <w:lang w:eastAsia="zh-CN"/>
              </w:rPr>
              <w:t>公路、电力、通讯</w:t>
            </w:r>
            <w:r>
              <w:rPr>
                <w:rFonts w:hint="eastAsia" w:ascii="仿宋" w:hAnsi="仿宋" w:eastAsia="仿宋" w:cs="仿宋"/>
                <w:spacing w:val="-19"/>
                <w:sz w:val="28"/>
                <w:szCs w:val="28"/>
              </w:rPr>
              <w:t>等设施</w:t>
            </w:r>
          </w:p>
          <w:p>
            <w:pPr>
              <w:keepNext w:val="0"/>
              <w:keepLines w:val="0"/>
              <w:pageBreakBefore w:val="0"/>
              <w:widowControl/>
              <w:numPr>
                <w:ilvl w:val="0"/>
                <w:numId w:val="0"/>
              </w:numPr>
              <w:kinsoku/>
              <w:wordWrap/>
              <w:overflowPunct/>
              <w:topLinePunct w:val="0"/>
              <w:autoSpaceDE/>
              <w:autoSpaceDN/>
              <w:bidi w:val="0"/>
              <w:spacing w:line="560" w:lineRule="exact"/>
              <w:ind w:left="-220" w:leftChars="-100" w:right="-440" w:rightChars="-200" w:firstLine="484" w:firstLineChars="200"/>
              <w:jc w:val="left"/>
              <w:textAlignment w:val="auto"/>
              <w:rPr>
                <w:rFonts w:hint="eastAsia" w:ascii="仿宋" w:hAnsi="仿宋" w:eastAsia="仿宋" w:cs="仿宋"/>
                <w:sz w:val="28"/>
                <w:szCs w:val="28"/>
              </w:rPr>
            </w:pPr>
            <w:r>
              <w:rPr>
                <w:rFonts w:hint="eastAsia" w:ascii="仿宋" w:hAnsi="仿宋" w:eastAsia="仿宋" w:cs="仿宋"/>
                <w:spacing w:val="-19"/>
                <w:sz w:val="28"/>
                <w:szCs w:val="28"/>
              </w:rPr>
              <w:t>建设</w:t>
            </w:r>
            <w:r>
              <w:rPr>
                <w:rFonts w:hint="eastAsia" w:ascii="仿宋" w:hAnsi="仿宋" w:eastAsia="仿宋" w:cs="仿宋"/>
                <w:sz w:val="28"/>
                <w:szCs w:val="28"/>
              </w:rPr>
              <w:t>财政预算不足，资金缺口大，不利于林场生产</w:t>
            </w:r>
          </w:p>
          <w:p>
            <w:pPr>
              <w:keepNext w:val="0"/>
              <w:keepLines w:val="0"/>
              <w:pageBreakBefore w:val="0"/>
              <w:widowControl/>
              <w:numPr>
                <w:ilvl w:val="0"/>
                <w:numId w:val="0"/>
              </w:numPr>
              <w:kinsoku/>
              <w:wordWrap/>
              <w:overflowPunct/>
              <w:topLinePunct w:val="0"/>
              <w:autoSpaceDE/>
              <w:autoSpaceDN/>
              <w:bidi w:val="0"/>
              <w:spacing w:line="560" w:lineRule="exact"/>
              <w:ind w:left="-220" w:leftChars="-100" w:right="-440" w:rightChars="-20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发展。</w:t>
            </w:r>
          </w:p>
          <w:p>
            <w:pPr>
              <w:keepNext w:val="0"/>
              <w:keepLines w:val="0"/>
              <w:pageBreakBefore w:val="0"/>
              <w:kinsoku/>
              <w:wordWrap/>
              <w:overflowPunct/>
              <w:topLinePunct w:val="0"/>
              <w:autoSpaceDE/>
              <w:autoSpaceDN/>
              <w:bidi w:val="0"/>
              <w:adjustRightInd/>
              <w:snapToGrid w:val="0"/>
              <w:ind w:left="0" w:leftChars="0" w:right="0" w:rightChars="0" w:firstLine="560" w:firstLineChars="200"/>
              <w:jc w:val="left"/>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300" w:type="dxa"/>
            <w:gridSpan w:val="3"/>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评价指标</w:t>
            </w:r>
          </w:p>
        </w:tc>
        <w:tc>
          <w:tcPr>
            <w:tcW w:w="5750" w:type="dxa"/>
            <w:vMerge w:val="restart"/>
            <w:noWrap w:val="0"/>
            <w:vAlign w:val="center"/>
          </w:tcPr>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评价情况</w:t>
            </w:r>
          </w:p>
        </w:tc>
        <w:tc>
          <w:tcPr>
            <w:tcW w:w="1124" w:type="dxa"/>
            <w:vMerge w:val="restart"/>
            <w:noWrap w:val="0"/>
            <w:vAlign w:val="center"/>
          </w:tcPr>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评价</w:t>
            </w:r>
          </w:p>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05" w:type="dxa"/>
            <w:gridSpan w:val="2"/>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一级</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二级</w:t>
            </w:r>
          </w:p>
        </w:tc>
        <w:tc>
          <w:tcPr>
            <w:tcW w:w="5750" w:type="dxa"/>
            <w:vMerge w:val="continue"/>
            <w:noWrap w:val="0"/>
            <w:vAlign w:val="center"/>
          </w:tcPr>
          <w:p>
            <w:pPr>
              <w:tabs>
                <w:tab w:val="left" w:pos="1980"/>
              </w:tabs>
              <w:snapToGrid w:val="0"/>
              <w:jc w:val="center"/>
              <w:rPr>
                <w:rFonts w:hint="eastAsia" w:ascii="仿宋" w:hAnsi="仿宋" w:eastAsia="仿宋" w:cs="仿宋"/>
                <w:sz w:val="28"/>
                <w:szCs w:val="28"/>
              </w:rPr>
            </w:pPr>
          </w:p>
        </w:tc>
        <w:tc>
          <w:tcPr>
            <w:tcW w:w="1124" w:type="dxa"/>
            <w:vMerge w:val="continue"/>
            <w:noWrap w:val="0"/>
            <w:vAlign w:val="center"/>
          </w:tcPr>
          <w:p>
            <w:pPr>
              <w:tabs>
                <w:tab w:val="left" w:pos="1980"/>
              </w:tabs>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项目立项</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绩效目标规范性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kern w:val="0"/>
                <w:sz w:val="28"/>
                <w:szCs w:val="28"/>
              </w:rPr>
              <w:t>项目按照规定的程序申请设立所提交的文件、材料符合相关要求</w:t>
            </w:r>
            <w:r>
              <w:rPr>
                <w:rFonts w:hint="eastAsia" w:ascii="仿宋" w:hAnsi="仿宋" w:eastAsia="仿宋" w:cs="仿宋"/>
                <w:sz w:val="28"/>
                <w:szCs w:val="28"/>
              </w:rPr>
              <w:t>，</w:t>
            </w:r>
            <w:r>
              <w:rPr>
                <w:rFonts w:hint="eastAsia" w:ascii="仿宋" w:hAnsi="仿宋" w:eastAsia="仿宋" w:cs="仿宋"/>
                <w:kern w:val="0"/>
                <w:sz w:val="28"/>
                <w:szCs w:val="28"/>
              </w:rPr>
              <w:t>事前经过集体决策，</w:t>
            </w:r>
            <w:r>
              <w:rPr>
                <w:rFonts w:hint="eastAsia" w:ascii="仿宋" w:hAnsi="仿宋" w:eastAsia="仿宋" w:cs="仿宋"/>
                <w:sz w:val="28"/>
                <w:szCs w:val="28"/>
              </w:rPr>
              <w:t>计</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绩效目标合理性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项目符合国家法律法规、国民经济发展规划和县委政府决策，与项目</w:t>
            </w:r>
            <w:r>
              <w:rPr>
                <w:rFonts w:hint="eastAsia" w:ascii="仿宋" w:hAnsi="仿宋" w:eastAsia="仿宋" w:cs="仿宋"/>
                <w:sz w:val="28"/>
                <w:szCs w:val="28"/>
                <w:lang w:eastAsia="zh-CN"/>
              </w:rPr>
              <w:t>实施单位</w:t>
            </w:r>
            <w:r>
              <w:rPr>
                <w:rFonts w:hint="eastAsia" w:ascii="仿宋" w:hAnsi="仿宋" w:eastAsia="仿宋" w:cs="仿宋"/>
                <w:sz w:val="28"/>
                <w:szCs w:val="28"/>
              </w:rPr>
              <w:t>职责密切相关，计</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绩效指标明确性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项目按年度分解了具体的绩效指标，计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绩效指标进行了量化，计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项目实际完成任务数与计划数基本一致，计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项目支出与预计确定的项目预算匹配，记2分。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905" w:type="dxa"/>
            <w:gridSpan w:val="2"/>
            <w:vMerge w:val="restart"/>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资金落实</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资金到位率（</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rPr>
              <w:t>项目实际到位资金</w:t>
            </w:r>
            <w:r>
              <w:rPr>
                <w:rFonts w:hint="eastAsia" w:ascii="仿宋" w:hAnsi="仿宋" w:eastAsia="仿宋" w:cs="仿宋"/>
                <w:sz w:val="28"/>
                <w:szCs w:val="28"/>
                <w:lang w:val="en-US" w:eastAsia="zh-CN"/>
              </w:rPr>
              <w:t>15</w:t>
            </w:r>
            <w:r>
              <w:rPr>
                <w:rFonts w:hint="eastAsia" w:ascii="仿宋" w:hAnsi="仿宋" w:eastAsia="仿宋" w:cs="仿宋"/>
                <w:sz w:val="28"/>
                <w:szCs w:val="28"/>
              </w:rPr>
              <w:t>万元，计划投入资金</w:t>
            </w:r>
            <w:r>
              <w:rPr>
                <w:rFonts w:hint="eastAsia" w:ascii="仿宋" w:hAnsi="仿宋" w:eastAsia="仿宋" w:cs="仿宋"/>
                <w:sz w:val="28"/>
                <w:szCs w:val="28"/>
                <w:lang w:val="en-US" w:eastAsia="zh-CN"/>
              </w:rPr>
              <w:t>15</w:t>
            </w:r>
            <w:r>
              <w:rPr>
                <w:rFonts w:hint="eastAsia" w:ascii="仿宋" w:hAnsi="仿宋" w:eastAsia="仿宋" w:cs="仿宋"/>
                <w:sz w:val="28"/>
                <w:szCs w:val="28"/>
              </w:rPr>
              <w:t>万元，到位率</w:t>
            </w:r>
            <w:r>
              <w:rPr>
                <w:rFonts w:hint="eastAsia" w:ascii="仿宋" w:hAnsi="仿宋" w:eastAsia="仿宋" w:cs="仿宋"/>
                <w:sz w:val="28"/>
                <w:szCs w:val="28"/>
                <w:lang w:val="en-US" w:eastAsia="zh-CN"/>
              </w:rPr>
              <w:t>10</w:t>
            </w:r>
            <w:r>
              <w:rPr>
                <w:rFonts w:hint="eastAsia" w:ascii="仿宋" w:hAnsi="仿宋" w:eastAsia="仿宋" w:cs="仿宋"/>
                <w:sz w:val="28"/>
                <w:szCs w:val="28"/>
              </w:rPr>
              <w:t>0%</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6分。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到位及时率（</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已到位的资金</w:t>
            </w:r>
            <w:r>
              <w:rPr>
                <w:rFonts w:hint="eastAsia" w:ascii="仿宋" w:hAnsi="仿宋" w:eastAsia="仿宋" w:cs="仿宋"/>
                <w:sz w:val="28"/>
                <w:szCs w:val="28"/>
                <w:lang w:val="en-US" w:eastAsia="zh-CN"/>
              </w:rPr>
              <w:t>15</w:t>
            </w:r>
            <w:r>
              <w:rPr>
                <w:rFonts w:hint="eastAsia" w:ascii="仿宋" w:hAnsi="仿宋" w:eastAsia="仿宋" w:cs="仿宋"/>
                <w:sz w:val="28"/>
                <w:szCs w:val="28"/>
              </w:rPr>
              <w:t>万元，应到位资金</w:t>
            </w:r>
            <w:r>
              <w:rPr>
                <w:rFonts w:hint="eastAsia" w:ascii="仿宋" w:hAnsi="仿宋" w:eastAsia="仿宋" w:cs="仿宋"/>
                <w:sz w:val="28"/>
                <w:szCs w:val="28"/>
                <w:lang w:val="en-US" w:eastAsia="zh-CN"/>
              </w:rPr>
              <w:t>15</w:t>
            </w:r>
            <w:r>
              <w:rPr>
                <w:rFonts w:hint="eastAsia" w:ascii="仿宋" w:hAnsi="仿宋" w:eastAsia="仿宋" w:cs="仿宋"/>
                <w:sz w:val="28"/>
                <w:szCs w:val="28"/>
              </w:rPr>
              <w:t>万元，到位</w:t>
            </w:r>
            <w:r>
              <w:rPr>
                <w:rFonts w:hint="eastAsia" w:ascii="仿宋" w:hAnsi="仿宋" w:eastAsia="仿宋" w:cs="仿宋"/>
                <w:sz w:val="28"/>
                <w:szCs w:val="28"/>
                <w:lang w:eastAsia="zh-CN"/>
              </w:rPr>
              <w:t>及时</w:t>
            </w:r>
            <w:r>
              <w:rPr>
                <w:rFonts w:hint="eastAsia" w:ascii="仿宋" w:hAnsi="仿宋" w:eastAsia="仿宋" w:cs="仿宋"/>
                <w:sz w:val="28"/>
                <w:szCs w:val="28"/>
              </w:rPr>
              <w:t>率</w:t>
            </w:r>
            <w:r>
              <w:rPr>
                <w:rFonts w:hint="eastAsia" w:ascii="仿宋" w:hAnsi="仿宋" w:eastAsia="仿宋" w:cs="仿宋"/>
                <w:sz w:val="28"/>
                <w:szCs w:val="28"/>
                <w:lang w:val="en-US" w:eastAsia="zh-CN"/>
              </w:rPr>
              <w:t>10</w:t>
            </w:r>
            <w:r>
              <w:rPr>
                <w:rFonts w:hint="eastAsia" w:ascii="仿宋" w:hAnsi="仿宋" w:eastAsia="仿宋" w:cs="仿宋"/>
                <w:sz w:val="28"/>
                <w:szCs w:val="28"/>
              </w:rPr>
              <w:t>0%</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6分。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业务管理</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管理制度健全性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项目实施单位</w:t>
            </w:r>
            <w:r>
              <w:rPr>
                <w:rFonts w:hint="eastAsia" w:ascii="仿宋" w:hAnsi="仿宋" w:eastAsia="仿宋" w:cs="仿宋"/>
                <w:sz w:val="28"/>
                <w:szCs w:val="28"/>
                <w:lang w:eastAsia="zh-CN"/>
              </w:rPr>
              <w:t>制定了《实施方案》，但相关制度不够健全与完善</w:t>
            </w:r>
            <w:r>
              <w:rPr>
                <w:rFonts w:hint="eastAsia" w:ascii="仿宋" w:hAnsi="仿宋" w:eastAsia="仿宋" w:cs="仿宋"/>
                <w:sz w:val="28"/>
                <w:szCs w:val="28"/>
              </w:rPr>
              <w:t>，计</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制度执行有效性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项目的实施遵守相关法律法规和业务管理规定，计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rPr>
              <w:t>达到预期设定</w:t>
            </w:r>
            <w:r>
              <w:rPr>
                <w:rFonts w:hint="eastAsia" w:ascii="仿宋" w:hAnsi="仿宋" w:eastAsia="仿宋" w:cs="仿宋"/>
                <w:sz w:val="28"/>
                <w:szCs w:val="28"/>
                <w:lang w:eastAsia="zh-CN"/>
              </w:rPr>
              <w:t>目标，计</w:t>
            </w:r>
            <w:r>
              <w:rPr>
                <w:rFonts w:hint="eastAsia" w:ascii="仿宋" w:hAnsi="仿宋" w:eastAsia="仿宋" w:cs="仿宋"/>
                <w:sz w:val="28"/>
                <w:szCs w:val="28"/>
                <w:lang w:val="en-US" w:eastAsia="zh-CN"/>
              </w:rPr>
              <w:t xml:space="preserve">4分； </w:t>
            </w:r>
          </w:p>
          <w:p>
            <w:pPr>
              <w:widowControl/>
              <w:snapToGrid w:val="0"/>
              <w:jc w:val="left"/>
              <w:rPr>
                <w:rFonts w:hint="eastAsia" w:ascii="仿宋" w:hAnsi="仿宋" w:eastAsia="仿宋" w:cs="仿宋"/>
                <w:sz w:val="28"/>
                <w:szCs w:val="28"/>
              </w:rPr>
            </w:pPr>
            <w:r>
              <w:rPr>
                <w:rFonts w:hint="eastAsia" w:ascii="仿宋" w:hAnsi="仿宋" w:eastAsia="仿宋" w:cs="仿宋"/>
                <w:sz w:val="28"/>
                <w:szCs w:val="28"/>
              </w:rPr>
              <w:t>项目实施过程中的人员条件、场地设备，信息支撑等落实到位，计1分。</w:t>
            </w:r>
          </w:p>
        </w:tc>
        <w:tc>
          <w:tcPr>
            <w:tcW w:w="1124" w:type="dxa"/>
            <w:noWrap w:val="0"/>
            <w:vAlign w:val="center"/>
          </w:tcPr>
          <w:p>
            <w:pPr>
              <w:widowControl/>
              <w:snapToGrid w:val="0"/>
              <w:jc w:val="center"/>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项目质量可控性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未</w:t>
            </w:r>
            <w:r>
              <w:rPr>
                <w:rFonts w:hint="eastAsia" w:ascii="仿宋" w:hAnsi="仿宋" w:eastAsia="仿宋" w:cs="仿宋"/>
                <w:sz w:val="28"/>
                <w:szCs w:val="28"/>
              </w:rPr>
              <w:t>制定质量要求或标准</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 xml:space="preserve">0分； </w:t>
            </w:r>
          </w:p>
          <w:p>
            <w:pPr>
              <w:widowControl/>
              <w:snapToGrid w:val="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未</w:t>
            </w:r>
            <w:r>
              <w:rPr>
                <w:rFonts w:hint="eastAsia" w:ascii="仿宋" w:hAnsi="仿宋" w:eastAsia="仿宋" w:cs="仿宋"/>
                <w:sz w:val="28"/>
                <w:szCs w:val="28"/>
              </w:rPr>
              <w:t>采取相应的质量检查、验收等必需的控制措施或实施手续</w:t>
            </w:r>
            <w:r>
              <w:rPr>
                <w:rFonts w:hint="eastAsia" w:ascii="仿宋" w:hAnsi="仿宋" w:eastAsia="仿宋" w:cs="仿宋"/>
                <w:sz w:val="28"/>
                <w:szCs w:val="28"/>
                <w:lang w:eastAsia="zh-CN"/>
              </w:rPr>
              <w:t>，计</w:t>
            </w:r>
            <w:r>
              <w:rPr>
                <w:rFonts w:hint="eastAsia" w:ascii="仿宋" w:hAnsi="仿宋" w:eastAsia="仿宋" w:cs="仿宋"/>
                <w:sz w:val="28"/>
                <w:szCs w:val="28"/>
                <w:lang w:val="en-US" w:eastAsia="zh-CN"/>
              </w:rPr>
              <w:t>0分。</w:t>
            </w:r>
          </w:p>
        </w:tc>
        <w:tc>
          <w:tcPr>
            <w:tcW w:w="1124" w:type="dxa"/>
            <w:noWrap w:val="0"/>
            <w:vAlign w:val="center"/>
          </w:tcPr>
          <w:p>
            <w:pPr>
              <w:widowControl/>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905" w:type="dxa"/>
            <w:gridSpan w:val="2"/>
            <w:vMerge w:val="restart"/>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财务管理</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管理制度健全性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实施单位的财务制度健全，计</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905" w:type="dxa"/>
            <w:gridSpan w:val="2"/>
            <w:vMerge w:val="continue"/>
            <w:noWrap w:val="0"/>
            <w:vAlign w:val="center"/>
          </w:tcPr>
          <w:p>
            <w:pPr>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资金使用合规性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符合国家财经法规和财务管理制度以及专项资金管理办法的支出，计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项目的重大开支经过集体决策，计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符合专项资金规定用途的情况，计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现场检查未发现截留、挤占、挪用、虚列专项资金的情况，计2分。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905" w:type="dxa"/>
            <w:gridSpan w:val="2"/>
            <w:vMerge w:val="continue"/>
            <w:noWrap w:val="0"/>
            <w:vAlign w:val="center"/>
          </w:tcPr>
          <w:p>
            <w:pPr>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财务监督有效性</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制定</w:t>
            </w:r>
            <w:r>
              <w:rPr>
                <w:rFonts w:hint="eastAsia" w:ascii="仿宋" w:hAnsi="仿宋" w:eastAsia="仿宋" w:cs="仿宋"/>
                <w:sz w:val="28"/>
                <w:szCs w:val="28"/>
                <w:lang w:eastAsia="zh-CN"/>
              </w:rPr>
              <w:t>了</w:t>
            </w:r>
            <w:r>
              <w:rPr>
                <w:rFonts w:hint="eastAsia" w:ascii="仿宋" w:hAnsi="仿宋" w:eastAsia="仿宋" w:cs="仿宋"/>
                <w:sz w:val="28"/>
                <w:szCs w:val="28"/>
              </w:rPr>
              <w:t>相应的监督措施，计</w:t>
            </w:r>
            <w:r>
              <w:rPr>
                <w:rFonts w:hint="eastAsia" w:ascii="仿宋" w:hAnsi="仿宋" w:eastAsia="仿宋" w:cs="仿宋"/>
                <w:sz w:val="28"/>
                <w:szCs w:val="28"/>
                <w:lang w:val="en-US" w:eastAsia="zh-CN"/>
              </w:rPr>
              <w:t>3</w:t>
            </w:r>
            <w:r>
              <w:rPr>
                <w:rFonts w:hint="eastAsia" w:ascii="仿宋" w:hAnsi="仿宋" w:eastAsia="仿宋" w:cs="仿宋"/>
                <w:sz w:val="28"/>
                <w:szCs w:val="28"/>
              </w:rPr>
              <w:t>分；</w:t>
            </w:r>
          </w:p>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进行</w:t>
            </w:r>
            <w:r>
              <w:rPr>
                <w:rFonts w:hint="eastAsia" w:ascii="仿宋" w:hAnsi="仿宋" w:eastAsia="仿宋" w:cs="仿宋"/>
                <w:sz w:val="28"/>
                <w:szCs w:val="28"/>
                <w:lang w:eastAsia="zh-CN"/>
              </w:rPr>
              <w:t>了</w:t>
            </w:r>
            <w:r>
              <w:rPr>
                <w:rFonts w:hint="eastAsia" w:ascii="仿宋" w:hAnsi="仿宋" w:eastAsia="仿宋" w:cs="仿宋"/>
                <w:sz w:val="28"/>
                <w:szCs w:val="28"/>
              </w:rPr>
              <w:t>相应的财务检查等监督措施，计</w:t>
            </w:r>
            <w:r>
              <w:rPr>
                <w:rFonts w:hint="eastAsia" w:ascii="仿宋" w:hAnsi="仿宋" w:eastAsia="仿宋" w:cs="仿宋"/>
                <w:sz w:val="28"/>
                <w:szCs w:val="28"/>
                <w:lang w:val="en-US" w:eastAsia="zh-CN"/>
              </w:rPr>
              <w:t>3</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905" w:type="dxa"/>
            <w:gridSpan w:val="2"/>
            <w:noWrap w:val="0"/>
            <w:vAlign w:val="center"/>
          </w:tcPr>
          <w:p>
            <w:pPr>
              <w:snapToGrid w:val="0"/>
              <w:jc w:val="center"/>
              <w:rPr>
                <w:rFonts w:hint="eastAsia" w:ascii="仿宋" w:hAnsi="仿宋" w:eastAsia="仿宋" w:cs="仿宋"/>
                <w:sz w:val="28"/>
                <w:szCs w:val="28"/>
              </w:rPr>
            </w:pPr>
            <w:r>
              <w:rPr>
                <w:rFonts w:hint="eastAsia" w:ascii="仿宋" w:hAnsi="仿宋" w:eastAsia="仿宋" w:cs="仿宋"/>
                <w:sz w:val="28"/>
                <w:szCs w:val="28"/>
              </w:rPr>
              <w:t>预算额控制</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投资控制</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（6分）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已付的项目资金未超预算，计6分。</w:t>
            </w:r>
          </w:p>
        </w:tc>
        <w:tc>
          <w:tcPr>
            <w:tcW w:w="1124"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完成进度及质量</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进度管理</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项目阶段性目标明确且按时提交任务完成情况，计</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05" w:type="dxa"/>
            <w:gridSpan w:val="2"/>
            <w:vMerge w:val="continue"/>
            <w:tcBorders>
              <w:bottom w:val="single" w:color="000000" w:sz="6" w:space="0"/>
            </w:tcBorders>
            <w:noWrap w:val="0"/>
            <w:vAlign w:val="center"/>
          </w:tcPr>
          <w:p>
            <w:pPr>
              <w:tabs>
                <w:tab w:val="left" w:pos="1980"/>
              </w:tabs>
              <w:snapToGrid w:val="0"/>
              <w:jc w:val="center"/>
              <w:rPr>
                <w:rFonts w:hint="eastAsia" w:ascii="仿宋" w:hAnsi="仿宋" w:eastAsia="仿宋" w:cs="仿宋"/>
                <w:sz w:val="28"/>
                <w:szCs w:val="28"/>
              </w:rPr>
            </w:pP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质量管理</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lang w:eastAsia="zh-CN"/>
              </w:rPr>
              <w:t>达到预期</w:t>
            </w:r>
            <w:r>
              <w:rPr>
                <w:rFonts w:hint="eastAsia" w:ascii="仿宋" w:hAnsi="仿宋" w:eastAsia="仿宋" w:cs="仿宋"/>
                <w:sz w:val="28"/>
                <w:szCs w:val="28"/>
              </w:rPr>
              <w:t>质量</w:t>
            </w:r>
            <w:r>
              <w:rPr>
                <w:rFonts w:hint="eastAsia" w:ascii="仿宋" w:hAnsi="仿宋" w:eastAsia="仿宋" w:cs="仿宋"/>
                <w:sz w:val="28"/>
                <w:szCs w:val="28"/>
                <w:lang w:eastAsia="zh-CN"/>
              </w:rPr>
              <w:t>要求</w:t>
            </w:r>
            <w:r>
              <w:rPr>
                <w:rFonts w:hint="eastAsia" w:ascii="仿宋" w:hAnsi="仿宋" w:eastAsia="仿宋" w:cs="仿宋"/>
                <w:sz w:val="28"/>
                <w:szCs w:val="28"/>
              </w:rPr>
              <w:t>，计6分；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905" w:type="dxa"/>
            <w:gridSpan w:val="2"/>
            <w:tcBorders>
              <w:top w:val="single" w:color="000000" w:sz="6" w:space="0"/>
            </w:tcBorders>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可持续发展</w:t>
            </w:r>
          </w:p>
        </w:tc>
        <w:tc>
          <w:tcPr>
            <w:tcW w:w="1395" w:type="dxa"/>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后续管理（</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5750" w:type="dxa"/>
            <w:noWrap w:val="0"/>
            <w:vAlign w:val="center"/>
          </w:tcPr>
          <w:p>
            <w:pPr>
              <w:tabs>
                <w:tab w:val="left" w:pos="1980"/>
              </w:tabs>
              <w:snapToGrid w:val="0"/>
              <w:jc w:val="left"/>
              <w:rPr>
                <w:rFonts w:hint="eastAsia" w:ascii="仿宋" w:hAnsi="仿宋" w:eastAsia="仿宋" w:cs="仿宋"/>
                <w:sz w:val="28"/>
                <w:szCs w:val="28"/>
              </w:rPr>
            </w:pPr>
            <w:r>
              <w:rPr>
                <w:rFonts w:hint="eastAsia" w:ascii="仿宋" w:hAnsi="仿宋" w:eastAsia="仿宋" w:cs="仿宋"/>
                <w:sz w:val="28"/>
                <w:szCs w:val="28"/>
              </w:rPr>
              <w:t>有后续管理措施，计</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c>
          <w:tcPr>
            <w:tcW w:w="1124" w:type="dxa"/>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exact"/>
          <w:jc w:val="center"/>
        </w:trPr>
        <w:tc>
          <w:tcPr>
            <w:tcW w:w="905" w:type="dxa"/>
            <w:gridSpan w:val="2"/>
            <w:vMerge w:val="restart"/>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社会效益</w:t>
            </w:r>
          </w:p>
        </w:tc>
        <w:tc>
          <w:tcPr>
            <w:tcW w:w="1395" w:type="dxa"/>
            <w:tcBorders>
              <w:bottom w:val="single" w:color="000000" w:sz="6" w:space="0"/>
            </w:tcBorders>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企业社会责任</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750" w:type="dxa"/>
            <w:tcBorders>
              <w:bottom w:val="single" w:color="000000" w:sz="6" w:space="0"/>
            </w:tcBorders>
            <w:noWrap w:val="0"/>
            <w:vAlign w:val="center"/>
          </w:tcPr>
          <w:p>
            <w:pPr>
              <w:snapToGrid w:val="0"/>
              <w:jc w:val="left"/>
              <w:rPr>
                <w:rFonts w:hint="eastAsia" w:ascii="仿宋" w:hAnsi="仿宋" w:eastAsia="仿宋" w:cs="仿宋"/>
                <w:sz w:val="28"/>
                <w:szCs w:val="28"/>
              </w:rPr>
            </w:pPr>
            <w:r>
              <w:rPr>
                <w:rFonts w:hint="eastAsia" w:ascii="仿宋" w:hAnsi="仿宋" w:eastAsia="仿宋" w:cs="仿宋"/>
                <w:sz w:val="28"/>
                <w:szCs w:val="28"/>
              </w:rPr>
              <w:t>根据项目问卷调查，社会公众对项目实施</w:t>
            </w:r>
            <w:r>
              <w:rPr>
                <w:rFonts w:hint="eastAsia" w:ascii="仿宋" w:hAnsi="仿宋" w:eastAsia="仿宋" w:cs="仿宋"/>
                <w:sz w:val="28"/>
                <w:szCs w:val="28"/>
                <w:lang w:eastAsia="zh-CN"/>
              </w:rPr>
              <w:t>政</w:t>
            </w:r>
            <w:r>
              <w:rPr>
                <w:rFonts w:hint="eastAsia" w:ascii="仿宋" w:hAnsi="仿宋" w:eastAsia="仿宋" w:cs="仿宋"/>
                <w:sz w:val="28"/>
                <w:szCs w:val="28"/>
              </w:rPr>
              <w:t>策满意，计</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1124" w:type="dxa"/>
            <w:tcBorders>
              <w:bottom w:val="single" w:color="000000" w:sz="6" w:space="0"/>
            </w:tcBorders>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exact"/>
          <w:jc w:val="center"/>
        </w:trPr>
        <w:tc>
          <w:tcPr>
            <w:tcW w:w="905" w:type="dxa"/>
            <w:gridSpan w:val="2"/>
            <w:vMerge w:val="continue"/>
            <w:noWrap w:val="0"/>
            <w:vAlign w:val="center"/>
          </w:tcPr>
          <w:p>
            <w:pPr>
              <w:tabs>
                <w:tab w:val="left" w:pos="1980"/>
              </w:tabs>
              <w:snapToGrid w:val="0"/>
              <w:jc w:val="center"/>
              <w:rPr>
                <w:rFonts w:hint="eastAsia" w:ascii="仿宋" w:hAnsi="仿宋" w:eastAsia="仿宋" w:cs="仿宋"/>
                <w:sz w:val="28"/>
                <w:szCs w:val="28"/>
              </w:rPr>
            </w:pPr>
          </w:p>
        </w:tc>
        <w:tc>
          <w:tcPr>
            <w:tcW w:w="1395" w:type="dxa"/>
            <w:tcBorders>
              <w:top w:val="single" w:color="000000" w:sz="6" w:space="0"/>
            </w:tcBorders>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社会公众满意度</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（4分）</w:t>
            </w:r>
          </w:p>
        </w:tc>
        <w:tc>
          <w:tcPr>
            <w:tcW w:w="5750" w:type="dxa"/>
            <w:tcBorders>
              <w:top w:val="single" w:color="000000" w:sz="6" w:space="0"/>
            </w:tcBorders>
            <w:noWrap w:val="0"/>
            <w:vAlign w:val="center"/>
          </w:tcPr>
          <w:p>
            <w:pPr>
              <w:tabs>
                <w:tab w:val="left" w:pos="1980"/>
              </w:tabs>
              <w:snapToGrid w:val="0"/>
              <w:rPr>
                <w:rFonts w:hint="eastAsia" w:ascii="仿宋" w:hAnsi="仿宋" w:eastAsia="仿宋" w:cs="仿宋"/>
                <w:sz w:val="28"/>
                <w:szCs w:val="28"/>
              </w:rPr>
            </w:pPr>
            <w:r>
              <w:rPr>
                <w:rFonts w:hint="eastAsia" w:ascii="仿宋" w:hAnsi="仿宋" w:eastAsia="仿宋" w:cs="仿宋"/>
                <w:sz w:val="28"/>
                <w:szCs w:val="28"/>
                <w:lang w:val="en-US" w:eastAsia="zh-CN"/>
              </w:rPr>
              <w:t>合格问卷调查样本量中，对社会事务管理政策满意的样本量为88.2%，计3分。</w:t>
            </w:r>
          </w:p>
        </w:tc>
        <w:tc>
          <w:tcPr>
            <w:tcW w:w="1124" w:type="dxa"/>
            <w:tcBorders>
              <w:top w:val="single" w:color="000000" w:sz="6" w:space="0"/>
            </w:tcBorders>
            <w:noWrap w:val="0"/>
            <w:vAlign w:val="center"/>
          </w:tcPr>
          <w:p>
            <w:pPr>
              <w:tabs>
                <w:tab w:val="left" w:pos="1980"/>
              </w:tabs>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905" w:type="dxa"/>
            <w:gridSpan w:val="2"/>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总分</w:t>
            </w:r>
          </w:p>
        </w:tc>
        <w:tc>
          <w:tcPr>
            <w:tcW w:w="7145" w:type="dxa"/>
            <w:gridSpan w:val="2"/>
            <w:noWrap w:val="0"/>
            <w:vAlign w:val="center"/>
          </w:tcPr>
          <w:p>
            <w:pPr>
              <w:tabs>
                <w:tab w:val="left" w:pos="1980"/>
              </w:tabs>
              <w:snapToGrid w:val="0"/>
              <w:jc w:val="center"/>
              <w:rPr>
                <w:rFonts w:hint="eastAsia" w:ascii="仿宋" w:hAnsi="仿宋" w:eastAsia="仿宋" w:cs="仿宋"/>
                <w:sz w:val="28"/>
                <w:szCs w:val="28"/>
              </w:rPr>
            </w:pPr>
          </w:p>
        </w:tc>
        <w:tc>
          <w:tcPr>
            <w:tcW w:w="1124" w:type="dxa"/>
            <w:noWrap w:val="0"/>
            <w:vAlign w:val="center"/>
          </w:tcPr>
          <w:p>
            <w:pPr>
              <w:tabs>
                <w:tab w:val="left" w:pos="1980"/>
              </w:tabs>
              <w:snapToGri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905" w:type="dxa"/>
            <w:gridSpan w:val="2"/>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评价等次</w:t>
            </w:r>
          </w:p>
        </w:tc>
        <w:tc>
          <w:tcPr>
            <w:tcW w:w="8269" w:type="dxa"/>
            <w:gridSpan w:val="3"/>
            <w:noWrap w:val="0"/>
            <w:vAlign w:val="center"/>
          </w:tcPr>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□优（90分以上）    ■良（80分-90分）   □中（70分-80分）</w:t>
            </w:r>
          </w:p>
          <w:p>
            <w:pPr>
              <w:tabs>
                <w:tab w:val="left" w:pos="1980"/>
              </w:tabs>
              <w:snapToGrid w:val="0"/>
              <w:jc w:val="center"/>
              <w:rPr>
                <w:rFonts w:hint="eastAsia" w:ascii="仿宋" w:hAnsi="仿宋" w:eastAsia="仿宋" w:cs="仿宋"/>
                <w:sz w:val="28"/>
                <w:szCs w:val="28"/>
              </w:rPr>
            </w:pPr>
            <w:r>
              <w:rPr>
                <w:rFonts w:hint="eastAsia" w:ascii="仿宋" w:hAnsi="仿宋" w:eastAsia="仿宋" w:cs="仿宋"/>
                <w:sz w:val="28"/>
                <w:szCs w:val="28"/>
              </w:rPr>
              <w:t>□低（60分-70分）   □差（60分以下）</w:t>
            </w:r>
          </w:p>
        </w:tc>
      </w:tr>
    </w:tbl>
    <w:p>
      <w:pPr>
        <w:keepNext w:val="0"/>
        <w:keepLines w:val="0"/>
        <w:pageBreakBefore w:val="0"/>
        <w:kinsoku/>
        <w:wordWrap/>
        <w:overflowPunct/>
        <w:topLinePunct w:val="0"/>
        <w:autoSpaceDE/>
        <w:autoSpaceDN/>
        <w:bidi w:val="0"/>
        <w:adjustRightInd/>
        <w:snapToGrid w:val="0"/>
        <w:spacing w:line="540" w:lineRule="exact"/>
        <w:ind w:left="0" w:leftChars="0" w:right="0" w:rightChars="0"/>
        <w:textAlignment w:val="auto"/>
        <w:rPr>
          <w:rFonts w:hint="eastAsia" w:ascii="仿宋" w:hAnsi="仿宋" w:eastAsia="仿宋" w:cs="仿宋"/>
          <w:sz w:val="28"/>
          <w:szCs w:val="28"/>
        </w:rPr>
        <w:sectPr>
          <w:footerReference r:id="rId5" w:type="first"/>
          <w:headerReference r:id="rId3" w:type="default"/>
          <w:footerReference r:id="rId4" w:type="default"/>
          <w:pgSz w:w="11906" w:h="16838"/>
          <w:pgMar w:top="1701" w:right="1587" w:bottom="1701" w:left="1701" w:header="851" w:footer="992" w:gutter="0"/>
          <w:cols w:space="720" w:num="1"/>
          <w:titlePg/>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val="0"/>
        <w:spacing w:afterAutospacing="0" w:line="240" w:lineRule="auto"/>
        <w:jc w:val="both"/>
        <w:textAlignment w:val="auto"/>
        <w:outlineLvl w:val="9"/>
        <w:rPr>
          <w:rFonts w:hint="eastAsia" w:ascii="仿宋" w:hAnsi="仿宋" w:eastAsia="仿宋" w:cs="仿宋"/>
          <w:spacing w:val="-8"/>
          <w:sz w:val="36"/>
          <w:szCs w:val="36"/>
          <w:lang w:eastAsia="zh-CN"/>
        </w:rPr>
      </w:pPr>
      <w:r>
        <w:rPr>
          <w:rFonts w:hint="eastAsia" w:ascii="仿宋" w:hAnsi="仿宋" w:eastAsia="仿宋" w:cs="仿宋"/>
          <w:sz w:val="32"/>
          <w:szCs w:val="32"/>
        </w:rPr>
        <w:t>附件1</w:t>
      </w:r>
    </w:p>
    <w:p>
      <w:pPr>
        <w:keepNext w:val="0"/>
        <w:keepLines w:val="0"/>
        <w:pageBreakBefore w:val="0"/>
        <w:widowControl w:val="0"/>
        <w:kinsoku/>
        <w:wordWrap/>
        <w:overflowPunct/>
        <w:topLinePunct w:val="0"/>
        <w:autoSpaceDE/>
        <w:autoSpaceDN/>
        <w:bidi w:val="0"/>
        <w:adjustRightInd/>
        <w:snapToGrid w:val="0"/>
        <w:spacing w:afterAutospacing="0" w:line="240" w:lineRule="auto"/>
        <w:jc w:val="center"/>
        <w:textAlignment w:val="auto"/>
        <w:outlineLvl w:val="9"/>
        <w:rPr>
          <w:rFonts w:hint="eastAsia" w:ascii="仿宋" w:hAnsi="仿宋" w:eastAsia="仿宋" w:cs="仿宋"/>
          <w:spacing w:val="-8"/>
          <w:sz w:val="28"/>
          <w:szCs w:val="28"/>
        </w:rPr>
      </w:pPr>
      <w:r>
        <w:rPr>
          <w:rFonts w:hint="eastAsia" w:ascii="仿宋" w:hAnsi="仿宋" w:eastAsia="仿宋" w:cs="仿宋"/>
          <w:spacing w:val="-8"/>
          <w:sz w:val="36"/>
          <w:szCs w:val="36"/>
          <w:lang w:eastAsia="zh-CN"/>
        </w:rPr>
        <w:t>社会事务管理经费</w:t>
      </w:r>
      <w:r>
        <w:rPr>
          <w:rFonts w:hint="eastAsia" w:ascii="仿宋" w:hAnsi="仿宋" w:eastAsia="仿宋" w:cs="仿宋"/>
          <w:spacing w:val="-8"/>
          <w:sz w:val="36"/>
          <w:szCs w:val="36"/>
        </w:rPr>
        <w:t>绩效评价指标评分表</w:t>
      </w:r>
    </w:p>
    <w:tbl>
      <w:tblPr>
        <w:tblStyle w:val="6"/>
        <w:tblW w:w="8522" w:type="dxa"/>
        <w:jc w:val="center"/>
        <w:tblInd w:w="0" w:type="dxa"/>
        <w:tblLayout w:type="fixed"/>
        <w:tblCellMar>
          <w:top w:w="15" w:type="dxa"/>
          <w:left w:w="15" w:type="dxa"/>
          <w:bottom w:w="15" w:type="dxa"/>
          <w:right w:w="15" w:type="dxa"/>
        </w:tblCellMar>
      </w:tblPr>
      <w:tblGrid>
        <w:gridCol w:w="494"/>
        <w:gridCol w:w="503"/>
        <w:gridCol w:w="724"/>
        <w:gridCol w:w="2095"/>
        <w:gridCol w:w="450"/>
        <w:gridCol w:w="3124"/>
        <w:gridCol w:w="337"/>
        <w:gridCol w:w="402"/>
        <w:gridCol w:w="393"/>
      </w:tblGrid>
      <w:tr>
        <w:tblPrEx>
          <w:tblLayout w:type="fixed"/>
          <w:tblCellMar>
            <w:top w:w="15" w:type="dxa"/>
            <w:left w:w="15" w:type="dxa"/>
            <w:bottom w:w="15" w:type="dxa"/>
            <w:right w:w="15" w:type="dxa"/>
          </w:tblCellMar>
        </w:tblPrEx>
        <w:trPr>
          <w:trHeight w:val="599" w:hRule="atLeast"/>
          <w:tblHeader/>
          <w:jc w:val="center"/>
        </w:trPr>
        <w:tc>
          <w:tcPr>
            <w:tcW w:w="49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一级</w:t>
            </w:r>
          </w:p>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指标</w:t>
            </w:r>
          </w:p>
        </w:tc>
        <w:tc>
          <w:tcPr>
            <w:tcW w:w="50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二级</w:t>
            </w:r>
          </w:p>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指标</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三级指标</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 w:hAnsi="仿宋" w:eastAsia="仿宋" w:cs="仿宋"/>
                <w:b/>
                <w:kern w:val="0"/>
                <w:sz w:val="20"/>
                <w:szCs w:val="20"/>
              </w:rPr>
            </w:pPr>
            <w:r>
              <w:rPr>
                <w:rFonts w:hint="eastAsia" w:ascii="仿宋" w:hAnsi="仿宋" w:eastAsia="仿宋" w:cs="仿宋"/>
                <w:b/>
                <w:kern w:val="0"/>
                <w:sz w:val="20"/>
                <w:szCs w:val="20"/>
              </w:rPr>
              <w:t>指标解释</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分值</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评价内容与计分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napToGrid w:val="0"/>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单位</w:t>
            </w:r>
          </w:p>
          <w:p>
            <w:pPr>
              <w:widowControl/>
              <w:snapToGrid w:val="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自评</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napToGrid w:val="0"/>
              <w:jc w:val="center"/>
              <w:textAlignment w:val="center"/>
              <w:rPr>
                <w:rFonts w:hint="eastAsia" w:ascii="仿宋" w:hAnsi="仿宋" w:eastAsia="仿宋" w:cs="仿宋"/>
                <w:b/>
                <w:sz w:val="20"/>
                <w:szCs w:val="20"/>
              </w:rPr>
            </w:pPr>
            <w:r>
              <w:rPr>
                <w:rFonts w:hint="eastAsia" w:ascii="仿宋" w:hAnsi="仿宋" w:eastAsia="仿宋" w:cs="仿宋"/>
                <w:b/>
                <w:sz w:val="20"/>
                <w:szCs w:val="20"/>
              </w:rPr>
              <w:t>评价</w:t>
            </w:r>
          </w:p>
          <w:p>
            <w:pPr>
              <w:widowControl/>
              <w:snapToGrid w:val="0"/>
              <w:jc w:val="center"/>
              <w:textAlignment w:val="center"/>
              <w:rPr>
                <w:rFonts w:hint="eastAsia" w:ascii="仿宋" w:hAnsi="仿宋" w:eastAsia="仿宋" w:cs="仿宋"/>
                <w:b/>
                <w:kern w:val="0"/>
                <w:sz w:val="20"/>
                <w:szCs w:val="20"/>
              </w:rPr>
            </w:pPr>
            <w:r>
              <w:rPr>
                <w:rFonts w:hint="eastAsia" w:ascii="仿宋" w:hAnsi="仿宋" w:eastAsia="仿宋" w:cs="仿宋"/>
                <w:b/>
                <w:sz w:val="20"/>
                <w:szCs w:val="20"/>
              </w:rPr>
              <w:t>得分</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napToGrid w:val="0"/>
              <w:jc w:val="center"/>
              <w:textAlignment w:val="center"/>
              <w:rPr>
                <w:rFonts w:hint="eastAsia" w:ascii="仿宋" w:hAnsi="仿宋" w:eastAsia="仿宋" w:cs="仿宋"/>
                <w:b/>
                <w:sz w:val="20"/>
                <w:szCs w:val="20"/>
              </w:rPr>
            </w:pPr>
          </w:p>
        </w:tc>
      </w:tr>
      <w:tr>
        <w:tblPrEx>
          <w:tblLayout w:type="fixed"/>
          <w:tblCellMar>
            <w:top w:w="15" w:type="dxa"/>
            <w:left w:w="15" w:type="dxa"/>
            <w:bottom w:w="15" w:type="dxa"/>
            <w:right w:w="15" w:type="dxa"/>
          </w:tblCellMar>
        </w:tblPrEx>
        <w:trPr>
          <w:trHeight w:val="448" w:hRule="atLeast"/>
          <w:jc w:val="center"/>
        </w:trPr>
        <w:tc>
          <w:tcPr>
            <w:tcW w:w="49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项目</w:t>
            </w:r>
          </w:p>
          <w:p>
            <w:pPr>
              <w:widowControl/>
              <w:spacing w:line="22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lang w:eastAsia="zh-CN"/>
              </w:rPr>
              <w:t>决策</w:t>
            </w: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3</w:t>
            </w:r>
            <w:r>
              <w:rPr>
                <w:rFonts w:hint="eastAsia" w:ascii="仿宋" w:hAnsi="仿宋" w:eastAsia="仿宋" w:cs="仿宋"/>
                <w:b/>
                <w:kern w:val="0"/>
                <w:sz w:val="20"/>
                <w:szCs w:val="20"/>
              </w:rPr>
              <w:t>0分</w:t>
            </w: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40" w:lineRule="auto"/>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目标</w:t>
            </w:r>
          </w:p>
          <w:p>
            <w:pPr>
              <w:widowControl/>
              <w:spacing w:line="240" w:lineRule="auto"/>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lang w:eastAsia="zh-CN"/>
              </w:rPr>
              <w:t>设定</w:t>
            </w: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b/>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18</w:t>
            </w:r>
            <w:r>
              <w:rPr>
                <w:rFonts w:hint="eastAsia" w:ascii="仿宋" w:hAnsi="仿宋" w:eastAsia="仿宋" w:cs="仿宋"/>
                <w:b/>
                <w:kern w:val="0"/>
                <w:sz w:val="20"/>
                <w:szCs w:val="20"/>
              </w:rPr>
              <w:t>分</w:t>
            </w: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绩效</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目标</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规范性</w:t>
            </w:r>
          </w:p>
          <w:p>
            <w:pPr>
              <w:widowControl/>
              <w:spacing w:line="220" w:lineRule="exact"/>
              <w:jc w:val="center"/>
              <w:textAlignment w:val="center"/>
              <w:rPr>
                <w:rFonts w:hint="eastAsia" w:ascii="仿宋" w:hAnsi="仿宋" w:eastAsia="仿宋" w:cs="仿宋"/>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申</w:t>
            </w:r>
            <w:r>
              <w:rPr>
                <w:rFonts w:hint="eastAsia" w:ascii="仿宋" w:hAnsi="仿宋" w:eastAsia="仿宋" w:cs="仿宋"/>
                <w:kern w:val="0"/>
                <w:sz w:val="20"/>
                <w:szCs w:val="20"/>
              </w:rPr>
              <w:t>请、设立过程是否符合相关要求，用以反映和考核</w:t>
            </w:r>
            <w:r>
              <w:rPr>
                <w:rFonts w:hint="eastAsia" w:ascii="仿宋" w:hAnsi="仿宋" w:eastAsia="仿宋" w:cs="仿宋"/>
                <w:kern w:val="0"/>
                <w:sz w:val="20"/>
                <w:szCs w:val="20"/>
                <w:lang w:eastAsia="zh-CN"/>
              </w:rPr>
              <w:t>绩效目标</w:t>
            </w:r>
            <w:r>
              <w:rPr>
                <w:rFonts w:hint="eastAsia" w:ascii="仿宋" w:hAnsi="仿宋" w:eastAsia="仿宋" w:cs="仿宋"/>
                <w:kern w:val="0"/>
                <w:sz w:val="20"/>
                <w:szCs w:val="20"/>
              </w:rPr>
              <w:t>的规范情况。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按照规定的程序申请设立，计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08"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所提交的文件、材料符合相关要求，计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31"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事前经过必要性和可行性研究、专家论证、风险评估、集体决策等的，计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分，每缺一项扣0.5分；扣完为止。</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65"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绩效</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目标</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合理性</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所设定的绩效目标是否依椐充分，是否符合客观实际，用以反映和考核绩效目标与实施的相符情况。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符合国家法律法规、国民经济发展规划和党委政府决策的计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67"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与</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实施单位或委托单位职责密切相关的计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81"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绩效</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指标</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明确性</w:t>
            </w:r>
          </w:p>
          <w:p>
            <w:pPr>
              <w:widowControl/>
              <w:spacing w:line="220" w:lineRule="exact"/>
              <w:jc w:val="center"/>
              <w:textAlignment w:val="center"/>
              <w:rPr>
                <w:rFonts w:hint="eastAsia" w:ascii="仿宋" w:hAnsi="仿宋" w:eastAsia="仿宋" w:cs="仿宋"/>
                <w:kern w:val="0"/>
                <w:sz w:val="20"/>
                <w:szCs w:val="20"/>
              </w:rPr>
            </w:pP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依椐绩效目标设定的绩效指标是否清晰、细化、可衡量等，用以反映和考核绩效目标的明细化情况。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将绩效目标细化分解为具体的绩效指标的计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19"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绩效指标进行了量化的计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80"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与年度任务数或计划数相对应的计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54" w:hRule="atLeas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与预计确定的投资额或资金量相匹配的计2分，否则计0分。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874"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资金</w:t>
            </w:r>
          </w:p>
          <w:p>
            <w:pPr>
              <w:widowControl/>
              <w:spacing w:line="22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落实</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rPr>
              <w:t>1</w:t>
            </w:r>
            <w:r>
              <w:rPr>
                <w:rFonts w:hint="eastAsia" w:ascii="仿宋" w:hAnsi="仿宋" w:eastAsia="仿宋" w:cs="仿宋"/>
                <w:b/>
                <w:kern w:val="0"/>
                <w:sz w:val="20"/>
                <w:szCs w:val="20"/>
                <w:lang w:val="en-US" w:eastAsia="zh-CN"/>
              </w:rPr>
              <w:t>2</w:t>
            </w:r>
            <w:r>
              <w:rPr>
                <w:rFonts w:hint="eastAsia" w:ascii="仿宋" w:hAnsi="仿宋" w:eastAsia="仿宋" w:cs="仿宋"/>
                <w:b/>
                <w:kern w:val="0"/>
                <w:sz w:val="20"/>
                <w:szCs w:val="20"/>
              </w:rPr>
              <w:t>分</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资金到位率</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实际到位资金与计划投入资金的比率，用以反映和考核资金落实情况对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实施的</w:t>
            </w:r>
            <w:r>
              <w:rPr>
                <w:rFonts w:hint="eastAsia" w:ascii="仿宋" w:hAnsi="仿宋" w:eastAsia="仿宋" w:cs="仿宋"/>
                <w:kern w:val="0"/>
                <w:sz w:val="20"/>
                <w:szCs w:val="20"/>
                <w:lang w:eastAsia="zh-CN"/>
              </w:rPr>
              <w:t>总体保障程度。</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kern w:val="0"/>
                <w:sz w:val="20"/>
                <w:szCs w:val="20"/>
              </w:rPr>
            </w:pPr>
            <w:r>
              <w:rPr>
                <w:rFonts w:hint="eastAsia" w:ascii="仿宋" w:hAnsi="仿宋" w:eastAsia="仿宋" w:cs="仿宋"/>
                <w:kern w:val="0"/>
                <w:sz w:val="20"/>
                <w:szCs w:val="20"/>
              </w:rPr>
              <w:t>资金到位率=（实际到位资金/计划投入资金）×100%；</w:t>
            </w:r>
          </w:p>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到位资金率得分=到位及时率在75%以上得*5分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874" w:hRule="exact"/>
          <w:jc w:val="center"/>
        </w:trPr>
        <w:tc>
          <w:tcPr>
            <w:tcW w:w="49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到位及时率</w:t>
            </w:r>
          </w:p>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及时到位资金与应到位资金的比率，用以反映和考核资金落实的及时性程度。</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到位及时率＝（及时到位资金/应到位资金）×100%；到位资金及时率得分=到位及时率80%以上得*5分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14" w:hRule="exact"/>
          <w:jc w:val="center"/>
        </w:trPr>
        <w:tc>
          <w:tcPr>
            <w:tcW w:w="49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20" w:lineRule="exact"/>
              <w:textAlignment w:val="center"/>
              <w:rPr>
                <w:rFonts w:hint="eastAsia" w:ascii="仿宋" w:hAnsi="仿宋" w:eastAsia="仿宋" w:cs="仿宋"/>
                <w:b/>
                <w:kern w:val="0"/>
                <w:sz w:val="20"/>
                <w:szCs w:val="20"/>
              </w:rPr>
            </w:pPr>
          </w:p>
          <w:p>
            <w:pPr>
              <w:spacing w:line="220" w:lineRule="exact"/>
              <w:textAlignment w:val="center"/>
              <w:rPr>
                <w:rFonts w:hint="eastAsia" w:ascii="仿宋" w:hAnsi="仿宋" w:eastAsia="仿宋" w:cs="仿宋"/>
                <w:b/>
                <w:kern w:val="0"/>
                <w:sz w:val="20"/>
                <w:szCs w:val="20"/>
              </w:rPr>
            </w:pPr>
          </w:p>
          <w:p>
            <w:pPr>
              <w:spacing w:line="260" w:lineRule="exact"/>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项目</w:t>
            </w:r>
          </w:p>
          <w:p>
            <w:pPr>
              <w:spacing w:line="260" w:lineRule="exact"/>
              <w:jc w:val="center"/>
              <w:textAlignment w:val="center"/>
              <w:rPr>
                <w:rFonts w:hint="eastAsia" w:ascii="仿宋" w:hAnsi="仿宋" w:eastAsia="仿宋" w:cs="仿宋"/>
                <w:b/>
                <w:kern w:val="0"/>
                <w:sz w:val="20"/>
                <w:szCs w:val="20"/>
                <w:lang w:eastAsia="zh-CN"/>
              </w:rPr>
            </w:pPr>
            <w:r>
              <w:rPr>
                <w:rFonts w:hint="eastAsia" w:ascii="仿宋" w:hAnsi="仿宋" w:eastAsia="仿宋" w:cs="仿宋"/>
                <w:b/>
                <w:kern w:val="0"/>
                <w:sz w:val="20"/>
                <w:szCs w:val="20"/>
                <w:lang w:eastAsia="zh-CN"/>
              </w:rPr>
              <w:t>管理</w:t>
            </w:r>
          </w:p>
          <w:p>
            <w:pPr>
              <w:spacing w:line="260" w:lineRule="exact"/>
              <w:jc w:val="center"/>
              <w:textAlignment w:val="center"/>
              <w:rPr>
                <w:rFonts w:hint="eastAsia" w:ascii="仿宋" w:hAnsi="仿宋" w:eastAsia="仿宋" w:cs="仿宋"/>
                <w:b/>
                <w:kern w:val="0"/>
                <w:sz w:val="20"/>
                <w:szCs w:val="20"/>
              </w:rPr>
            </w:pPr>
          </w:p>
          <w:p>
            <w:pPr>
              <w:spacing w:line="260" w:lineRule="exact"/>
              <w:jc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4</w:t>
            </w:r>
            <w:r>
              <w:rPr>
                <w:rFonts w:hint="eastAsia" w:ascii="仿宋" w:hAnsi="仿宋" w:eastAsia="仿宋" w:cs="仿宋"/>
                <w:b/>
                <w:kern w:val="0"/>
                <w:sz w:val="20"/>
                <w:szCs w:val="20"/>
              </w:rPr>
              <w:t>0分</w:t>
            </w:r>
          </w:p>
        </w:tc>
        <w:tc>
          <w:tcPr>
            <w:tcW w:w="503"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业务</w:t>
            </w:r>
          </w:p>
          <w:p>
            <w:pPr>
              <w:spacing w:line="260" w:lineRule="exact"/>
              <w:jc w:val="center"/>
              <w:rPr>
                <w:rFonts w:hint="eastAsia" w:ascii="仿宋" w:hAnsi="仿宋" w:eastAsia="仿宋" w:cs="仿宋"/>
                <w:b/>
                <w:kern w:val="0"/>
                <w:sz w:val="20"/>
                <w:szCs w:val="20"/>
              </w:rPr>
            </w:pPr>
            <w:r>
              <w:rPr>
                <w:rFonts w:hint="eastAsia" w:ascii="仿宋" w:hAnsi="仿宋" w:eastAsia="仿宋" w:cs="仿宋"/>
                <w:b/>
                <w:kern w:val="0"/>
                <w:sz w:val="20"/>
                <w:szCs w:val="20"/>
              </w:rPr>
              <w:t>管理</w:t>
            </w:r>
          </w:p>
          <w:p>
            <w:pPr>
              <w:spacing w:line="260" w:lineRule="exact"/>
              <w:jc w:val="center"/>
              <w:rPr>
                <w:rFonts w:hint="eastAsia" w:ascii="仿宋" w:hAnsi="仿宋" w:eastAsia="仿宋" w:cs="仿宋"/>
                <w:b/>
                <w:kern w:val="0"/>
                <w:sz w:val="20"/>
                <w:szCs w:val="20"/>
              </w:rPr>
            </w:pPr>
          </w:p>
          <w:p>
            <w:pPr>
              <w:spacing w:line="260" w:lineRule="exact"/>
              <w:jc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20</w:t>
            </w:r>
            <w:r>
              <w:rPr>
                <w:rFonts w:hint="eastAsia" w:ascii="仿宋" w:hAnsi="仿宋" w:eastAsia="仿宋" w:cs="仿宋"/>
                <w:b/>
                <w:kern w:val="0"/>
                <w:sz w:val="20"/>
                <w:szCs w:val="20"/>
              </w:rPr>
              <w:t>分</w:t>
            </w:r>
          </w:p>
        </w:tc>
        <w:tc>
          <w:tcPr>
            <w:tcW w:w="72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管理制度</w:t>
            </w:r>
          </w:p>
          <w:p>
            <w:pPr>
              <w:widowControl/>
              <w:spacing w:line="22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健全性</w:t>
            </w:r>
          </w:p>
          <w:p>
            <w:pPr>
              <w:spacing w:line="22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6</w:t>
            </w:r>
            <w:r>
              <w:rPr>
                <w:rFonts w:hint="eastAsia" w:ascii="仿宋" w:hAnsi="仿宋" w:eastAsia="仿宋" w:cs="仿宋"/>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实施单位的业务管理制度是否健全，用以反映和考核业务管评制度对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顺利实施的保障情况。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已按相关要求制定业务管理制度，且制度完善的，计3分；不完善的计1分；未制定的计0分。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10"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724"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2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业务管理制度是否合理、完整。制度完善</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分，不完善0分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46"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b/>
                <w:kern w:val="0"/>
                <w:sz w:val="20"/>
                <w:szCs w:val="20"/>
              </w:rPr>
            </w:pPr>
          </w:p>
        </w:tc>
        <w:tc>
          <w:tcPr>
            <w:tcW w:w="72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制度执行</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有效性</w:t>
            </w:r>
          </w:p>
          <w:p>
            <w:pPr>
              <w:widowControl/>
              <w:spacing w:line="260" w:lineRule="exact"/>
              <w:jc w:val="center"/>
              <w:textAlignment w:val="center"/>
              <w:rPr>
                <w:rFonts w:hint="eastAsia" w:ascii="仿宋" w:hAnsi="仿宋" w:eastAsia="仿宋" w:cs="仿宋"/>
                <w:kern w:val="0"/>
                <w:sz w:val="20"/>
                <w:szCs w:val="20"/>
              </w:rPr>
            </w:pP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实施是否符合相关业务管理规定，用以反映和考核业务管理制度的有效执行情况。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2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40" w:lineRule="auto"/>
              <w:textAlignment w:val="center"/>
              <w:rPr>
                <w:rFonts w:hint="eastAsia" w:ascii="仿宋" w:hAnsi="仿宋" w:eastAsia="仿宋" w:cs="仿宋"/>
                <w:sz w:val="20"/>
                <w:szCs w:val="20"/>
              </w:rPr>
            </w:pPr>
            <w:r>
              <w:rPr>
                <w:rFonts w:hint="eastAsia" w:ascii="仿宋" w:hAnsi="仿宋" w:eastAsia="仿宋" w:cs="仿宋"/>
                <w:kern w:val="0"/>
                <w:sz w:val="20"/>
                <w:szCs w:val="20"/>
              </w:rPr>
              <w:t>遵守相关法律法规和业务管理规定的计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2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03"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sz w:val="20"/>
                <w:szCs w:val="20"/>
              </w:rPr>
              <w:t>达到预期设定</w:t>
            </w:r>
            <w:r>
              <w:rPr>
                <w:rFonts w:hint="eastAsia" w:ascii="仿宋" w:hAnsi="仿宋" w:eastAsia="仿宋" w:cs="仿宋"/>
                <w:sz w:val="20"/>
                <w:szCs w:val="20"/>
                <w:lang w:eastAsia="zh-CN"/>
              </w:rPr>
              <w:t>目标</w:t>
            </w:r>
            <w:r>
              <w:rPr>
                <w:rFonts w:hint="eastAsia" w:ascii="仿宋" w:hAnsi="仿宋" w:eastAsia="仿宋" w:cs="仿宋"/>
                <w:sz w:val="20"/>
                <w:szCs w:val="20"/>
                <w:lang w:val="en-US" w:eastAsia="zh-CN"/>
              </w:rPr>
              <w:t>4</w:t>
            </w:r>
            <w:r>
              <w:rPr>
                <w:rFonts w:hint="eastAsia" w:ascii="仿宋" w:hAnsi="仿宋" w:eastAsia="仿宋" w:cs="仿宋"/>
                <w:sz w:val="20"/>
                <w:szCs w:val="20"/>
              </w:rPr>
              <w:t>分，达到预期设定数量</w:t>
            </w:r>
            <w:r>
              <w:rPr>
                <w:rFonts w:hint="eastAsia" w:ascii="仿宋" w:hAnsi="仿宋" w:eastAsia="仿宋" w:cs="仿宋"/>
                <w:sz w:val="20"/>
                <w:szCs w:val="20"/>
                <w:lang w:val="en-US" w:eastAsia="zh-CN"/>
              </w:rPr>
              <w:t>85</w:t>
            </w:r>
            <w:r>
              <w:rPr>
                <w:rFonts w:hint="eastAsia" w:ascii="仿宋" w:hAnsi="仿宋" w:eastAsia="仿宋" w:cs="仿宋"/>
                <w:sz w:val="20"/>
                <w:szCs w:val="20"/>
              </w:rPr>
              <w:t>％以上3分，</w:t>
            </w:r>
            <w:r>
              <w:rPr>
                <w:rFonts w:hint="eastAsia" w:ascii="仿宋" w:hAnsi="仿宋" w:eastAsia="仿宋" w:cs="仿宋"/>
                <w:sz w:val="20"/>
                <w:szCs w:val="20"/>
                <w:lang w:val="en-US" w:eastAsia="zh-CN"/>
              </w:rPr>
              <w:t>85</w:t>
            </w:r>
            <w:r>
              <w:rPr>
                <w:rFonts w:hint="eastAsia" w:ascii="仿宋" w:hAnsi="仿宋" w:eastAsia="仿宋" w:cs="仿宋"/>
                <w:sz w:val="20"/>
                <w:szCs w:val="20"/>
              </w:rPr>
              <w:t>％以下2分</w:t>
            </w:r>
          </w:p>
        </w:tc>
        <w:tc>
          <w:tcPr>
            <w:tcW w:w="337"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07" w:hRule="exac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实施的人员条件、场地设备，信息支撑等落实到位的，计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58" w:hRule="exac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质量</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可控性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实施是否为达到质量要求而采取了必需的措施，用以反映和考核实施单位对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质量的控制情况。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已制定质量要求或标准的计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87"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采取了相应的质量检查、验收等必需的控制措施或实施手续的，计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0</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421"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财务</w:t>
            </w:r>
          </w:p>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管理</w:t>
            </w:r>
          </w:p>
          <w:p>
            <w:pPr>
              <w:widowControl/>
              <w:spacing w:line="260" w:lineRule="exact"/>
              <w:jc w:val="center"/>
              <w:textAlignment w:val="center"/>
              <w:rPr>
                <w:rFonts w:hint="eastAsia" w:ascii="仿宋" w:hAnsi="仿宋" w:eastAsia="仿宋" w:cs="仿宋"/>
                <w:b/>
                <w:kern w:val="0"/>
                <w:sz w:val="20"/>
                <w:szCs w:val="20"/>
              </w:rPr>
            </w:pPr>
          </w:p>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lang w:val="en-US" w:eastAsia="zh-CN"/>
              </w:rPr>
              <w:t>20</w:t>
            </w:r>
            <w:r>
              <w:rPr>
                <w:rFonts w:hint="eastAsia" w:ascii="仿宋" w:hAnsi="仿宋" w:eastAsia="仿宋" w:cs="仿宋"/>
                <w:b/>
                <w:kern w:val="0"/>
                <w:sz w:val="20"/>
                <w:szCs w:val="20"/>
              </w:rPr>
              <w:t>分</w:t>
            </w: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管理制度</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健全性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实施单位的财务制度是否健全，用以反映和考核财务管理制度对资金规范安全运行的保障情况。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sz w:val="20"/>
                <w:szCs w:val="20"/>
              </w:rPr>
            </w:pPr>
            <w:r>
              <w:rPr>
                <w:rFonts w:hint="eastAsia" w:ascii="仿宋" w:hAnsi="仿宋" w:eastAsia="仿宋" w:cs="仿宋"/>
                <w:kern w:val="0"/>
                <w:sz w:val="20"/>
                <w:szCs w:val="20"/>
              </w:rPr>
              <w:t>已制定或具有相应的专项资金管理办法的计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56"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专项资金管理办法规范的计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49" w:hRule="exac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资金使用</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合规性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8</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资金使用是否符合相关的财务管理制度规定，用以反映和考核资金的规范运行情况。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符合国家财经法规和财务管理制度以及专项资金管理办法的计2分，否则计0分。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81"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重大开支经过评估认证的计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207"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符合专项资金规定用途的计2分，否则计0分。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297"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2</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出现任何一例截留、挤占、挪用、虚列专项资金的，计0分；没有以上情况的，计2分。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355"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财务监督</w:t>
            </w:r>
          </w:p>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有效性</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实施单位是否为保障资金的安全、规范运行而采取了必要的监督措施，用以反映和考核实施单位对资金运行的控制情况。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sz w:val="20"/>
                <w:szCs w:val="20"/>
              </w:rPr>
            </w:pPr>
            <w:r>
              <w:rPr>
                <w:rFonts w:hint="eastAsia" w:ascii="仿宋" w:hAnsi="仿宋" w:eastAsia="仿宋" w:cs="仿宋"/>
                <w:kern w:val="0"/>
                <w:sz w:val="20"/>
                <w:szCs w:val="20"/>
              </w:rPr>
              <w:t>制定了相应的监督机制的计</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分，未制定的计0分。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578" w:hRule="atLeast"/>
          <w:jc w:val="center"/>
        </w:trPr>
        <w:tc>
          <w:tcPr>
            <w:tcW w:w="494"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top w:val="single" w:color="000000"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2095" w:type="dxa"/>
            <w:vMerge w:val="continue"/>
            <w:tcBorders>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3</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sz w:val="20"/>
                <w:szCs w:val="20"/>
              </w:rPr>
            </w:pPr>
            <w:r>
              <w:rPr>
                <w:rFonts w:hint="eastAsia" w:ascii="仿宋" w:hAnsi="仿宋" w:eastAsia="仿宋" w:cs="仿宋"/>
                <w:kern w:val="0"/>
                <w:sz w:val="20"/>
                <w:szCs w:val="20"/>
              </w:rPr>
              <w:t>是否进行相应的财务检查等必要的监督措施或检查工作；有检查</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分，无检查0分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85" w:hRule="atLeast"/>
          <w:jc w:val="center"/>
        </w:trPr>
        <w:tc>
          <w:tcPr>
            <w:tcW w:w="494" w:type="dxa"/>
            <w:vMerge w:val="restart"/>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项目</w:t>
            </w:r>
          </w:p>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绩效</w:t>
            </w:r>
          </w:p>
          <w:p>
            <w:pPr>
              <w:widowControl/>
              <w:spacing w:line="260" w:lineRule="exact"/>
              <w:jc w:val="center"/>
              <w:textAlignment w:val="center"/>
              <w:rPr>
                <w:rFonts w:hint="eastAsia" w:ascii="仿宋" w:hAnsi="仿宋" w:eastAsia="仿宋" w:cs="仿宋"/>
                <w:b/>
                <w:kern w:val="0"/>
                <w:sz w:val="20"/>
                <w:szCs w:val="20"/>
              </w:rPr>
            </w:pP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b/>
                <w:kern w:val="0"/>
                <w:sz w:val="20"/>
                <w:szCs w:val="20"/>
                <w:lang w:val="en-US" w:eastAsia="zh-CN"/>
              </w:rPr>
              <w:t>3</w:t>
            </w:r>
            <w:r>
              <w:rPr>
                <w:rFonts w:hint="eastAsia" w:ascii="仿宋" w:hAnsi="仿宋" w:eastAsia="仿宋" w:cs="仿宋"/>
                <w:b/>
                <w:kern w:val="0"/>
                <w:sz w:val="20"/>
                <w:szCs w:val="20"/>
              </w:rPr>
              <w:t>0分</w:t>
            </w:r>
          </w:p>
        </w:tc>
        <w:tc>
          <w:tcPr>
            <w:tcW w:w="503"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预算（成本）控制</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jc w:val="center"/>
              <w:rPr>
                <w:rFonts w:hint="eastAsia" w:ascii="仿宋" w:hAnsi="仿宋" w:eastAsia="仿宋" w:cs="仿宋"/>
                <w:sz w:val="20"/>
                <w:szCs w:val="20"/>
              </w:rPr>
            </w:pPr>
            <w:r>
              <w:rPr>
                <w:rFonts w:hint="eastAsia" w:ascii="仿宋" w:hAnsi="仿宋" w:eastAsia="仿宋" w:cs="仿宋"/>
                <w:sz w:val="20"/>
                <w:szCs w:val="20"/>
              </w:rPr>
              <w:t>投资控制</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反映成本（预算）控制、节约情况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不超预算6 分；虽超预算，但经审批，且超出值≥5% 计4分；虽超预算，但经审批，超出值≥10%计2分；超过预算，且超出值＞10%计0分。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832"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restart"/>
            <w:tcBorders>
              <w:top w:val="single" w:color="auto" w:sz="4" w:space="0"/>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b/>
                <w:bCs/>
                <w:sz w:val="20"/>
                <w:szCs w:val="20"/>
              </w:rPr>
            </w:pPr>
            <w:r>
              <w:rPr>
                <w:rFonts w:hint="eastAsia" w:ascii="仿宋" w:hAnsi="仿宋" w:eastAsia="仿宋" w:cs="仿宋"/>
                <w:b/>
                <w:bCs/>
                <w:sz w:val="20"/>
                <w:szCs w:val="20"/>
              </w:rPr>
              <w:t>完成进度及质量</w:t>
            </w: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进度管理</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反映实施进度情况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阶段性目标明确且按时提交任务完成情况（</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虽有延误，但经审批获准延期（</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774"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p>
        </w:tc>
        <w:tc>
          <w:tcPr>
            <w:tcW w:w="503" w:type="dxa"/>
            <w:vMerge w:val="continue"/>
            <w:tcBorders>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b/>
                <w:bCs/>
                <w:kern w:val="0"/>
                <w:sz w:val="20"/>
                <w:szCs w:val="20"/>
              </w:rPr>
            </w:pPr>
          </w:p>
        </w:tc>
        <w:tc>
          <w:tcPr>
            <w:tcW w:w="724"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质量管理</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质量情况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达到预期质量要求为6分,大部分达到预期要求为4分,基本达到预期要求为2分，未达到预期质量要求为0分。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93"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p>
        </w:tc>
        <w:tc>
          <w:tcPr>
            <w:tcW w:w="503" w:type="dxa"/>
            <w:tcBorders>
              <w:top w:val="single" w:color="000000" w:sz="4" w:space="0"/>
              <w:left w:val="single" w:color="000000" w:sz="4" w:space="0"/>
              <w:bottom w:val="single" w:color="000000" w:sz="4" w:space="0"/>
              <w:right w:val="single" w:color="auto"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可持续发展</w:t>
            </w:r>
          </w:p>
        </w:tc>
        <w:tc>
          <w:tcPr>
            <w:tcW w:w="724" w:type="dxa"/>
            <w:tcBorders>
              <w:top w:val="single" w:color="000000" w:sz="4" w:space="0"/>
              <w:left w:val="single" w:color="auto"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后续管理</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反映实施后管理情况</w:t>
            </w:r>
          </w:p>
        </w:tc>
        <w:tc>
          <w:tcPr>
            <w:tcW w:w="450"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000000"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有后续管理措施（</w:t>
            </w: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337"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p>
        </w:tc>
        <w:tc>
          <w:tcPr>
            <w:tcW w:w="402"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393" w:type="dxa"/>
            <w:tcBorders>
              <w:top w:val="single" w:color="000000"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1255" w:hRule="atLeast"/>
          <w:jc w:val="center"/>
        </w:trPr>
        <w:tc>
          <w:tcPr>
            <w:tcW w:w="494" w:type="dxa"/>
            <w:vMerge w:val="continue"/>
            <w:tcBorders>
              <w:left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restart"/>
            <w:tcBorders>
              <w:left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b/>
                <w:bCs/>
                <w:sz w:val="20"/>
                <w:szCs w:val="20"/>
              </w:rPr>
            </w:pPr>
            <w:r>
              <w:rPr>
                <w:rFonts w:hint="eastAsia" w:ascii="仿宋" w:hAnsi="仿宋" w:eastAsia="仿宋" w:cs="仿宋"/>
                <w:b/>
                <w:bCs/>
                <w:sz w:val="20"/>
                <w:szCs w:val="20"/>
              </w:rPr>
              <w:t>社会效益</w:t>
            </w:r>
          </w:p>
        </w:tc>
        <w:tc>
          <w:tcPr>
            <w:tcW w:w="724"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社会责任</w:t>
            </w:r>
          </w:p>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r>
              <w:rPr>
                <w:rFonts w:hint="eastAsia" w:ascii="仿宋" w:hAnsi="仿宋" w:eastAsia="仿宋" w:cs="仿宋"/>
                <w:kern w:val="0"/>
                <w:sz w:val="20"/>
                <w:szCs w:val="20"/>
              </w:rPr>
              <w:t>分</w:t>
            </w:r>
          </w:p>
        </w:tc>
        <w:tc>
          <w:tcPr>
            <w:tcW w:w="2095" w:type="dxa"/>
            <w:vMerge w:val="restart"/>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rPr>
              <w:t>社会公众或服务对象对</w:t>
            </w:r>
            <w:r>
              <w:rPr>
                <w:rFonts w:hint="eastAsia" w:ascii="仿宋" w:hAnsi="仿宋" w:eastAsia="仿宋" w:cs="仿宋"/>
                <w:kern w:val="0"/>
                <w:sz w:val="20"/>
                <w:szCs w:val="20"/>
                <w:lang w:eastAsia="zh-CN"/>
              </w:rPr>
              <w:t>目标</w:t>
            </w:r>
            <w:r>
              <w:rPr>
                <w:rFonts w:hint="eastAsia" w:ascii="仿宋" w:hAnsi="仿宋" w:eastAsia="仿宋" w:cs="仿宋"/>
                <w:kern w:val="0"/>
                <w:sz w:val="20"/>
                <w:szCs w:val="20"/>
              </w:rPr>
              <w:t>实施</w:t>
            </w:r>
            <w:r>
              <w:rPr>
                <w:rFonts w:hint="eastAsia" w:ascii="仿宋" w:hAnsi="仿宋" w:eastAsia="仿宋" w:cs="仿宋"/>
                <w:kern w:val="0"/>
                <w:sz w:val="20"/>
                <w:szCs w:val="20"/>
                <w:lang w:eastAsia="zh-CN"/>
              </w:rPr>
              <w:t>政</w:t>
            </w:r>
            <w:r>
              <w:rPr>
                <w:rFonts w:hint="eastAsia" w:ascii="仿宋" w:hAnsi="仿宋" w:eastAsia="仿宋" w:cs="仿宋"/>
                <w:kern w:val="0"/>
                <w:sz w:val="20"/>
                <w:szCs w:val="20"/>
              </w:rPr>
              <w:t>策的满意程度，问卷调查。</w:t>
            </w:r>
          </w:p>
        </w:tc>
        <w:tc>
          <w:tcPr>
            <w:tcW w:w="450"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lang w:eastAsia="zh-CN"/>
              </w:rPr>
            </w:pPr>
            <w:r>
              <w:rPr>
                <w:rFonts w:hint="eastAsia" w:ascii="仿宋" w:hAnsi="仿宋" w:eastAsia="仿宋" w:cs="仿宋"/>
                <w:kern w:val="0"/>
                <w:sz w:val="20"/>
                <w:szCs w:val="20"/>
                <w:lang w:val="en-US" w:eastAsia="zh-CN"/>
              </w:rPr>
              <w:t>6</w:t>
            </w:r>
          </w:p>
        </w:tc>
        <w:tc>
          <w:tcPr>
            <w:tcW w:w="3124" w:type="dxa"/>
            <w:tcBorders>
              <w:top w:val="single" w:color="000000" w:sz="4" w:space="0"/>
              <w:left w:val="single" w:color="000000" w:sz="4" w:space="0"/>
              <w:right w:val="single" w:color="000000" w:sz="4" w:space="0"/>
            </w:tcBorders>
            <w:noWrap w:val="0"/>
            <w:tcMar>
              <w:top w:w="17" w:type="dxa"/>
              <w:left w:w="57" w:type="dxa"/>
              <w:bottom w:w="17" w:type="dxa"/>
              <w:right w:w="57" w:type="dxa"/>
            </w:tcMar>
            <w:vAlign w:val="center"/>
          </w:tcPr>
          <w:p>
            <w:pPr>
              <w:widowControl/>
              <w:spacing w:line="260" w:lineRule="exact"/>
              <w:textAlignment w:val="center"/>
              <w:rPr>
                <w:rFonts w:hint="eastAsia" w:ascii="仿宋" w:hAnsi="仿宋" w:eastAsia="仿宋" w:cs="仿宋"/>
                <w:kern w:val="0"/>
                <w:sz w:val="20"/>
                <w:szCs w:val="20"/>
              </w:rPr>
            </w:pPr>
            <w:r>
              <w:rPr>
                <w:rFonts w:hint="eastAsia" w:ascii="仿宋" w:hAnsi="仿宋" w:eastAsia="仿宋" w:cs="仿宋"/>
                <w:kern w:val="0"/>
                <w:sz w:val="20"/>
                <w:szCs w:val="20"/>
              </w:rPr>
              <w:t>严格履行国家劳保制度（2分）；有施工安全制度和员工安全防护措施（</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分）；施工单位无拖欠、克扣农民工工资现象（</w:t>
            </w:r>
            <w:r>
              <w:rPr>
                <w:rFonts w:hint="eastAsia" w:ascii="仿宋" w:hAnsi="仿宋" w:eastAsia="仿宋" w:cs="仿宋"/>
                <w:kern w:val="0"/>
                <w:sz w:val="20"/>
                <w:szCs w:val="20"/>
                <w:lang w:val="en-US" w:eastAsia="zh-CN"/>
              </w:rPr>
              <w:t>2</w:t>
            </w:r>
            <w:r>
              <w:rPr>
                <w:rFonts w:hint="eastAsia" w:ascii="仿宋" w:hAnsi="仿宋" w:eastAsia="仿宋" w:cs="仿宋"/>
                <w:kern w:val="0"/>
                <w:sz w:val="20"/>
                <w:szCs w:val="20"/>
              </w:rPr>
              <w:t>分）。</w:t>
            </w:r>
          </w:p>
        </w:tc>
        <w:tc>
          <w:tcPr>
            <w:tcW w:w="337" w:type="dxa"/>
            <w:tcBorders>
              <w:top w:val="single" w:color="000000" w:sz="4" w:space="0"/>
              <w:left w:val="single" w:color="000000" w:sz="4" w:space="0"/>
              <w:right w:val="single" w:color="000000" w:sz="4" w:space="0"/>
            </w:tcBorders>
            <w:noWrap w:val="0"/>
            <w:tcMar>
              <w:top w:w="17" w:type="dxa"/>
              <w:left w:w="28" w:type="dxa"/>
              <w:bottom w:w="17" w:type="dxa"/>
              <w:right w:w="28" w:type="dxa"/>
            </w:tcMar>
            <w:vAlign w:val="center"/>
          </w:tcPr>
          <w:p>
            <w:pPr>
              <w:widowControl/>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6</w:t>
            </w:r>
          </w:p>
        </w:tc>
        <w:tc>
          <w:tcPr>
            <w:tcW w:w="402" w:type="dxa"/>
            <w:tcBorders>
              <w:top w:val="single" w:color="000000"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393" w:type="dxa"/>
            <w:tcBorders>
              <w:top w:val="single" w:color="000000"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1531" w:hRule="atLeast"/>
          <w:jc w:val="center"/>
        </w:trPr>
        <w:tc>
          <w:tcPr>
            <w:tcW w:w="494" w:type="dxa"/>
            <w:vMerge w:val="continue"/>
            <w:tcBorders>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p>
        </w:tc>
        <w:tc>
          <w:tcPr>
            <w:tcW w:w="503" w:type="dxa"/>
            <w:vMerge w:val="continue"/>
            <w:tcBorders>
              <w:left w:val="single" w:color="auto"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p>
        </w:tc>
        <w:tc>
          <w:tcPr>
            <w:tcW w:w="724"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社会公众</w:t>
            </w:r>
          </w:p>
          <w:p>
            <w:pPr>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满意度</w:t>
            </w:r>
          </w:p>
          <w:p>
            <w:pPr>
              <w:spacing w:line="260" w:lineRule="exact"/>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分</w:t>
            </w:r>
          </w:p>
        </w:tc>
        <w:tc>
          <w:tcPr>
            <w:tcW w:w="2095" w:type="dxa"/>
            <w:tcBorders>
              <w:top w:val="single" w:color="auto" w:sz="4" w:space="0"/>
              <w:left w:val="single" w:color="000000" w:sz="4" w:space="0"/>
              <w:bottom w:val="single" w:color="auto" w:sz="4" w:space="0"/>
              <w:right w:val="single" w:color="000000" w:sz="4" w:space="0"/>
            </w:tcBorders>
            <w:noWrap w:val="0"/>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r>
              <w:rPr>
                <w:rFonts w:hint="eastAsia" w:ascii="仿宋" w:hAnsi="仿宋" w:eastAsia="仿宋" w:cs="仿宋"/>
                <w:kern w:val="0"/>
                <w:sz w:val="20"/>
                <w:szCs w:val="20"/>
                <w:lang w:eastAsia="zh-CN"/>
              </w:rPr>
              <w:t>反映</w:t>
            </w:r>
            <w:r>
              <w:rPr>
                <w:rFonts w:hint="eastAsia" w:ascii="仿宋" w:hAnsi="仿宋" w:eastAsia="仿宋" w:cs="仿宋"/>
                <w:kern w:val="0"/>
                <w:sz w:val="20"/>
                <w:szCs w:val="20"/>
              </w:rPr>
              <w:t>服务对象对项目实施效果的满意程度。</w:t>
            </w:r>
          </w:p>
        </w:tc>
        <w:tc>
          <w:tcPr>
            <w:tcW w:w="450"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4</w:t>
            </w:r>
          </w:p>
        </w:tc>
        <w:tc>
          <w:tcPr>
            <w:tcW w:w="3124" w:type="dxa"/>
            <w:tcBorders>
              <w:top w:val="single" w:color="auto" w:sz="4" w:space="0"/>
              <w:left w:val="single" w:color="000000" w:sz="4" w:space="0"/>
              <w:bottom w:val="single" w:color="auto" w:sz="4" w:space="0"/>
              <w:right w:val="single" w:color="000000" w:sz="4" w:space="0"/>
            </w:tcBorders>
            <w:noWrap w:val="0"/>
            <w:tcMar>
              <w:top w:w="17" w:type="dxa"/>
              <w:left w:w="57" w:type="dxa"/>
              <w:bottom w:w="17" w:type="dxa"/>
              <w:right w:w="57" w:type="dxa"/>
            </w:tcMar>
            <w:vAlign w:val="center"/>
          </w:tcPr>
          <w:p>
            <w:pPr>
              <w:spacing w:line="260" w:lineRule="exact"/>
              <w:textAlignment w:val="center"/>
              <w:rPr>
                <w:rFonts w:hint="eastAsia" w:ascii="仿宋" w:hAnsi="仿宋" w:eastAsia="仿宋" w:cs="仿宋"/>
                <w:kern w:val="0"/>
                <w:sz w:val="20"/>
                <w:szCs w:val="20"/>
              </w:rPr>
            </w:pPr>
            <w:r>
              <w:rPr>
                <w:rFonts w:hint="eastAsia" w:ascii="仿宋" w:hAnsi="仿宋" w:eastAsia="仿宋" w:cs="仿宋"/>
                <w:kern w:val="0"/>
                <w:sz w:val="20"/>
                <w:szCs w:val="20"/>
              </w:rPr>
              <w:t>根据当地</w:t>
            </w:r>
            <w:r>
              <w:rPr>
                <w:rFonts w:hint="eastAsia" w:ascii="仿宋" w:hAnsi="仿宋" w:eastAsia="仿宋" w:cs="仿宋"/>
                <w:kern w:val="0"/>
                <w:sz w:val="20"/>
                <w:szCs w:val="20"/>
                <w:lang w:eastAsia="zh-CN"/>
              </w:rPr>
              <w:t>村</w:t>
            </w:r>
            <w:r>
              <w:rPr>
                <w:rFonts w:hint="eastAsia" w:ascii="仿宋" w:hAnsi="仿宋" w:eastAsia="仿宋" w:cs="仿宋"/>
                <w:kern w:val="0"/>
                <w:sz w:val="20"/>
                <w:szCs w:val="20"/>
              </w:rPr>
              <w:t>民对该项目满意程度问卷调查结论：≥90%（4分）；80%-90%（3分）；70%-80%（2分）；60%-70%（1分）；60%以下（0分）。</w:t>
            </w:r>
          </w:p>
        </w:tc>
        <w:tc>
          <w:tcPr>
            <w:tcW w:w="337"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r>
              <w:rPr>
                <w:rFonts w:hint="eastAsia" w:ascii="仿宋" w:hAnsi="仿宋" w:eastAsia="仿宋" w:cs="仿宋"/>
                <w:kern w:val="0"/>
                <w:sz w:val="20"/>
                <w:szCs w:val="20"/>
                <w:lang w:val="en-US" w:eastAsia="zh-CN"/>
              </w:rPr>
              <w:t>4</w:t>
            </w:r>
          </w:p>
        </w:tc>
        <w:tc>
          <w:tcPr>
            <w:tcW w:w="402"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393" w:type="dxa"/>
            <w:tcBorders>
              <w:top w:val="single" w:color="auto" w:sz="4" w:space="0"/>
              <w:left w:val="single" w:color="000000" w:sz="4" w:space="0"/>
              <w:bottom w:val="single" w:color="auto"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r>
        <w:tblPrEx>
          <w:tblLayout w:type="fixed"/>
          <w:tblCellMar>
            <w:top w:w="15" w:type="dxa"/>
            <w:left w:w="15" w:type="dxa"/>
            <w:bottom w:w="15" w:type="dxa"/>
            <w:right w:w="15" w:type="dxa"/>
          </w:tblCellMar>
        </w:tblPrEx>
        <w:trPr>
          <w:trHeight w:val="644" w:hRule="atLeast"/>
          <w:jc w:val="center"/>
        </w:trPr>
        <w:tc>
          <w:tcPr>
            <w:tcW w:w="997" w:type="dxa"/>
            <w:gridSpan w:val="2"/>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sz w:val="20"/>
                <w:szCs w:val="20"/>
              </w:rPr>
            </w:pPr>
            <w:r>
              <w:rPr>
                <w:rFonts w:hint="eastAsia" w:ascii="仿宋" w:hAnsi="仿宋" w:eastAsia="仿宋" w:cs="仿宋"/>
                <w:b/>
                <w:bCs/>
                <w:sz w:val="20"/>
                <w:szCs w:val="20"/>
              </w:rPr>
              <w:t>合计得分</w:t>
            </w:r>
          </w:p>
        </w:tc>
        <w:tc>
          <w:tcPr>
            <w:tcW w:w="724"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rPr>
            </w:pPr>
          </w:p>
        </w:tc>
        <w:tc>
          <w:tcPr>
            <w:tcW w:w="2095" w:type="dxa"/>
            <w:tcBorders>
              <w:top w:val="single" w:color="auto"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 w:hAnsi="仿宋" w:eastAsia="仿宋" w:cs="仿宋"/>
                <w:kern w:val="0"/>
                <w:sz w:val="20"/>
                <w:szCs w:val="20"/>
              </w:rPr>
            </w:pPr>
          </w:p>
        </w:tc>
        <w:tc>
          <w:tcPr>
            <w:tcW w:w="450"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100</w:t>
            </w:r>
          </w:p>
        </w:tc>
        <w:tc>
          <w:tcPr>
            <w:tcW w:w="3124" w:type="dxa"/>
            <w:tcBorders>
              <w:top w:val="single" w:color="auto" w:sz="4" w:space="0"/>
              <w:left w:val="single" w:color="000000" w:sz="4" w:space="0"/>
              <w:bottom w:val="single" w:color="000000" w:sz="4" w:space="0"/>
              <w:right w:val="single" w:color="000000" w:sz="4" w:space="0"/>
            </w:tcBorders>
            <w:noWrap w:val="0"/>
            <w:tcMar>
              <w:top w:w="17" w:type="dxa"/>
              <w:left w:w="57" w:type="dxa"/>
              <w:bottom w:w="17" w:type="dxa"/>
              <w:right w:w="57" w:type="dxa"/>
            </w:tcMar>
            <w:vAlign w:val="center"/>
          </w:tcPr>
          <w:p>
            <w:pPr>
              <w:spacing w:line="260" w:lineRule="exact"/>
              <w:textAlignment w:val="center"/>
              <w:rPr>
                <w:rFonts w:hint="eastAsia" w:ascii="仿宋" w:hAnsi="仿宋" w:eastAsia="仿宋" w:cs="仿宋"/>
                <w:kern w:val="0"/>
                <w:sz w:val="20"/>
                <w:szCs w:val="20"/>
              </w:rPr>
            </w:pPr>
          </w:p>
        </w:tc>
        <w:tc>
          <w:tcPr>
            <w:tcW w:w="337"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rPr>
            </w:pPr>
            <w:r>
              <w:rPr>
                <w:rFonts w:hint="eastAsia" w:ascii="仿宋" w:hAnsi="仿宋" w:eastAsia="仿宋" w:cs="仿宋"/>
                <w:kern w:val="0"/>
                <w:sz w:val="20"/>
                <w:szCs w:val="20"/>
                <w:lang w:val="en-US" w:eastAsia="zh-CN"/>
              </w:rPr>
              <w:t>100</w:t>
            </w:r>
          </w:p>
        </w:tc>
        <w:tc>
          <w:tcPr>
            <w:tcW w:w="402"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85</w:t>
            </w:r>
          </w:p>
        </w:tc>
        <w:tc>
          <w:tcPr>
            <w:tcW w:w="393" w:type="dxa"/>
            <w:tcBorders>
              <w:top w:val="single" w:color="auto" w:sz="4" w:space="0"/>
              <w:left w:val="single" w:color="000000" w:sz="4" w:space="0"/>
              <w:bottom w:val="single" w:color="000000" w:sz="4" w:space="0"/>
              <w:right w:val="single" w:color="000000" w:sz="4" w:space="0"/>
            </w:tcBorders>
            <w:noWrap w:val="0"/>
            <w:tcMar>
              <w:top w:w="17" w:type="dxa"/>
              <w:left w:w="28" w:type="dxa"/>
              <w:bottom w:w="17" w:type="dxa"/>
              <w:right w:w="28" w:type="dxa"/>
            </w:tcMar>
            <w:vAlign w:val="center"/>
          </w:tcPr>
          <w:p>
            <w:pPr>
              <w:spacing w:line="260" w:lineRule="exact"/>
              <w:jc w:val="center"/>
              <w:rPr>
                <w:rFonts w:hint="eastAsia" w:ascii="仿宋" w:hAnsi="仿宋" w:eastAsia="仿宋" w:cs="仿宋"/>
                <w:sz w:val="20"/>
                <w:szCs w:val="20"/>
                <w:lang w:val="en-US" w:eastAsia="zh-CN"/>
              </w:rPr>
            </w:pPr>
          </w:p>
        </w:tc>
      </w:tr>
    </w:tbl>
    <w:p>
      <w:pPr>
        <w:rPr>
          <w:rFonts w:hint="eastAsia" w:ascii="仿宋" w:hAnsi="仿宋" w:eastAsia="仿宋" w:cs="仿宋"/>
        </w:rPr>
      </w:pPr>
    </w:p>
    <w:bookmarkEnd w:id="0"/>
    <w:p>
      <w:pPr>
        <w:keepNext w:val="0"/>
        <w:keepLines w:val="0"/>
        <w:pageBreakBefore w:val="0"/>
        <w:kinsoku/>
        <w:wordWrap/>
        <w:overflowPunct/>
        <w:topLinePunct w:val="0"/>
        <w:autoSpaceDE/>
        <w:autoSpaceDN/>
        <w:bidi w:val="0"/>
        <w:adjustRightInd/>
        <w:snapToGrid w:val="0"/>
        <w:spacing w:line="540" w:lineRule="exact"/>
        <w:ind w:left="0" w:leftChars="0" w:right="0" w:rightChars="0"/>
        <w:textAlignment w:val="auto"/>
        <w:rPr>
          <w:rFonts w:hint="eastAsia" w:ascii="宋体" w:hAnsi="宋体"/>
          <w:sz w:val="28"/>
          <w:szCs w:val="28"/>
        </w:rPr>
      </w:pPr>
    </w:p>
    <w:p>
      <w:pPr>
        <w:jc w:val="left"/>
        <w:rPr>
          <w:rFonts w:hint="eastAsia"/>
          <w:lang w:val="en-US" w:eastAsia="zh-CN"/>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7"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31"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552B2"/>
    <w:rsid w:val="001F0A42"/>
    <w:rsid w:val="0022238D"/>
    <w:rsid w:val="00323B43"/>
    <w:rsid w:val="00346118"/>
    <w:rsid w:val="003D37D8"/>
    <w:rsid w:val="00426133"/>
    <w:rsid w:val="004358AB"/>
    <w:rsid w:val="004565BB"/>
    <w:rsid w:val="00476FAC"/>
    <w:rsid w:val="00573EB5"/>
    <w:rsid w:val="00701639"/>
    <w:rsid w:val="008124B1"/>
    <w:rsid w:val="0081720D"/>
    <w:rsid w:val="0082476E"/>
    <w:rsid w:val="00872FC9"/>
    <w:rsid w:val="00897D5D"/>
    <w:rsid w:val="008B7726"/>
    <w:rsid w:val="0093322E"/>
    <w:rsid w:val="0095173F"/>
    <w:rsid w:val="009B781B"/>
    <w:rsid w:val="00A8376E"/>
    <w:rsid w:val="00C647A0"/>
    <w:rsid w:val="00D31D50"/>
    <w:rsid w:val="00D85D16"/>
    <w:rsid w:val="00DA640B"/>
    <w:rsid w:val="00DE3480"/>
    <w:rsid w:val="00F25013"/>
    <w:rsid w:val="00F27DF0"/>
    <w:rsid w:val="0CA34FD5"/>
    <w:rsid w:val="13EB3624"/>
    <w:rsid w:val="1F220B8C"/>
    <w:rsid w:val="2D2321FA"/>
    <w:rsid w:val="306A0CC4"/>
    <w:rsid w:val="37CA1B40"/>
    <w:rsid w:val="3BB870BE"/>
    <w:rsid w:val="3EBD3614"/>
    <w:rsid w:val="4F101010"/>
    <w:rsid w:val="53883CC1"/>
    <w:rsid w:val="58E3508C"/>
    <w:rsid w:val="59EC3C30"/>
    <w:rsid w:val="5B3A24E6"/>
    <w:rsid w:val="654B5AD4"/>
    <w:rsid w:val="7736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9"/>
    <w:qFormat/>
    <w:uiPriority w:val="0"/>
    <w:pPr>
      <w:widowControl w:val="0"/>
      <w:adjustRightInd/>
      <w:snapToGrid/>
      <w:spacing w:before="100" w:beforeAutospacing="1" w:after="100" w:afterAutospacing="1"/>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qFormat/>
    <w:uiPriority w:val="99"/>
    <w:rPr>
      <w:rFonts w:ascii="Tahoma" w:hAnsi="Tahoma"/>
      <w:sz w:val="18"/>
      <w:szCs w:val="18"/>
    </w:rPr>
  </w:style>
  <w:style w:type="character" w:customStyle="1" w:styleId="8">
    <w:name w:val="页脚 Char"/>
    <w:basedOn w:val="5"/>
    <w:link w:val="3"/>
    <w:semiHidden/>
    <w:qFormat/>
    <w:uiPriority w:val="99"/>
    <w:rPr>
      <w:rFonts w:ascii="Tahoma" w:hAnsi="Tahoma"/>
      <w:sz w:val="18"/>
      <w:szCs w:val="18"/>
    </w:rPr>
  </w:style>
  <w:style w:type="character" w:customStyle="1" w:styleId="9">
    <w:name w:val="标题 1 Char"/>
    <w:basedOn w:val="5"/>
    <w:link w:val="2"/>
    <w:qFormat/>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280</Words>
  <Characters>1598</Characters>
  <Lines>13</Lines>
  <Paragraphs>3</Paragraphs>
  <TotalTime>10</TotalTime>
  <ScaleCrop>false</ScaleCrop>
  <LinksUpToDate>false</LinksUpToDate>
  <CharactersWithSpaces>1875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2018-12-07T01:04:00Z</cp:lastPrinted>
  <dcterms:modified xsi:type="dcterms:W3CDTF">2019-01-03T01:35:51Z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