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r>
        <w:rPr>
          <w:rFonts w:hint="eastAsia" w:ascii="仿宋" w:hAnsi="仿宋" w:eastAsia="仿宋"/>
          <w:b/>
          <w:sz w:val="32"/>
          <w:szCs w:val="32"/>
        </w:rPr>
        <w:t>新邵县龙山国有林场</w:t>
      </w:r>
      <w:r>
        <w:rPr>
          <w:rFonts w:hint="eastAsia" w:ascii="仿宋" w:hAnsi="仿宋" w:eastAsia="仿宋" w:cs="宋体"/>
          <w:b/>
          <w:color w:val="000000"/>
          <w:sz w:val="32"/>
          <w:szCs w:val="32"/>
        </w:rPr>
        <w:t>护林育林及林场管理专项资金</w:t>
      </w:r>
      <w:r>
        <w:rPr>
          <w:rFonts w:hint="eastAsia" w:ascii="仿宋" w:hAnsi="仿宋" w:eastAsia="仿宋"/>
          <w:b/>
          <w:sz w:val="32"/>
          <w:szCs w:val="32"/>
        </w:rPr>
        <w:t>项目</w:t>
      </w:r>
    </w:p>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r>
        <w:rPr>
          <w:rFonts w:hint="eastAsia" w:ascii="仿宋" w:hAnsi="仿宋" w:eastAsia="仿宋"/>
          <w:b/>
          <w:sz w:val="32"/>
          <w:szCs w:val="32"/>
        </w:rPr>
        <w:t>绩效自评报告</w:t>
      </w:r>
    </w:p>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outlineLvl w:val="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基本情况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b/>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hint="eastAsia" w:ascii="仿宋" w:hAnsi="仿宋" w:eastAsia="仿宋"/>
          <w:sz w:val="32"/>
          <w:szCs w:val="32"/>
          <w:lang w:eastAsia="zh-CN"/>
        </w:rPr>
        <w:t>单位基本情况。</w:t>
      </w:r>
      <w:r>
        <w:rPr>
          <w:rFonts w:hint="eastAsia" w:ascii="仿宋" w:hAnsi="仿宋" w:eastAsia="仿宋" w:cs="仿宋"/>
          <w:sz w:val="32"/>
          <w:szCs w:val="32"/>
        </w:rPr>
        <w:t>龙山林场森林总面积6.07万亩，属公益一类全额拨款事业单位，内设办公室、营林生产股、资源保护股、计划财务股、社会事务股5个职能股室，下辖矿山、烟竹坑、谭家岭、鸡冠山、坪山、道仕坪、劳底石、石头冲8个工区。定编188人，现有干部职工526人，其中在职职工177人，离退休人员349人</w:t>
      </w:r>
      <w:r>
        <w:rPr>
          <w:rFonts w:hint="eastAsia" w:ascii="仿宋" w:hAnsi="仿宋" w:eastAsia="仿宋" w:cs="仿宋"/>
          <w:spacing w:val="-19"/>
          <w:sz w:val="32"/>
          <w:szCs w:val="32"/>
        </w:rPr>
        <w:t>，</w:t>
      </w:r>
      <w:r>
        <w:rPr>
          <w:rFonts w:hint="eastAsia" w:ascii="仿宋" w:hAnsi="仿宋" w:eastAsia="仿宋" w:cs="仿宋"/>
          <w:sz w:val="32"/>
          <w:szCs w:val="32"/>
        </w:rPr>
        <w:t>职工家属及农户达1100多人，田土面积438亩，是典型的农户过渡型林场。</w:t>
      </w:r>
      <w:r>
        <w:rPr>
          <w:rFonts w:hint="eastAsia" w:ascii="仿宋" w:hAnsi="仿宋" w:eastAsia="仿宋"/>
          <w:sz w:val="32"/>
          <w:szCs w:val="32"/>
        </w:rPr>
        <w:t>主要工作职责</w:t>
      </w:r>
      <w:r>
        <w:rPr>
          <w:rFonts w:hint="eastAsia" w:ascii="仿宋" w:hAnsi="仿宋" w:eastAsia="仿宋"/>
          <w:sz w:val="32"/>
          <w:szCs w:val="32"/>
          <w:lang w:eastAsia="zh-CN"/>
        </w:rPr>
        <w:t>：</w:t>
      </w:r>
      <w:r>
        <w:rPr>
          <w:rFonts w:hint="eastAsia" w:ascii="仿宋" w:hAnsi="仿宋" w:eastAsia="仿宋" w:cs="仿宋"/>
          <w:sz w:val="32"/>
          <w:szCs w:val="32"/>
        </w:rPr>
        <w:t>贯彻落实中央、国务院制定的各项林业方针、政策、法律、法规以及地方政府制定的各项规章；制定林场生态建设和产业发展规划，合理调整林业产业布局，促进产业协调发展；建设、保护国有林地、林木、湿地资源，受县林业局委托打击滥发盗伐林木、乱占滥挖林地等破坏森林资源的行为，促进生态文化建设</w:t>
      </w:r>
      <w:r>
        <w:rPr>
          <w:rFonts w:hint="eastAsia" w:ascii="仿宋" w:hAnsi="仿宋" w:eastAsia="仿宋" w:cs="仿宋"/>
          <w:sz w:val="32"/>
          <w:szCs w:val="32"/>
          <w:lang w:eastAsia="zh-CN"/>
        </w:rPr>
        <w:t>；</w:t>
      </w:r>
      <w:r>
        <w:rPr>
          <w:rFonts w:hint="eastAsia" w:ascii="仿宋" w:hAnsi="仿宋" w:eastAsia="仿宋" w:cs="仿宋"/>
          <w:sz w:val="32"/>
          <w:szCs w:val="32"/>
        </w:rPr>
        <w:t>组织生态公益林的保护和管理，承担在宜林地植树、种草等生物措施防治水土流失的工作；负责管护区域内的森林防火、林业有害生物防治以及森林资源培育工作；负责林场农户的社会事务管理工作，维护林区社会稳定；承办县委、县政府和上级主管部门交办的其他工作。</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）项目基本情况。我场坚持以营林为基础，加大森林培育</w:t>
      </w:r>
      <w:r>
        <w:rPr>
          <w:rFonts w:hint="eastAsia" w:ascii="仿宋" w:hAnsi="仿宋" w:eastAsia="仿宋"/>
          <w:sz w:val="32"/>
          <w:szCs w:val="32"/>
          <w:lang w:eastAsia="zh-CN"/>
        </w:rPr>
        <w:t>和管护</w:t>
      </w:r>
      <w:r>
        <w:rPr>
          <w:rFonts w:hint="eastAsia" w:ascii="仿宋" w:hAnsi="仿宋" w:eastAsia="仿宋"/>
          <w:sz w:val="32"/>
          <w:szCs w:val="32"/>
        </w:rPr>
        <w:t>投入，2017年完成宜林地造林225亩、中幼林抚育770亩、森林抚育2000亩，林道维修215公里，</w:t>
      </w:r>
      <w:r>
        <w:rPr>
          <w:rFonts w:hint="eastAsia" w:ascii="仿宋" w:hAnsi="仿宋" w:eastAsia="仿宋" w:cs="仿宋"/>
          <w:sz w:val="32"/>
          <w:szCs w:val="32"/>
        </w:rPr>
        <w:t>对林木实行全面封禁</w:t>
      </w:r>
      <w:r>
        <w:rPr>
          <w:rFonts w:hint="eastAsia" w:ascii="仿宋" w:hAnsi="仿宋" w:eastAsia="仿宋"/>
          <w:sz w:val="32"/>
          <w:szCs w:val="32"/>
        </w:rPr>
        <w:t>，</w:t>
      </w:r>
      <w:r>
        <w:rPr>
          <w:rFonts w:hint="eastAsia" w:ascii="仿宋" w:hAnsi="仿宋" w:eastAsia="仿宋"/>
          <w:sz w:val="32"/>
          <w:szCs w:val="32"/>
          <w:lang w:eastAsia="zh-CN"/>
        </w:rPr>
        <w:t>投入护林育林及林场管理专项经费</w:t>
      </w:r>
      <w:r>
        <w:rPr>
          <w:rFonts w:hint="eastAsia" w:ascii="仿宋" w:hAnsi="仿宋" w:eastAsia="仿宋"/>
          <w:sz w:val="32"/>
          <w:szCs w:val="32"/>
          <w:lang w:val="en-US" w:eastAsia="zh-CN"/>
        </w:rPr>
        <w:t>14万元，</w:t>
      </w:r>
      <w:r>
        <w:rPr>
          <w:rFonts w:hint="eastAsia" w:ascii="仿宋" w:hAnsi="仿宋" w:eastAsia="仿宋"/>
          <w:sz w:val="32"/>
          <w:szCs w:val="32"/>
        </w:rPr>
        <w:t>实现森林资源稳步增长，森林蓄积逐年增长，森林质量显著提升。</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rPr>
          <w:rFonts w:ascii="仿宋" w:hAnsi="仿宋" w:eastAsia="仿宋"/>
          <w:b/>
          <w:sz w:val="32"/>
          <w:szCs w:val="32"/>
        </w:rPr>
      </w:pPr>
      <w:r>
        <w:rPr>
          <w:rFonts w:hint="eastAsia" w:ascii="仿宋" w:hAnsi="仿宋" w:eastAsia="仿宋"/>
          <w:b/>
          <w:sz w:val="32"/>
          <w:szCs w:val="32"/>
        </w:rPr>
        <w:t>二、补贴资金使用及管理情况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）补贴资金拨入及使用情况。</w:t>
      </w:r>
      <w:r>
        <w:rPr>
          <w:rFonts w:hint="eastAsia" w:ascii="仿宋" w:hAnsi="仿宋" w:eastAsia="仿宋"/>
          <w:color w:val="000000" w:themeColor="text1"/>
          <w:sz w:val="32"/>
          <w:szCs w:val="32"/>
          <w:lang w:val="en-US" w:eastAsia="zh-CN"/>
        </w:rPr>
        <w:t>2017年 4月，</w:t>
      </w:r>
      <w:r>
        <w:rPr>
          <w:rFonts w:hint="eastAsia" w:ascii="仿宋" w:hAnsi="仿宋" w:eastAsia="仿宋"/>
          <w:sz w:val="32"/>
          <w:szCs w:val="32"/>
          <w:lang w:val="en-US" w:eastAsia="zh-CN"/>
        </w:rPr>
        <w:t>财政预算内</w:t>
      </w:r>
      <w:r>
        <w:rPr>
          <w:rFonts w:hint="eastAsia" w:ascii="仿宋" w:hAnsi="仿宋" w:eastAsia="仿宋"/>
          <w:sz w:val="32"/>
          <w:szCs w:val="32"/>
          <w:lang w:eastAsia="zh-CN"/>
        </w:rPr>
        <w:t>护林育林及林场管理专项经费</w:t>
      </w:r>
      <w:r>
        <w:rPr>
          <w:rFonts w:hint="eastAsia" w:ascii="仿宋" w:hAnsi="仿宋" w:eastAsia="仿宋"/>
          <w:sz w:val="32"/>
          <w:szCs w:val="32"/>
          <w:lang w:val="en-US" w:eastAsia="zh-CN"/>
        </w:rPr>
        <w:t>指标14万元，当年实际支出14万元</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spacing w:line="560" w:lineRule="exact"/>
        <w:ind w:right="-440" w:rightChars="-200" w:firstLine="320" w:firstLineChars="100"/>
        <w:textAlignment w:val="auto"/>
        <w:rPr>
          <w:rFonts w:hint="eastAsia" w:ascii="仿宋" w:hAnsi="仿宋" w:eastAsia="仿宋"/>
          <w:color w:val="000000" w:themeColor="text1"/>
          <w:sz w:val="32"/>
          <w:szCs w:val="32"/>
          <w:lang w:val="en-US" w:eastAsia="zh-CN"/>
        </w:rPr>
      </w:pPr>
      <w:r>
        <w:rPr>
          <w:rFonts w:hint="eastAsia" w:ascii="仿宋" w:hAnsi="仿宋" w:eastAsia="仿宋"/>
          <w:sz w:val="32"/>
          <w:szCs w:val="32"/>
        </w:rPr>
        <w:t>（二）补贴资金</w:t>
      </w:r>
      <w:r>
        <w:rPr>
          <w:rFonts w:hint="eastAsia" w:ascii="仿宋" w:hAnsi="仿宋" w:eastAsia="仿宋"/>
          <w:sz w:val="32"/>
          <w:szCs w:val="32"/>
          <w:lang w:eastAsia="zh-CN"/>
        </w:rPr>
        <w:t>主要使用情况：</w:t>
      </w:r>
      <w:r>
        <w:rPr>
          <w:rFonts w:hint="eastAsia" w:ascii="仿宋" w:hAnsi="仿宋" w:eastAsia="仿宋"/>
          <w:color w:val="000000" w:themeColor="text1"/>
          <w:sz w:val="32"/>
          <w:szCs w:val="32"/>
          <w:lang w:eastAsia="zh-CN"/>
        </w:rPr>
        <w:t>造林抚育</w:t>
      </w:r>
      <w:r>
        <w:rPr>
          <w:rFonts w:hint="eastAsia" w:ascii="仿宋" w:hAnsi="仿宋" w:eastAsia="仿宋"/>
          <w:color w:val="000000" w:themeColor="text1"/>
          <w:sz w:val="32"/>
          <w:szCs w:val="32"/>
          <w:lang w:val="en-US" w:eastAsia="zh-CN"/>
        </w:rPr>
        <w:t xml:space="preserve">  6.8万元、森林管护  7.2万元。</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b/>
          <w:bCs/>
          <w:color w:val="000000"/>
          <w:sz w:val="32"/>
          <w:szCs w:val="32"/>
        </w:rPr>
      </w:pPr>
      <w:r>
        <w:rPr>
          <w:rFonts w:hint="eastAsia" w:ascii="仿宋" w:hAnsi="仿宋" w:eastAsia="仿宋"/>
          <w:sz w:val="32"/>
          <w:szCs w:val="32"/>
        </w:rPr>
        <w:t>（三）补贴</w:t>
      </w:r>
      <w:r>
        <w:rPr>
          <w:rFonts w:ascii="仿宋" w:hAnsi="仿宋" w:eastAsia="仿宋"/>
          <w:sz w:val="32"/>
          <w:szCs w:val="32"/>
        </w:rPr>
        <w:t>资金管理情况</w:t>
      </w:r>
      <w:r>
        <w:rPr>
          <w:rFonts w:hint="eastAsia" w:ascii="仿宋" w:hAnsi="仿宋" w:eastAsia="仿宋"/>
          <w:sz w:val="32"/>
          <w:szCs w:val="32"/>
        </w:rPr>
        <w:t>。我场专项资金纳入财政国库集中支付管理，建立了专项资金管理办法，严格遵循专款专用、独立核算的原则。专项项目的申报严格按照财政资金管理的要求进行，专项资金财政拨款到位后及时进行项目实施和资金投入。</w:t>
      </w:r>
    </w:p>
    <w:p>
      <w:pPr>
        <w:keepNext w:val="0"/>
        <w:keepLines w:val="0"/>
        <w:pageBreakBefore w:val="0"/>
        <w:widowControl/>
        <w:kinsoku/>
        <w:wordWrap/>
        <w:overflowPunct/>
        <w:topLinePunct w:val="0"/>
        <w:autoSpaceDE/>
        <w:autoSpaceDN/>
        <w:bidi w:val="0"/>
        <w:spacing w:line="560" w:lineRule="exact"/>
        <w:ind w:left="-220" w:leftChars="-100" w:right="-440" w:rightChars="-200" w:firstLine="161" w:firstLineChars="50"/>
        <w:textAlignment w:val="auto"/>
        <w:rPr>
          <w:rFonts w:ascii="仿宋" w:hAnsi="仿宋" w:eastAsia="仿宋"/>
          <w:b/>
          <w:sz w:val="32"/>
          <w:szCs w:val="32"/>
        </w:rPr>
      </w:pPr>
      <w:r>
        <w:rPr>
          <w:rFonts w:hint="eastAsia" w:ascii="仿宋" w:hAnsi="仿宋" w:eastAsia="仿宋"/>
          <w:b/>
          <w:sz w:val="32"/>
          <w:szCs w:val="32"/>
        </w:rPr>
        <w:t>三、主要绩效评价指标情况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hint="eastAsia" w:ascii="仿宋" w:hAnsi="仿宋" w:eastAsia="仿宋" w:cs="仿宋"/>
          <w:sz w:val="32"/>
          <w:szCs w:val="32"/>
          <w:lang w:val="en-US" w:eastAsia="zh-CN"/>
        </w:rPr>
      </w:pPr>
      <w:r>
        <w:rPr>
          <w:rFonts w:hint="eastAsia" w:ascii="仿宋" w:hAnsi="仿宋" w:eastAsia="仿宋"/>
          <w:sz w:val="32"/>
          <w:szCs w:val="32"/>
        </w:rPr>
        <w:t>（一）项目决策情况分析。我场</w:t>
      </w:r>
      <w:r>
        <w:rPr>
          <w:rFonts w:hint="eastAsia" w:ascii="仿宋" w:hAnsi="仿宋" w:eastAsia="仿宋" w:cs="仿宋"/>
          <w:sz w:val="32"/>
          <w:szCs w:val="32"/>
        </w:rPr>
        <w:t>对造林、森林抚育、楠竹低改、林道林界维修、林相改造、公路养护等生产项目严格实行计划管理，由营林生产股按照县林业局下达的营林生产计划任务和林场经营管理需要，制定《龙山林场2017年营林生产计划》。</w:t>
      </w:r>
      <w:r>
        <w:rPr>
          <w:rFonts w:hint="eastAsia" w:ascii="仿宋" w:hAnsi="仿宋" w:eastAsia="仿宋" w:cs="仿宋"/>
          <w:sz w:val="32"/>
          <w:szCs w:val="32"/>
          <w:lang w:eastAsia="zh-CN"/>
        </w:rPr>
        <w:t>龙山林场</w:t>
      </w:r>
      <w:r>
        <w:rPr>
          <w:rFonts w:hint="eastAsia" w:ascii="仿宋" w:hAnsi="仿宋" w:eastAsia="仿宋" w:cs="仿宋"/>
          <w:sz w:val="32"/>
          <w:szCs w:val="32"/>
          <w:lang w:val="en-US" w:eastAsia="zh-CN"/>
        </w:rPr>
        <w:t>2017年护林</w:t>
      </w:r>
      <w:r>
        <w:rPr>
          <w:rFonts w:hint="eastAsia" w:ascii="仿宋" w:hAnsi="仿宋" w:eastAsia="仿宋"/>
          <w:sz w:val="32"/>
          <w:szCs w:val="32"/>
          <w:lang w:eastAsia="zh-CN"/>
        </w:rPr>
        <w:t>育林及林场管理专项经费财政预算</w:t>
      </w:r>
      <w:r>
        <w:rPr>
          <w:rFonts w:hint="eastAsia" w:ascii="仿宋" w:hAnsi="仿宋" w:eastAsia="仿宋"/>
          <w:sz w:val="32"/>
          <w:szCs w:val="32"/>
          <w:lang w:val="en-US" w:eastAsia="zh-CN"/>
        </w:rPr>
        <w:t>14万元，实际拨付14万元，资金到位律、使用律均为100%。</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hint="eastAsia" w:ascii="仿宋" w:hAnsi="仿宋" w:eastAsia="仿宋" w:cs="仿宋"/>
          <w:b/>
          <w:bCs/>
          <w:color w:val="000000"/>
          <w:sz w:val="32"/>
          <w:szCs w:val="32"/>
          <w:lang w:eastAsia="zh-CN"/>
        </w:rPr>
      </w:pPr>
      <w:r>
        <w:rPr>
          <w:rFonts w:hint="eastAsia" w:ascii="仿宋" w:hAnsi="仿宋" w:eastAsia="仿宋"/>
          <w:sz w:val="32"/>
          <w:szCs w:val="32"/>
        </w:rPr>
        <w:t>（二）项目管理情况分析。</w:t>
      </w:r>
      <w:r>
        <w:rPr>
          <w:rFonts w:hint="eastAsia" w:ascii="仿宋" w:hAnsi="仿宋" w:eastAsia="仿宋" w:cs="仿宋"/>
          <w:sz w:val="32"/>
          <w:szCs w:val="32"/>
        </w:rPr>
        <w:t>项目实施前，做好工程预算，订立施工合同。各工区根据生产计划和营林生产股安排组织岗位技能人员保质保量按时完成分配的生产任务。项目完成后由营林生产股、资源保护股和所在工区共同验收。所有项目支出必须做到有计划、有预算、有合同、有验收资料，计财要积极参与项目申报、预算，并加强对项目实施、验收、结算的监督和审核。</w:t>
      </w:r>
      <w:r>
        <w:rPr>
          <w:rFonts w:hint="eastAsia" w:ascii="仿宋" w:hAnsi="仿宋" w:eastAsia="仿宋" w:cs="仿宋"/>
          <w:sz w:val="32"/>
          <w:szCs w:val="32"/>
          <w:lang w:eastAsia="zh-CN"/>
        </w:rPr>
        <w:t>未发生截留、挤占、挪用、虚列专项资金情况。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color w:val="FF0000"/>
          <w:sz w:val="32"/>
          <w:szCs w:val="32"/>
        </w:rPr>
      </w:pPr>
      <w:r>
        <w:rPr>
          <w:rFonts w:hint="eastAsia" w:ascii="仿宋" w:hAnsi="仿宋" w:eastAsia="仿宋"/>
          <w:sz w:val="32"/>
          <w:szCs w:val="32"/>
        </w:rPr>
        <w:t>（三）项目绩效情况分析。</w:t>
      </w:r>
      <w:r>
        <w:rPr>
          <w:rFonts w:hint="eastAsia" w:ascii="仿宋" w:hAnsi="仿宋" w:eastAsia="仿宋"/>
          <w:b/>
          <w:bCs/>
          <w:sz w:val="32"/>
          <w:szCs w:val="32"/>
          <w:lang w:eastAsia="zh-CN"/>
        </w:rPr>
        <w:t>经济效益：</w:t>
      </w:r>
      <w:r>
        <w:rPr>
          <w:rFonts w:hint="eastAsia" w:ascii="仿宋" w:hAnsi="仿宋" w:eastAsia="仿宋"/>
          <w:bCs/>
          <w:sz w:val="32"/>
          <w:szCs w:val="32"/>
        </w:rPr>
        <w:t>通过项目实施，</w:t>
      </w:r>
      <w:r>
        <w:rPr>
          <w:rFonts w:hint="eastAsia" w:ascii="仿宋" w:hAnsi="仿宋" w:eastAsia="仿宋"/>
          <w:sz w:val="32"/>
          <w:szCs w:val="32"/>
        </w:rPr>
        <w:t>对林场范围内的</w:t>
      </w:r>
      <w:r>
        <w:rPr>
          <w:rFonts w:ascii="仿宋" w:hAnsi="仿宋" w:eastAsia="仿宋"/>
          <w:sz w:val="32"/>
          <w:szCs w:val="32"/>
        </w:rPr>
        <w:t>5.3</w:t>
      </w:r>
      <w:r>
        <w:rPr>
          <w:rFonts w:hint="eastAsia" w:ascii="仿宋" w:hAnsi="仿宋" w:eastAsia="仿宋"/>
          <w:sz w:val="32"/>
          <w:szCs w:val="32"/>
        </w:rPr>
        <w:t>万亩生态公益林和</w:t>
      </w:r>
      <w:r>
        <w:rPr>
          <w:rFonts w:ascii="仿宋" w:hAnsi="仿宋" w:eastAsia="仿宋"/>
          <w:sz w:val="32"/>
          <w:szCs w:val="32"/>
        </w:rPr>
        <w:t>0.4</w:t>
      </w:r>
      <w:r>
        <w:rPr>
          <w:rFonts w:hint="eastAsia" w:ascii="仿宋" w:hAnsi="仿宋" w:eastAsia="仿宋"/>
          <w:sz w:val="32"/>
          <w:szCs w:val="32"/>
        </w:rPr>
        <w:t>万亩商品林实行全面禁伐，通过造林育林、护林防火，每年森林蓄积量可增长</w:t>
      </w:r>
      <w:r>
        <w:rPr>
          <w:rFonts w:ascii="仿宋" w:hAnsi="仿宋" w:eastAsia="仿宋"/>
          <w:sz w:val="32"/>
          <w:szCs w:val="32"/>
        </w:rPr>
        <w:t>0.7</w:t>
      </w:r>
      <w:r>
        <w:rPr>
          <w:rFonts w:hint="eastAsia" w:ascii="仿宋" w:hAnsi="仿宋" w:eastAsia="仿宋"/>
          <w:sz w:val="32"/>
          <w:szCs w:val="32"/>
        </w:rPr>
        <w:t>万多立方米，产生经济效益</w:t>
      </w:r>
      <w:r>
        <w:rPr>
          <w:rFonts w:ascii="仿宋" w:hAnsi="仿宋" w:eastAsia="仿宋"/>
          <w:sz w:val="32"/>
          <w:szCs w:val="32"/>
        </w:rPr>
        <w:t>300</w:t>
      </w:r>
      <w:r>
        <w:rPr>
          <w:rFonts w:hint="eastAsia" w:ascii="仿宋" w:hAnsi="仿宋" w:eastAsia="仿宋"/>
          <w:sz w:val="32"/>
          <w:szCs w:val="32"/>
        </w:rPr>
        <w:t>多万元</w:t>
      </w:r>
      <w:r>
        <w:rPr>
          <w:rFonts w:hint="eastAsia" w:ascii="仿宋" w:hAnsi="仿宋" w:eastAsia="仿宋"/>
          <w:sz w:val="32"/>
          <w:szCs w:val="32"/>
          <w:lang w:eastAsia="zh-CN"/>
        </w:rPr>
        <w:t>；</w:t>
      </w:r>
      <w:r>
        <w:rPr>
          <w:rFonts w:hint="eastAsia" w:ascii="仿宋" w:hAnsi="仿宋" w:eastAsia="仿宋"/>
          <w:b/>
          <w:bCs/>
          <w:sz w:val="32"/>
          <w:szCs w:val="32"/>
        </w:rPr>
        <w:t>社会效益：</w:t>
      </w:r>
      <w:r>
        <w:rPr>
          <w:rFonts w:hint="eastAsia" w:ascii="仿宋" w:hAnsi="仿宋" w:eastAsia="仿宋"/>
          <w:sz w:val="32"/>
          <w:szCs w:val="32"/>
        </w:rPr>
        <w:t>通过项目实施，带动林场差额人员及家属从事生产劳动，增加工资收入，减少社会矛盾，促进林区和谐发展，人民群众生态意识明显提高；</w:t>
      </w:r>
      <w:r>
        <w:rPr>
          <w:rFonts w:hint="eastAsia" w:ascii="仿宋" w:hAnsi="仿宋" w:eastAsia="仿宋"/>
          <w:b/>
          <w:bCs/>
          <w:sz w:val="32"/>
          <w:szCs w:val="32"/>
        </w:rPr>
        <w:t>生态效益：</w:t>
      </w:r>
      <w:r>
        <w:rPr>
          <w:rFonts w:hint="eastAsia" w:ascii="仿宋" w:hAnsi="仿宋" w:eastAsia="仿宋"/>
          <w:sz w:val="32"/>
          <w:szCs w:val="32"/>
        </w:rPr>
        <w:t>通过项目的实施，植被覆盖率进一步提升，水土流失面积减少，生态环境明显改善，生物的多样性逐步增加，土地的肥力进一步提升，人居环境得到较大改善。</w:t>
      </w:r>
    </w:p>
    <w:p>
      <w:pPr>
        <w:pStyle w:val="2"/>
        <w:keepNext w:val="0"/>
        <w:keepLines w:val="0"/>
        <w:pageBreakBefore w:val="0"/>
        <w:widowControl/>
        <w:kinsoku/>
        <w:wordWrap/>
        <w:overflowPunct/>
        <w:topLinePunct w:val="0"/>
        <w:autoSpaceDE/>
        <w:autoSpaceDN/>
        <w:bidi w:val="0"/>
        <w:spacing w:before="0" w:beforeAutospacing="0" w:after="0" w:afterAutospacing="0" w:line="560" w:lineRule="exact"/>
        <w:ind w:left="-220" w:leftChars="-100" w:right="-440" w:rightChars="-200" w:firstLine="643" w:firstLineChars="200"/>
        <w:jc w:val="both"/>
        <w:textAlignment w:val="auto"/>
        <w:rPr>
          <w:rFonts w:hint="default" w:ascii="仿宋" w:hAnsi="仿宋" w:eastAsia="仿宋" w:cs="黑体"/>
          <w:color w:val="C00000"/>
          <w:sz w:val="32"/>
          <w:szCs w:val="32"/>
        </w:rPr>
      </w:pPr>
      <w:r>
        <w:rPr>
          <w:rFonts w:ascii="仿宋" w:hAnsi="仿宋" w:eastAsia="仿宋" w:cs="黑体"/>
          <w:sz w:val="32"/>
          <w:szCs w:val="32"/>
        </w:rPr>
        <w:t>四、绩效评价结果及主要绩效</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通过项目的实施，增加了森林面积，提高了林分质量，保护了森林资源，改善了生态环境，增加了职工群众收入，促进了林场持续、稳定、健康发展，对周边乡村的森林资源保护和林业生产发展产生极大的推动作用。职工群众对居住、生产和工作条件满意度提升，对党和政府关心林场发展、关注林场民生、改善生态环境十分感激，认为此举是全面建成小康社会、建设生态文明的真实体现，是党践行群众路线的具体表现，群众满意度达</w:t>
      </w:r>
      <w:r>
        <w:rPr>
          <w:rFonts w:hint="eastAsia" w:ascii="仿宋" w:hAnsi="仿宋" w:eastAsia="仿宋" w:cs="宋体"/>
          <w:sz w:val="28"/>
          <w:szCs w:val="28"/>
        </w:rPr>
        <w:t>95%</w:t>
      </w:r>
      <w:r>
        <w:rPr>
          <w:rFonts w:hint="eastAsia" w:ascii="仿宋" w:hAnsi="仿宋" w:eastAsia="仿宋"/>
          <w:sz w:val="32"/>
          <w:szCs w:val="32"/>
        </w:rPr>
        <w:t>。</w:t>
      </w: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left="-220" w:leftChars="-100" w:right="-440" w:rightChars="-200" w:firstLine="643" w:firstLineChars="200"/>
        <w:textAlignment w:val="auto"/>
        <w:rPr>
          <w:rFonts w:ascii="仿宋" w:hAnsi="仿宋" w:eastAsia="仿宋"/>
          <w:sz w:val="32"/>
          <w:szCs w:val="32"/>
        </w:rPr>
      </w:pPr>
      <w:r>
        <w:rPr>
          <w:rFonts w:ascii="仿宋" w:hAnsi="仿宋" w:eastAsia="仿宋"/>
          <w:b/>
          <w:sz w:val="32"/>
          <w:szCs w:val="32"/>
        </w:rPr>
        <w:t>五、</w:t>
      </w:r>
      <w:r>
        <w:rPr>
          <w:rFonts w:hint="eastAsia" w:ascii="仿宋" w:hAnsi="仿宋" w:eastAsia="仿宋"/>
          <w:b/>
          <w:sz w:val="32"/>
          <w:szCs w:val="32"/>
        </w:rPr>
        <w:t>存在的主要问题。</w:t>
      </w:r>
      <w:r>
        <w:rPr>
          <w:rFonts w:hint="eastAsia" w:ascii="仿宋" w:hAnsi="仿宋" w:eastAsia="仿宋"/>
          <w:sz w:val="32"/>
          <w:szCs w:val="32"/>
        </w:rPr>
        <w:t>我场</w:t>
      </w:r>
      <w:r>
        <w:rPr>
          <w:rFonts w:hint="eastAsia" w:ascii="仿宋" w:hAnsi="仿宋" w:eastAsia="仿宋" w:cs="仿宋"/>
          <w:spacing w:val="-19"/>
          <w:sz w:val="32"/>
          <w:szCs w:val="32"/>
        </w:rPr>
        <w:t>造林、抚育、林界维修、防火、</w:t>
      </w:r>
      <w:r>
        <w:rPr>
          <w:rFonts w:hint="eastAsia" w:ascii="仿宋" w:hAnsi="仿宋" w:eastAsia="仿宋" w:cs="仿宋"/>
          <w:sz w:val="32"/>
          <w:szCs w:val="32"/>
        </w:rPr>
        <w:t>病虫害防治等森林培育和保护及林区公路等基础设施建设财政预算不足，资金缺口大，不利于林场生产发展。</w:t>
      </w:r>
    </w:p>
    <w:p>
      <w:pPr>
        <w:keepNext w:val="0"/>
        <w:keepLines w:val="0"/>
        <w:pageBreakBefore w:val="0"/>
        <w:widowControl/>
        <w:kinsoku/>
        <w:wordWrap/>
        <w:overflowPunct/>
        <w:topLinePunct w:val="0"/>
        <w:autoSpaceDE/>
        <w:autoSpaceDN/>
        <w:bidi w:val="0"/>
        <w:spacing w:line="560" w:lineRule="exact"/>
        <w:ind w:left="-220" w:leftChars="-100" w:right="-440" w:rightChars="-200" w:firstLine="161" w:firstLineChars="50"/>
        <w:textAlignment w:val="auto"/>
        <w:outlineLvl w:val="0"/>
        <w:rPr>
          <w:rFonts w:ascii="仿宋" w:hAnsi="仿宋" w:eastAsia="仿宋"/>
          <w:b/>
          <w:sz w:val="32"/>
          <w:szCs w:val="32"/>
        </w:rPr>
      </w:pPr>
      <w:r>
        <w:rPr>
          <w:rFonts w:hint="eastAsia" w:ascii="仿宋" w:hAnsi="仿宋" w:eastAsia="仿宋"/>
          <w:b/>
          <w:sz w:val="32"/>
          <w:szCs w:val="32"/>
        </w:rPr>
        <w:t>六、改进意见及建议</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后续工作计划。</w:t>
      </w:r>
      <w:r>
        <w:rPr>
          <w:rFonts w:hint="eastAsia" w:ascii="仿宋" w:hAnsi="仿宋" w:eastAsia="仿宋" w:cs="仿宋"/>
          <w:sz w:val="32"/>
          <w:szCs w:val="32"/>
        </w:rPr>
        <w:t>加强森林资源的培育和保护，下年度实施宜林地造林150亩，幼林（未成造）抚育820亩，中幼林抚育1500亩，中林间伐抚育1300亩，疏残林补植补造等生态修复，楠竹低改1200亩，林界、林道维修215公里，提高森林资源质量，促进森林资源快速增长。改善基础设施条件，积极向有关部门争取，进一步落实改革政策，将林场公路、电力、安全饮水、通讯等基础设施建设纳入地方发展规划，利用部门项目实施进行基础设施建设。</w:t>
      </w:r>
    </w:p>
    <w:p>
      <w:pPr>
        <w:keepNext w:val="0"/>
        <w:keepLines w:val="0"/>
        <w:pageBreakBefore w:val="0"/>
        <w:widowControl/>
        <w:kinsoku/>
        <w:wordWrap/>
        <w:overflowPunct/>
        <w:topLinePunct w:val="0"/>
        <w:autoSpaceDE/>
        <w:autoSpaceDN/>
        <w:bidi w:val="0"/>
        <w:spacing w:line="560" w:lineRule="exact"/>
        <w:ind w:left="-220" w:leftChars="-100" w:right="-440" w:rightChars="-200" w:firstLine="480" w:firstLineChars="15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主要经验做法、存在的问题和建议。</w:t>
      </w:r>
      <w:r>
        <w:rPr>
          <w:rFonts w:hint="eastAsia" w:ascii="仿宋" w:hAnsi="仿宋" w:eastAsia="仿宋" w:cs="仿宋"/>
          <w:sz w:val="32"/>
          <w:szCs w:val="32"/>
        </w:rPr>
        <w:t>在上级主管部门的精心指导下，扎实开展财政预算绩效监督考核工作，健全工作机制、规范会计核算、严格资金管理，按计划使用资金，按时、按质、按量完成各项建设任务。项目实施无浪费行为，无挤占挪用或套取资金现象，运行成本大幅降低，取得良好的经济、生态、社会效益。</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sz w:val="32"/>
          <w:szCs w:val="32"/>
        </w:rPr>
      </w:pPr>
      <w:r>
        <w:rPr>
          <w:rFonts w:hint="eastAsia" w:ascii="仿宋" w:hAnsi="仿宋" w:eastAsia="仿宋" w:cs="仿宋"/>
          <w:sz w:val="32"/>
          <w:szCs w:val="32"/>
        </w:rPr>
        <w:t>由于我场人员多，基础设施条件落后，收入来源少，请求财政加大对育林护林和基础设施建设的投入，推进生态、秀美林场建设。</w:t>
      </w: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pacing w:before="156" w:beforeLines="50" w:after="156" w:afterLines="50"/>
        <w:ind w:left="0" w:leftChars="0" w:right="0" w:rightChars="0"/>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新邵县2017年护林育林及林场管理</w:t>
      </w:r>
      <w:r>
        <w:rPr>
          <w:rFonts w:hint="eastAsia" w:ascii="仿宋" w:hAnsi="仿宋" w:eastAsia="仿宋" w:cs="仿宋"/>
          <w:sz w:val="36"/>
          <w:szCs w:val="36"/>
        </w:rPr>
        <w:t>绩效评价表</w:t>
      </w:r>
    </w:p>
    <w:p>
      <w:pPr>
        <w:keepNext w:val="0"/>
        <w:keepLines w:val="0"/>
        <w:pageBreakBefore w:val="0"/>
        <w:kinsoku/>
        <w:wordWrap/>
        <w:overflowPunct/>
        <w:topLinePunct w:val="0"/>
        <w:autoSpaceDE/>
        <w:autoSpaceDN/>
        <w:bidi w:val="0"/>
        <w:adjustRightInd/>
        <w:snapToGrid w:val="0"/>
        <w:spacing w:line="540" w:lineRule="exact"/>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填报日期：201</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78"/>
        <w:gridCol w:w="1395"/>
        <w:gridCol w:w="575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627" w:type="dxa"/>
            <w:vMerge w:val="restart"/>
            <w:noWrap w:val="0"/>
            <w:vAlign w:val="center"/>
          </w:tcPr>
          <w:p>
            <w:pPr>
              <w:snapToGrid w:val="0"/>
              <w:jc w:val="center"/>
              <w:rPr>
                <w:rFonts w:hint="eastAsia" w:ascii="仿宋" w:hAnsi="仿宋" w:eastAsia="仿宋" w:cs="仿宋"/>
                <w:sz w:val="28"/>
                <w:szCs w:val="28"/>
              </w:rPr>
            </w:pPr>
          </w:p>
          <w:p>
            <w:pPr>
              <w:snapToGrid w:val="0"/>
              <w:jc w:val="center"/>
              <w:rPr>
                <w:rFonts w:hint="eastAsia" w:ascii="仿宋" w:hAnsi="仿宋" w:eastAsia="仿宋" w:cs="仿宋"/>
                <w:sz w:val="28"/>
                <w:szCs w:val="28"/>
              </w:rPr>
            </w:pPr>
            <w:r>
              <w:rPr>
                <w:rFonts w:hint="eastAsia" w:ascii="仿宋" w:hAnsi="仿宋" w:eastAsia="仿宋" w:cs="仿宋"/>
                <w:sz w:val="28"/>
                <w:szCs w:val="28"/>
              </w:rPr>
              <w:t>项目基本情况</w:t>
            </w: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新邵县2017年护林育林及林场管理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项目内容</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新邵县2017年护林育林及林场管理</w:t>
            </w:r>
            <w:r>
              <w:rPr>
                <w:rFonts w:hint="eastAsia" w:ascii="仿宋" w:hAnsi="仿宋" w:eastAsia="仿宋" w:cs="仿宋"/>
                <w:sz w:val="28"/>
                <w:szCs w:val="28"/>
              </w:rPr>
              <w:t>财政绩效评价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项目单位</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新邵县龙山国有林场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项目属性</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本次评价</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工作的目的</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rPr>
              <w:t>通过项目的实施，增加了森林面积，提高了林分质量，保护了森林资源，改善了生态环境，增加了职工群众收入，促进了林场持续、稳定、健康发展，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资金总额</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及构成</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rPr>
              <w:t>共收到</w:t>
            </w:r>
            <w:r>
              <w:rPr>
                <w:rFonts w:hint="eastAsia" w:ascii="仿宋" w:hAnsi="仿宋" w:eastAsia="仿宋" w:cs="仿宋"/>
                <w:sz w:val="28"/>
                <w:szCs w:val="28"/>
                <w:lang w:eastAsia="zh-CN"/>
              </w:rPr>
              <w:t>护林育林及林场管理</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万元。</w:t>
            </w:r>
          </w:p>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30"/>
                <w:szCs w:val="30"/>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lang w:eastAsia="zh-CN"/>
              </w:rPr>
              <w:t>护林育林及林场管理</w:t>
            </w:r>
            <w:r>
              <w:rPr>
                <w:rFonts w:hint="eastAsia" w:ascii="仿宋" w:hAnsi="仿宋" w:eastAsia="仿宋" w:cs="仿宋"/>
                <w:color w:val="auto"/>
                <w:sz w:val="28"/>
                <w:szCs w:val="28"/>
              </w:rPr>
              <w:t>支出合计</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项目背景</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我场</w:t>
            </w:r>
            <w:r>
              <w:rPr>
                <w:rFonts w:hint="eastAsia" w:ascii="仿宋" w:hAnsi="仿宋" w:eastAsia="仿宋" w:cs="仿宋"/>
                <w:spacing w:val="-19"/>
                <w:sz w:val="28"/>
                <w:szCs w:val="28"/>
              </w:rPr>
              <w:t>造林、抚育、林界维修、防火、</w:t>
            </w:r>
            <w:r>
              <w:rPr>
                <w:rFonts w:hint="eastAsia" w:ascii="仿宋" w:hAnsi="仿宋" w:eastAsia="仿宋" w:cs="仿宋"/>
                <w:sz w:val="28"/>
                <w:szCs w:val="28"/>
              </w:rPr>
              <w:t>病虫害防治等森林培育和保护及林区公路等基础设施建设财政预算不足，资金缺口大</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300"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评价指标</w:t>
            </w:r>
          </w:p>
        </w:tc>
        <w:tc>
          <w:tcPr>
            <w:tcW w:w="5750"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评价情况</w:t>
            </w:r>
          </w:p>
        </w:tc>
        <w:tc>
          <w:tcPr>
            <w:tcW w:w="1124"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w:t>
            </w:r>
          </w:p>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一级</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二级</w:t>
            </w:r>
          </w:p>
        </w:tc>
        <w:tc>
          <w:tcPr>
            <w:tcW w:w="5750" w:type="dxa"/>
            <w:vMerge w:val="continue"/>
            <w:noWrap w:val="0"/>
            <w:vAlign w:val="center"/>
          </w:tcPr>
          <w:p>
            <w:pPr>
              <w:tabs>
                <w:tab w:val="left" w:pos="1980"/>
              </w:tabs>
              <w:snapToGrid w:val="0"/>
              <w:jc w:val="center"/>
              <w:rPr>
                <w:rFonts w:hint="eastAsia" w:ascii="仿宋" w:hAnsi="仿宋" w:eastAsia="仿宋" w:cs="仿宋"/>
                <w:sz w:val="28"/>
                <w:szCs w:val="28"/>
              </w:rPr>
            </w:pPr>
          </w:p>
        </w:tc>
        <w:tc>
          <w:tcPr>
            <w:tcW w:w="1124" w:type="dxa"/>
            <w:vMerge w:val="continue"/>
            <w:noWrap w:val="0"/>
            <w:vAlign w:val="center"/>
          </w:tcPr>
          <w:p>
            <w:pPr>
              <w:tabs>
                <w:tab w:val="left" w:pos="1980"/>
              </w:tabs>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项目立项</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绩效目标规范性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kern w:val="0"/>
                <w:sz w:val="28"/>
                <w:szCs w:val="28"/>
              </w:rPr>
              <w:t>项目按照规定的程序申请设立所提交的文件、材料符合相关要求</w:t>
            </w:r>
            <w:r>
              <w:rPr>
                <w:rFonts w:hint="eastAsia" w:ascii="仿宋" w:hAnsi="仿宋" w:eastAsia="仿宋" w:cs="仿宋"/>
                <w:sz w:val="28"/>
                <w:szCs w:val="28"/>
              </w:rPr>
              <w:t>，</w:t>
            </w:r>
            <w:r>
              <w:rPr>
                <w:rFonts w:hint="eastAsia" w:ascii="仿宋" w:hAnsi="仿宋" w:eastAsia="仿宋" w:cs="仿宋"/>
                <w:kern w:val="0"/>
                <w:sz w:val="28"/>
                <w:szCs w:val="28"/>
              </w:rPr>
              <w:t>事前经过集体决策，</w:t>
            </w:r>
            <w:r>
              <w:rPr>
                <w:rFonts w:hint="eastAsia" w:ascii="仿宋" w:hAnsi="仿宋" w:eastAsia="仿宋" w:cs="仿宋"/>
                <w:sz w:val="28"/>
                <w:szCs w:val="28"/>
              </w:rPr>
              <w:t>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绩效目标合理性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项目符合国家法律法规、国民经济发展规划和县委政府决策，与项目</w:t>
            </w:r>
            <w:r>
              <w:rPr>
                <w:rFonts w:hint="eastAsia" w:ascii="仿宋" w:hAnsi="仿宋" w:eastAsia="仿宋" w:cs="仿宋"/>
                <w:sz w:val="28"/>
                <w:szCs w:val="28"/>
                <w:lang w:eastAsia="zh-CN"/>
              </w:rPr>
              <w:t>实施单位</w:t>
            </w:r>
            <w:r>
              <w:rPr>
                <w:rFonts w:hint="eastAsia" w:ascii="仿宋" w:hAnsi="仿宋" w:eastAsia="仿宋" w:cs="仿宋"/>
                <w:sz w:val="28"/>
                <w:szCs w:val="28"/>
              </w:rPr>
              <w:t>职责密切相关，计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绩效指标明确性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项目按年度分解了具体的绩效指标，计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绩效指标进行了量化，计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项目实际完成任务数与计划数基本一致，计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项目支出与预计确定的项目预算匹配，记2分。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资金落实</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资金到位率（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项目实际到位资金</w:t>
            </w:r>
            <w:r>
              <w:rPr>
                <w:rFonts w:hint="eastAsia" w:ascii="仿宋" w:hAnsi="仿宋" w:eastAsia="仿宋" w:cs="仿宋"/>
                <w:sz w:val="28"/>
                <w:szCs w:val="28"/>
                <w:lang w:val="en-US" w:eastAsia="zh-CN"/>
              </w:rPr>
              <w:t>14</w:t>
            </w:r>
            <w:r>
              <w:rPr>
                <w:rFonts w:hint="eastAsia" w:ascii="仿宋" w:hAnsi="仿宋" w:eastAsia="仿宋" w:cs="仿宋"/>
                <w:sz w:val="28"/>
                <w:szCs w:val="28"/>
              </w:rPr>
              <w:t>万元，计划投入资金</w:t>
            </w:r>
            <w:r>
              <w:rPr>
                <w:rFonts w:hint="eastAsia" w:ascii="仿宋" w:hAnsi="仿宋" w:eastAsia="仿宋" w:cs="仿宋"/>
                <w:sz w:val="28"/>
                <w:szCs w:val="28"/>
                <w:lang w:val="en-US" w:eastAsia="zh-CN"/>
              </w:rPr>
              <w:t>14</w:t>
            </w:r>
            <w:r>
              <w:rPr>
                <w:rFonts w:hint="eastAsia" w:ascii="仿宋" w:hAnsi="仿宋" w:eastAsia="仿宋" w:cs="仿宋"/>
                <w:sz w:val="28"/>
                <w:szCs w:val="28"/>
              </w:rPr>
              <w:t>万元，到位率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到位及时率（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已到位的资金</w:t>
            </w:r>
            <w:r>
              <w:rPr>
                <w:rFonts w:hint="eastAsia" w:ascii="仿宋" w:hAnsi="仿宋" w:eastAsia="仿宋" w:cs="仿宋"/>
                <w:sz w:val="28"/>
                <w:szCs w:val="28"/>
                <w:lang w:val="en-US" w:eastAsia="zh-CN"/>
              </w:rPr>
              <w:t>14</w:t>
            </w:r>
            <w:r>
              <w:rPr>
                <w:rFonts w:hint="eastAsia" w:ascii="仿宋" w:hAnsi="仿宋" w:eastAsia="仿宋" w:cs="仿宋"/>
                <w:sz w:val="28"/>
                <w:szCs w:val="28"/>
              </w:rPr>
              <w:t>万元，应到位资金</w:t>
            </w:r>
            <w:r>
              <w:rPr>
                <w:rFonts w:hint="eastAsia" w:ascii="仿宋" w:hAnsi="仿宋" w:eastAsia="仿宋" w:cs="仿宋"/>
                <w:sz w:val="28"/>
                <w:szCs w:val="28"/>
                <w:lang w:val="en-US" w:eastAsia="zh-CN"/>
              </w:rPr>
              <w:t>14</w:t>
            </w:r>
            <w:r>
              <w:rPr>
                <w:rFonts w:hint="eastAsia" w:ascii="仿宋" w:hAnsi="仿宋" w:eastAsia="仿宋" w:cs="仿宋"/>
                <w:sz w:val="28"/>
                <w:szCs w:val="28"/>
              </w:rPr>
              <w:t>万元，到位</w:t>
            </w:r>
            <w:r>
              <w:rPr>
                <w:rFonts w:hint="eastAsia" w:ascii="仿宋" w:hAnsi="仿宋" w:eastAsia="仿宋" w:cs="仿宋"/>
                <w:sz w:val="28"/>
                <w:szCs w:val="28"/>
                <w:lang w:eastAsia="zh-CN"/>
              </w:rPr>
              <w:t>及时</w:t>
            </w:r>
            <w:r>
              <w:rPr>
                <w:rFonts w:hint="eastAsia" w:ascii="仿宋" w:hAnsi="仿宋" w:eastAsia="仿宋" w:cs="仿宋"/>
                <w:sz w:val="28"/>
                <w:szCs w:val="28"/>
              </w:rPr>
              <w:t>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业务管理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项目实施单位</w:t>
            </w:r>
            <w:r>
              <w:rPr>
                <w:rFonts w:hint="eastAsia" w:ascii="仿宋" w:hAnsi="仿宋" w:eastAsia="仿宋" w:cs="仿宋"/>
                <w:sz w:val="28"/>
                <w:szCs w:val="28"/>
                <w:lang w:eastAsia="zh-CN"/>
              </w:rPr>
              <w:t>制定了《实施方案》，但相关制度不够健全与完善</w:t>
            </w:r>
            <w:r>
              <w:rPr>
                <w:rFonts w:hint="eastAsia" w:ascii="仿宋" w:hAnsi="仿宋" w:eastAsia="仿宋" w:cs="仿宋"/>
                <w:sz w:val="28"/>
                <w:szCs w:val="28"/>
              </w:rPr>
              <w:t>，计</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制度执行有效性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项目的实施遵守相关法律法规和业务管理规定，计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达到预期设定</w:t>
            </w:r>
            <w:r>
              <w:rPr>
                <w:rFonts w:hint="eastAsia" w:ascii="仿宋" w:hAnsi="仿宋" w:eastAsia="仿宋" w:cs="仿宋"/>
                <w:sz w:val="28"/>
                <w:szCs w:val="28"/>
                <w:lang w:eastAsia="zh-CN"/>
              </w:rPr>
              <w:t>目标，计</w:t>
            </w:r>
            <w:r>
              <w:rPr>
                <w:rFonts w:hint="eastAsia" w:ascii="仿宋" w:hAnsi="仿宋" w:eastAsia="仿宋" w:cs="仿宋"/>
                <w:sz w:val="28"/>
                <w:szCs w:val="28"/>
                <w:lang w:val="en-US" w:eastAsia="zh-CN"/>
              </w:rPr>
              <w:t xml:space="preserve">4分； </w:t>
            </w:r>
          </w:p>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项目实施过程中的人员条件、场地设备，信息支撑等落实到位，计1分。</w:t>
            </w:r>
          </w:p>
        </w:tc>
        <w:tc>
          <w:tcPr>
            <w:tcW w:w="1124" w:type="dxa"/>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项目质量可控性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制定质量要求或标准</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 xml:space="preserve">0分； </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采取相应的质量检查、验收等必需的控制措施或实施手续</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0分。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财务管理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实施单位的财务制度健全，计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资金使用合规性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符合国家财经法规和财务管理制度以及专项资金管理办法的支出，计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项目的重大开支经过集体决策，计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符合专项资金规定用途的情况，计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现场检查未发现截留、挤占、挪用、虚列专项资金的情况，计2分。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财务监督有效性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制定</w:t>
            </w:r>
            <w:r>
              <w:rPr>
                <w:rFonts w:hint="eastAsia" w:ascii="仿宋" w:hAnsi="仿宋" w:eastAsia="仿宋" w:cs="仿宋"/>
                <w:sz w:val="28"/>
                <w:szCs w:val="28"/>
                <w:lang w:eastAsia="zh-CN"/>
              </w:rPr>
              <w:t>了</w:t>
            </w:r>
            <w:r>
              <w:rPr>
                <w:rFonts w:hint="eastAsia" w:ascii="仿宋" w:hAnsi="仿宋" w:eastAsia="仿宋" w:cs="仿宋"/>
                <w:sz w:val="28"/>
                <w:szCs w:val="28"/>
              </w:rPr>
              <w:t>相应的监督措施，计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进行</w:t>
            </w:r>
            <w:r>
              <w:rPr>
                <w:rFonts w:hint="eastAsia" w:ascii="仿宋" w:hAnsi="仿宋" w:eastAsia="仿宋" w:cs="仿宋"/>
                <w:sz w:val="28"/>
                <w:szCs w:val="28"/>
                <w:lang w:eastAsia="zh-CN"/>
              </w:rPr>
              <w:t>了</w:t>
            </w:r>
            <w:r>
              <w:rPr>
                <w:rFonts w:hint="eastAsia" w:ascii="仿宋" w:hAnsi="仿宋" w:eastAsia="仿宋" w:cs="仿宋"/>
                <w:sz w:val="28"/>
                <w:szCs w:val="28"/>
              </w:rPr>
              <w:t>相应的财务检查等监督措施，计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05" w:type="dxa"/>
            <w:gridSpan w:val="2"/>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预算额控制</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投资控制</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已付的项目资金未超预算，计6分。</w:t>
            </w:r>
          </w:p>
        </w:tc>
        <w:tc>
          <w:tcPr>
            <w:tcW w:w="1124"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完成进度及质量</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进度管理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项目阶段性目标明确且按时提交任务完成情况，计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05" w:type="dxa"/>
            <w:gridSpan w:val="2"/>
            <w:vMerge w:val="continue"/>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质量管理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lang w:eastAsia="zh-CN"/>
              </w:rPr>
              <w:t>达到预期</w:t>
            </w:r>
            <w:r>
              <w:rPr>
                <w:rFonts w:hint="eastAsia" w:ascii="仿宋" w:hAnsi="仿宋" w:eastAsia="仿宋" w:cs="仿宋"/>
                <w:sz w:val="28"/>
                <w:szCs w:val="28"/>
              </w:rPr>
              <w:t>质量</w:t>
            </w:r>
            <w:r>
              <w:rPr>
                <w:rFonts w:hint="eastAsia" w:ascii="仿宋" w:hAnsi="仿宋" w:eastAsia="仿宋" w:cs="仿宋"/>
                <w:sz w:val="28"/>
                <w:szCs w:val="28"/>
                <w:lang w:eastAsia="zh-CN"/>
              </w:rPr>
              <w:t>要求</w:t>
            </w:r>
            <w:r>
              <w:rPr>
                <w:rFonts w:hint="eastAsia" w:ascii="仿宋" w:hAnsi="仿宋" w:eastAsia="仿宋" w:cs="仿宋"/>
                <w:sz w:val="28"/>
                <w:szCs w:val="28"/>
              </w:rPr>
              <w:t>，计6分；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05" w:type="dxa"/>
            <w:gridSpan w:val="2"/>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可持续发展</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后续管理（</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有后续管理措施，计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exac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社会效益</w:t>
            </w:r>
          </w:p>
        </w:tc>
        <w:tc>
          <w:tcPr>
            <w:tcW w:w="1395"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企业社会责任</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tcBorders>
              <w:bottom w:val="single" w:color="000000" w:sz="6" w:space="0"/>
            </w:tcBorders>
            <w:noWrap w:val="0"/>
            <w:vAlign w:val="center"/>
          </w:tcPr>
          <w:p>
            <w:pPr>
              <w:snapToGrid w:val="0"/>
              <w:jc w:val="left"/>
              <w:rPr>
                <w:rFonts w:hint="eastAsia" w:ascii="仿宋" w:hAnsi="仿宋" w:eastAsia="仿宋" w:cs="仿宋"/>
                <w:sz w:val="28"/>
                <w:szCs w:val="28"/>
              </w:rPr>
            </w:pPr>
            <w:r>
              <w:rPr>
                <w:rFonts w:hint="eastAsia" w:ascii="仿宋" w:hAnsi="仿宋" w:eastAsia="仿宋" w:cs="仿宋"/>
                <w:sz w:val="28"/>
                <w:szCs w:val="28"/>
              </w:rPr>
              <w:t>根据项目问卷调查，社会公众对项目实施</w:t>
            </w:r>
            <w:r>
              <w:rPr>
                <w:rFonts w:hint="eastAsia" w:ascii="仿宋" w:hAnsi="仿宋" w:eastAsia="仿宋" w:cs="仿宋"/>
                <w:sz w:val="28"/>
                <w:szCs w:val="28"/>
                <w:lang w:eastAsia="zh-CN"/>
              </w:rPr>
              <w:t>政</w:t>
            </w:r>
            <w:r>
              <w:rPr>
                <w:rFonts w:hint="eastAsia" w:ascii="仿宋" w:hAnsi="仿宋" w:eastAsia="仿宋" w:cs="仿宋"/>
                <w:sz w:val="28"/>
                <w:szCs w:val="28"/>
              </w:rPr>
              <w:t>策满意，计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exac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社会公众满意度</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（4分）</w:t>
            </w:r>
          </w:p>
        </w:tc>
        <w:tc>
          <w:tcPr>
            <w:tcW w:w="5750" w:type="dxa"/>
            <w:tcBorders>
              <w:top w:val="single" w:color="000000" w:sz="6" w:space="0"/>
            </w:tcBorders>
            <w:noWrap w:val="0"/>
            <w:vAlign w:val="center"/>
          </w:tcPr>
          <w:p>
            <w:pPr>
              <w:tabs>
                <w:tab w:val="left" w:pos="1980"/>
              </w:tabs>
              <w:snapToGrid w:val="0"/>
              <w:rPr>
                <w:rFonts w:hint="eastAsia" w:ascii="仿宋" w:hAnsi="仿宋" w:eastAsia="仿宋" w:cs="仿宋"/>
                <w:sz w:val="28"/>
                <w:szCs w:val="28"/>
              </w:rPr>
            </w:pPr>
            <w:r>
              <w:rPr>
                <w:rFonts w:hint="eastAsia" w:ascii="仿宋" w:hAnsi="仿宋" w:eastAsia="仿宋" w:cs="仿宋"/>
                <w:sz w:val="28"/>
                <w:szCs w:val="28"/>
                <w:lang w:val="en-US" w:eastAsia="zh-CN"/>
              </w:rPr>
              <w:t>合格问卷调查样本量中，对林场护林育林及事务管理政策满意的样本量为88.2%，计3分。</w:t>
            </w:r>
          </w:p>
        </w:tc>
        <w:tc>
          <w:tcPr>
            <w:tcW w:w="1124"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总分</w:t>
            </w:r>
          </w:p>
        </w:tc>
        <w:tc>
          <w:tcPr>
            <w:tcW w:w="7145" w:type="dxa"/>
            <w:gridSpan w:val="2"/>
            <w:noWrap w:val="0"/>
            <w:vAlign w:val="center"/>
          </w:tcPr>
          <w:p>
            <w:pPr>
              <w:tabs>
                <w:tab w:val="left" w:pos="1980"/>
              </w:tabs>
              <w:snapToGrid w:val="0"/>
              <w:jc w:val="center"/>
              <w:rPr>
                <w:rFonts w:hint="eastAsia" w:ascii="仿宋" w:hAnsi="仿宋" w:eastAsia="仿宋" w:cs="仿宋"/>
                <w:sz w:val="28"/>
                <w:szCs w:val="28"/>
              </w:rPr>
            </w:pPr>
          </w:p>
        </w:tc>
        <w:tc>
          <w:tcPr>
            <w:tcW w:w="1124"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sum(D10:D26)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86</w:t>
            </w:r>
            <w:r>
              <w:rPr>
                <w:rFonts w:hint="eastAsia" w:ascii="仿宋" w:hAnsi="仿宋" w:eastAsia="仿宋" w:cs="仿宋"/>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评价等次</w:t>
            </w:r>
          </w:p>
        </w:tc>
        <w:tc>
          <w:tcPr>
            <w:tcW w:w="8269"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□优（90分以上）    ■良（80分-90分）   □中（70分-80分）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□低（60分-70分）   □差（60分以下）</w:t>
            </w:r>
          </w:p>
        </w:tc>
      </w:tr>
    </w:tbl>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仿宋" w:hAnsi="仿宋" w:eastAsia="仿宋" w:cs="仿宋"/>
          <w:sz w:val="28"/>
          <w:szCs w:val="28"/>
        </w:rPr>
        <w:sectPr>
          <w:footerReference r:id="rId5" w:type="first"/>
          <w:headerReference r:id="rId3" w:type="default"/>
          <w:footerReference r:id="rId4" w:type="default"/>
          <w:pgSz w:w="11906" w:h="16838"/>
          <w:pgMar w:top="1701" w:right="1587" w:bottom="1701" w:left="1701" w:header="851" w:footer="992" w:gutter="0"/>
          <w:cols w:space="720" w:num="1"/>
          <w:titlePg/>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both"/>
        <w:textAlignment w:val="auto"/>
        <w:outlineLvl w:val="9"/>
        <w:rPr>
          <w:rFonts w:hint="eastAsia" w:ascii="仿宋" w:hAnsi="仿宋" w:eastAsia="仿宋" w:cs="仿宋"/>
          <w:spacing w:val="-8"/>
          <w:sz w:val="36"/>
          <w:szCs w:val="36"/>
          <w:lang w:eastAsia="zh-CN"/>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snapToGrid w:val="0"/>
        <w:spacing w:afterAutospacing="0" w:line="240" w:lineRule="auto"/>
        <w:jc w:val="center"/>
        <w:textAlignment w:val="auto"/>
        <w:outlineLvl w:val="9"/>
        <w:rPr>
          <w:rFonts w:hint="eastAsia" w:ascii="仿宋" w:hAnsi="仿宋" w:eastAsia="仿宋" w:cs="仿宋"/>
          <w:spacing w:val="-8"/>
          <w:sz w:val="28"/>
          <w:szCs w:val="28"/>
        </w:rPr>
      </w:pPr>
      <w:r>
        <w:rPr>
          <w:rFonts w:hint="eastAsia" w:ascii="仿宋" w:hAnsi="仿宋" w:eastAsia="仿宋" w:cs="仿宋"/>
          <w:spacing w:val="-8"/>
          <w:sz w:val="36"/>
          <w:szCs w:val="36"/>
          <w:lang w:eastAsia="zh-CN"/>
        </w:rPr>
        <w:t>护林育林及林场管理</w:t>
      </w:r>
      <w:r>
        <w:rPr>
          <w:rFonts w:hint="eastAsia" w:ascii="仿宋" w:hAnsi="仿宋" w:eastAsia="仿宋" w:cs="仿宋"/>
          <w:spacing w:val="-8"/>
          <w:sz w:val="36"/>
          <w:szCs w:val="36"/>
        </w:rPr>
        <w:t>绩效评价指标评分表</w:t>
      </w:r>
    </w:p>
    <w:tbl>
      <w:tblPr>
        <w:tblStyle w:val="6"/>
        <w:tblW w:w="8522" w:type="dxa"/>
        <w:jc w:val="center"/>
        <w:tblInd w:w="0" w:type="dxa"/>
        <w:tblLayout w:type="fixed"/>
        <w:tblCellMar>
          <w:top w:w="15" w:type="dxa"/>
          <w:left w:w="15" w:type="dxa"/>
          <w:bottom w:w="15" w:type="dxa"/>
          <w:right w:w="15" w:type="dxa"/>
        </w:tblCellMar>
      </w:tblPr>
      <w:tblGrid>
        <w:gridCol w:w="494"/>
        <w:gridCol w:w="503"/>
        <w:gridCol w:w="724"/>
        <w:gridCol w:w="2095"/>
        <w:gridCol w:w="450"/>
        <w:gridCol w:w="3124"/>
        <w:gridCol w:w="337"/>
        <w:gridCol w:w="402"/>
        <w:gridCol w:w="393"/>
      </w:tblGrid>
      <w:tr>
        <w:tblPrEx>
          <w:tblLayout w:type="fixed"/>
          <w:tblCellMar>
            <w:top w:w="15" w:type="dxa"/>
            <w:left w:w="15" w:type="dxa"/>
            <w:bottom w:w="15" w:type="dxa"/>
            <w:right w:w="15" w:type="dxa"/>
          </w:tblCellMar>
        </w:tblPrEx>
        <w:trPr>
          <w:trHeight w:val="599" w:hRule="atLeast"/>
          <w:tblHeader/>
          <w:jc w:val="center"/>
        </w:trPr>
        <w:tc>
          <w:tcPr>
            <w:tcW w:w="49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一级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50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二级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三级指标</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 w:hAnsi="仿宋" w:eastAsia="仿宋" w:cs="仿宋"/>
                <w:b/>
                <w:kern w:val="0"/>
                <w:sz w:val="20"/>
                <w:szCs w:val="20"/>
              </w:rPr>
            </w:pPr>
            <w:r>
              <w:rPr>
                <w:rFonts w:hint="eastAsia" w:ascii="仿宋" w:hAnsi="仿宋" w:eastAsia="仿宋" w:cs="仿宋"/>
                <w:b/>
                <w:kern w:val="0"/>
                <w:sz w:val="20"/>
                <w:szCs w:val="20"/>
              </w:rPr>
              <w:t>指标解释</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分值</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评价内容与计分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单位</w:t>
            </w:r>
          </w:p>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自评</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sz w:val="20"/>
                <w:szCs w:val="20"/>
              </w:rPr>
              <w:t>评价</w:t>
            </w:r>
          </w:p>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sz w:val="20"/>
                <w:szCs w:val="20"/>
              </w:rPr>
              <w:t>得分</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p>
        </w:tc>
      </w:tr>
      <w:tr>
        <w:tblPrEx>
          <w:tblLayout w:type="fixed"/>
          <w:tblCellMar>
            <w:top w:w="15" w:type="dxa"/>
            <w:left w:w="15" w:type="dxa"/>
            <w:bottom w:w="15" w:type="dxa"/>
            <w:right w:w="15" w:type="dxa"/>
          </w:tblCellMar>
        </w:tblPrEx>
        <w:trPr>
          <w:trHeight w:val="448"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决策</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40" w:lineRule="auto"/>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目标</w:t>
            </w:r>
          </w:p>
          <w:p>
            <w:pPr>
              <w:widowControl/>
              <w:spacing w:line="240" w:lineRule="auto"/>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设定</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18</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规范性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申</w:t>
            </w:r>
            <w:r>
              <w:rPr>
                <w:rFonts w:hint="eastAsia" w:ascii="仿宋" w:hAnsi="仿宋" w:eastAsia="仿宋" w:cs="仿宋"/>
                <w:kern w:val="0"/>
                <w:sz w:val="20"/>
                <w:szCs w:val="20"/>
              </w:rPr>
              <w:t>请、设立过程是否符合相关要求，用以反映和考核</w:t>
            </w:r>
            <w:r>
              <w:rPr>
                <w:rFonts w:hint="eastAsia" w:ascii="仿宋" w:hAnsi="仿宋" w:eastAsia="仿宋" w:cs="仿宋"/>
                <w:kern w:val="0"/>
                <w:sz w:val="20"/>
                <w:szCs w:val="20"/>
                <w:lang w:eastAsia="zh-CN"/>
              </w:rPr>
              <w:t>绩效目标</w:t>
            </w:r>
            <w:r>
              <w:rPr>
                <w:rFonts w:hint="eastAsia" w:ascii="仿宋" w:hAnsi="仿宋" w:eastAsia="仿宋" w:cs="仿宋"/>
                <w:kern w:val="0"/>
                <w:sz w:val="20"/>
                <w:szCs w:val="20"/>
              </w:rPr>
              <w:t>的规范情况。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按照规定的程序申请设立，计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0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所提交的文件、材料符合相关要求，计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3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事前经过必要性和可行性研究、专家论证、风险评估、集体决策等的，计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分，每缺一项扣0.5分；扣完为止。</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65"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合理性</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所设定的绩效目标是否依椐充分，是否符合客观实际，用以反映和考核绩效目标与实施的相符情况。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符合国家法律法规、国民经济发展规划和党委政府决策的计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67"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实施单位或委托单位职责密切相关的计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指标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明确性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依椐绩效目标设定的绩效指标是否清晰、细化、可衡量等，用以反映和考核绩效目标的明细化情况。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将绩效目标细化分解为具体的绩效指标的计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9"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绩效指标进行了量化的计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0"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与年度任务数或计划数相对应的计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54"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与预计确定的投资额或资金量相匹配的计2分，否则计0分。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资金</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落实</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rPr>
              <w:t>1</w:t>
            </w:r>
            <w:r>
              <w:rPr>
                <w:rFonts w:hint="eastAsia" w:ascii="仿宋" w:hAnsi="仿宋" w:eastAsia="仿宋" w:cs="仿宋"/>
                <w:b/>
                <w:kern w:val="0"/>
                <w:sz w:val="20"/>
                <w:szCs w:val="20"/>
                <w:lang w:val="en-US" w:eastAsia="zh-CN"/>
              </w:rPr>
              <w:t>2</w:t>
            </w:r>
            <w:r>
              <w:rPr>
                <w:rFonts w:hint="eastAsia" w:ascii="仿宋" w:hAnsi="仿宋" w:eastAsia="仿宋" w:cs="仿宋"/>
                <w:b/>
                <w:kern w:val="0"/>
                <w:sz w:val="20"/>
                <w:szCs w:val="20"/>
              </w:rPr>
              <w:t>分</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实际到位资金与计划投入资金的比率，用以反映和考核资金落实情况对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w:t>
            </w:r>
            <w:r>
              <w:rPr>
                <w:rFonts w:hint="eastAsia" w:ascii="仿宋" w:hAnsi="仿宋" w:eastAsia="仿宋" w:cs="仿宋"/>
                <w:kern w:val="0"/>
                <w:sz w:val="20"/>
                <w:szCs w:val="20"/>
                <w:lang w:eastAsia="zh-CN"/>
              </w:rPr>
              <w:t>总体保障程度。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资金到位率=（实际到位资金/计划投入资金）×100%；</w:t>
            </w:r>
          </w:p>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到位资金率得分=到位及时率在75%以上得*5分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到位及时率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及时到位资金与应到位资金的比率，用以反映和考核资金落实的及时性程度。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到位及时率＝（及时到位资金/应到位资金）×100%；到位资金及时率得分=到位及时率80%以上得*5分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14" w:hRule="exac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20" w:lineRule="exact"/>
              <w:textAlignment w:val="center"/>
              <w:rPr>
                <w:rFonts w:hint="eastAsia" w:ascii="仿宋" w:hAnsi="仿宋" w:eastAsia="仿宋" w:cs="仿宋"/>
                <w:b/>
                <w:kern w:val="0"/>
                <w:sz w:val="20"/>
                <w:szCs w:val="20"/>
              </w:rPr>
            </w:pPr>
          </w:p>
          <w:p>
            <w:pPr>
              <w:spacing w:line="220" w:lineRule="exact"/>
              <w:textAlignment w:val="center"/>
              <w:rPr>
                <w:rFonts w:hint="eastAsia" w:ascii="仿宋" w:hAnsi="仿宋" w:eastAsia="仿宋" w:cs="仿宋"/>
                <w:b/>
                <w:kern w:val="0"/>
                <w:sz w:val="20"/>
                <w:szCs w:val="20"/>
              </w:rPr>
            </w:pP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管理</w:t>
            </w:r>
          </w:p>
          <w:p>
            <w:pPr>
              <w:spacing w:line="260" w:lineRule="exact"/>
              <w:jc w:val="center"/>
              <w:textAlignment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4</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业务</w:t>
            </w:r>
          </w:p>
          <w:p>
            <w:pPr>
              <w:spacing w:line="260" w:lineRule="exact"/>
              <w:jc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spacing w:line="260" w:lineRule="exact"/>
              <w:jc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spacing w:line="22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6</w:t>
            </w:r>
            <w:r>
              <w:rPr>
                <w:rFonts w:hint="eastAsia" w:ascii="仿宋" w:hAnsi="仿宋" w:eastAsia="仿宋" w:cs="仿宋"/>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实施单位的业务管理制度是否健全，用以反映和考核业务管评制度对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顺利实施的保障情况。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已按相关要求制定业务管理制度，且制度完善的，计3分；不完善的计1分；未制定的计0分。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0"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业务管理制度是否合理、完整。制度完善</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分，不完善0分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4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b/>
                <w:kern w:val="0"/>
                <w:sz w:val="20"/>
                <w:szCs w:val="20"/>
              </w:rPr>
            </w:pP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制度执行</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实施是否符合相关业务管理规定，用以反映和考核业务管理制度的有效执行情况。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40" w:lineRule="auto"/>
              <w:textAlignment w:val="center"/>
              <w:rPr>
                <w:rFonts w:hint="eastAsia" w:ascii="仿宋" w:hAnsi="仿宋" w:eastAsia="仿宋" w:cs="仿宋"/>
                <w:sz w:val="20"/>
                <w:szCs w:val="20"/>
              </w:rPr>
            </w:pPr>
            <w:r>
              <w:rPr>
                <w:rFonts w:hint="eastAsia" w:ascii="仿宋" w:hAnsi="仿宋" w:eastAsia="仿宋" w:cs="仿宋"/>
                <w:kern w:val="0"/>
                <w:sz w:val="20"/>
                <w:szCs w:val="20"/>
              </w:rPr>
              <w:t>遵守相关法律法规和业务管理规定的计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0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sz w:val="20"/>
                <w:szCs w:val="20"/>
              </w:rPr>
              <w:t>达到预期设定</w:t>
            </w:r>
            <w:r>
              <w:rPr>
                <w:rFonts w:hint="eastAsia" w:ascii="仿宋" w:hAnsi="仿宋" w:eastAsia="仿宋" w:cs="仿宋"/>
                <w:sz w:val="20"/>
                <w:szCs w:val="20"/>
                <w:lang w:eastAsia="zh-CN"/>
              </w:rPr>
              <w:t>目标</w:t>
            </w:r>
            <w:r>
              <w:rPr>
                <w:rFonts w:hint="eastAsia" w:ascii="仿宋" w:hAnsi="仿宋" w:eastAsia="仿宋" w:cs="仿宋"/>
                <w:sz w:val="20"/>
                <w:szCs w:val="20"/>
                <w:lang w:val="en-US" w:eastAsia="zh-CN"/>
              </w:rPr>
              <w:t>4</w:t>
            </w:r>
            <w:r>
              <w:rPr>
                <w:rFonts w:hint="eastAsia" w:ascii="仿宋" w:hAnsi="仿宋" w:eastAsia="仿宋" w:cs="仿宋"/>
                <w:sz w:val="20"/>
                <w:szCs w:val="20"/>
              </w:rPr>
              <w:t>分，达到预期设定数量</w:t>
            </w:r>
            <w:r>
              <w:rPr>
                <w:rFonts w:hint="eastAsia" w:ascii="仿宋" w:hAnsi="仿宋" w:eastAsia="仿宋" w:cs="仿宋"/>
                <w:sz w:val="20"/>
                <w:szCs w:val="20"/>
                <w:lang w:val="en-US" w:eastAsia="zh-CN"/>
              </w:rPr>
              <w:t>85</w:t>
            </w:r>
            <w:r>
              <w:rPr>
                <w:rFonts w:hint="eastAsia" w:ascii="仿宋" w:hAnsi="仿宋" w:eastAsia="仿宋" w:cs="仿宋"/>
                <w:sz w:val="20"/>
                <w:szCs w:val="20"/>
              </w:rPr>
              <w:t>％以上3分，</w:t>
            </w:r>
            <w:r>
              <w:rPr>
                <w:rFonts w:hint="eastAsia" w:ascii="仿宋" w:hAnsi="仿宋" w:eastAsia="仿宋" w:cs="仿宋"/>
                <w:sz w:val="20"/>
                <w:szCs w:val="20"/>
                <w:lang w:val="en-US" w:eastAsia="zh-CN"/>
              </w:rPr>
              <w:t>85</w:t>
            </w:r>
            <w:r>
              <w:rPr>
                <w:rFonts w:hint="eastAsia" w:ascii="仿宋" w:hAnsi="仿宋" w:eastAsia="仿宋" w:cs="仿宋"/>
                <w:sz w:val="20"/>
                <w:szCs w:val="20"/>
              </w:rPr>
              <w:t>％以下2分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402"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07"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实施的人员条件、场地设备，信息支撑等落实到位的，计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58"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可控性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实施是否为达到质量要求而采取了必需的措施，用以反映和考核实施单位对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已制定质量要求或标准的计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采取了相应的质量检查、验收等必需的控制措施或实施手续的，计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2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财务</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实施单位的财务制度是否健全，用以反映和考核财务管理制度对资金规范安全运行的保障情况。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已制定或具有相应的专项资金管理办法的计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专项资金管理办法规范的计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9"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资金使用</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合规性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资金使用是否符合相关的财务管理制度规定，用以反映和考核资金的规范运行情况。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符合国家财经法规和财务管理制度以及专项资金管理办法的计2分，否则计0分。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重大开支经过评估认证的计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0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符合专项资金规定用途的计2分，否则计0分。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9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出现任何一例截留、挤占、挪用、虚列专项资金的，计0分；没有以上情况的，计2分。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财务监督</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实施单位是否为保障资金的安全、规范运行而采取了必要的监督措施，用以反映和考核实施单位对资金运行的控制情况。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制定了相应的监督机制的计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78" w:hRule="atLeast"/>
          <w:jc w:val="center"/>
        </w:trPr>
        <w:tc>
          <w:tcPr>
            <w:tcW w:w="49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是否进行相应的财务检查等必要的监督措施或检查工作；有检查</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分，无检查0分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85" w:hRule="atLeas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项目</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绩效</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预算（成本）控制</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jc w:val="center"/>
              <w:rPr>
                <w:rFonts w:hint="eastAsia" w:ascii="仿宋" w:hAnsi="仿宋" w:eastAsia="仿宋" w:cs="仿宋"/>
                <w:sz w:val="20"/>
                <w:szCs w:val="20"/>
              </w:rPr>
            </w:pPr>
            <w:r>
              <w:rPr>
                <w:rFonts w:hint="eastAsia" w:ascii="仿宋" w:hAnsi="仿宋" w:eastAsia="仿宋" w:cs="仿宋"/>
                <w:sz w:val="20"/>
                <w:szCs w:val="20"/>
              </w:rPr>
              <w:t>投资控制</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反映成本（预算）控制、节约情况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不超预算6 分；虽超预算，但经审批，且超出值≥5% 计4分；虽超预算，但经审批，超出值≥10%计2分；超过预算，且超出值＞10%计0分。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32"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auto"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sz w:val="20"/>
                <w:szCs w:val="20"/>
              </w:rPr>
            </w:pPr>
            <w:r>
              <w:rPr>
                <w:rFonts w:hint="eastAsia" w:ascii="仿宋" w:hAnsi="仿宋" w:eastAsia="仿宋" w:cs="仿宋"/>
                <w:b/>
                <w:bCs/>
                <w:sz w:val="20"/>
                <w:szCs w:val="20"/>
              </w:rPr>
              <w:t>完成进度及质量</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进度管理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反映实施进度情况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阶段性目标明确且按时提交任务完成情况（</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虽有延误，但经审批获准延期（</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74"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达到预期质量要求为6分,大部分达到预期要求为4分,基本达到预期要求为2分，未达到预期质量要求为0分。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9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503" w:type="dxa"/>
            <w:tcBorders>
              <w:top w:val="single" w:color="000000" w:sz="4" w:space="0"/>
              <w:left w:val="single" w:color="000000" w:sz="4" w:space="0"/>
              <w:bottom w:val="single" w:color="000000" w:sz="4" w:space="0"/>
              <w:right w:val="single" w:color="auto"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可持续发展</w:t>
            </w:r>
          </w:p>
        </w:tc>
        <w:tc>
          <w:tcPr>
            <w:tcW w:w="724" w:type="dxa"/>
            <w:tcBorders>
              <w:top w:val="single" w:color="000000" w:sz="4" w:space="0"/>
              <w:left w:val="single" w:color="auto"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后续管理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反映实施后管理情况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有后续管理措施（</w:t>
            </w: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2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left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b/>
                <w:bCs/>
                <w:sz w:val="20"/>
                <w:szCs w:val="20"/>
              </w:rPr>
            </w:pPr>
            <w:r>
              <w:rPr>
                <w:rFonts w:hint="eastAsia" w:ascii="仿宋" w:hAnsi="仿宋" w:eastAsia="仿宋" w:cs="仿宋"/>
                <w:b/>
                <w:bCs/>
                <w:sz w:val="20"/>
                <w:szCs w:val="20"/>
              </w:rPr>
              <w:t>社会效益</w:t>
            </w:r>
          </w:p>
        </w:tc>
        <w:tc>
          <w:tcPr>
            <w:tcW w:w="724"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社会责任</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社会公众或服务对象对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w:t>
            </w:r>
            <w:r>
              <w:rPr>
                <w:rFonts w:hint="eastAsia" w:ascii="仿宋" w:hAnsi="仿宋" w:eastAsia="仿宋" w:cs="仿宋"/>
                <w:kern w:val="0"/>
                <w:sz w:val="20"/>
                <w:szCs w:val="20"/>
                <w:lang w:eastAsia="zh-CN"/>
              </w:rPr>
              <w:t>政</w:t>
            </w:r>
            <w:r>
              <w:rPr>
                <w:rFonts w:hint="eastAsia" w:ascii="仿宋" w:hAnsi="仿宋" w:eastAsia="仿宋" w:cs="仿宋"/>
                <w:kern w:val="0"/>
                <w:sz w:val="20"/>
                <w:szCs w:val="20"/>
              </w:rPr>
              <w:t>策的满意程度，问卷调查。</w:t>
            </w:r>
          </w:p>
        </w:tc>
        <w:tc>
          <w:tcPr>
            <w:tcW w:w="450"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严格履行国家劳保制度（2分）；有施工安全制度和员工安全防护措施（</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分）；施工单位无拖欠、克扣农民工工资现象（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531" w:hRule="atLeast"/>
          <w:jc w:val="center"/>
        </w:trPr>
        <w:tc>
          <w:tcPr>
            <w:tcW w:w="494" w:type="dxa"/>
            <w:vMerge w:val="continue"/>
            <w:tcBorders>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auto"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724"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社会公众</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满意度</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反映</w:t>
            </w:r>
            <w:r>
              <w:rPr>
                <w:rFonts w:hint="eastAsia" w:ascii="仿宋" w:hAnsi="仿宋" w:eastAsia="仿宋" w:cs="仿宋"/>
                <w:kern w:val="0"/>
                <w:sz w:val="20"/>
                <w:szCs w:val="20"/>
              </w:rPr>
              <w:t>服务对象对项目实施效果的满意程度。</w:t>
            </w:r>
          </w:p>
        </w:tc>
        <w:tc>
          <w:tcPr>
            <w:tcW w:w="450"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根据当地</w:t>
            </w:r>
            <w:r>
              <w:rPr>
                <w:rFonts w:hint="eastAsia" w:ascii="仿宋" w:hAnsi="仿宋" w:eastAsia="仿宋" w:cs="仿宋"/>
                <w:kern w:val="0"/>
                <w:sz w:val="20"/>
                <w:szCs w:val="20"/>
                <w:lang w:eastAsia="zh-CN"/>
              </w:rPr>
              <w:t>村</w:t>
            </w:r>
            <w:r>
              <w:rPr>
                <w:rFonts w:hint="eastAsia" w:ascii="仿宋" w:hAnsi="仿宋" w:eastAsia="仿宋" w:cs="仿宋"/>
                <w:kern w:val="0"/>
                <w:sz w:val="20"/>
                <w:szCs w:val="20"/>
              </w:rPr>
              <w:t>民对该项目满意程度问卷调查结论：≥90%（4分）；80%-90%（3分）；70%-80%（2分）；60%-70%（1分）；60%以下（0分）。</w:t>
            </w:r>
          </w:p>
        </w:tc>
        <w:tc>
          <w:tcPr>
            <w:tcW w:w="337"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4" w:hRule="atLeast"/>
          <w:jc w:val="center"/>
        </w:trPr>
        <w:tc>
          <w:tcPr>
            <w:tcW w:w="997" w:type="dxa"/>
            <w:gridSpan w:val="2"/>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b/>
                <w:bCs/>
                <w:sz w:val="20"/>
                <w:szCs w:val="20"/>
              </w:rPr>
              <w:t>合计得分</w:t>
            </w:r>
          </w:p>
        </w:tc>
        <w:tc>
          <w:tcPr>
            <w:tcW w:w="724"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p>
        </w:tc>
        <w:tc>
          <w:tcPr>
            <w:tcW w:w="2095"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100</w:t>
            </w:r>
          </w:p>
        </w:tc>
        <w:tc>
          <w:tcPr>
            <w:tcW w:w="3124"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p>
        </w:tc>
        <w:tc>
          <w:tcPr>
            <w:tcW w:w="337"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r>
              <w:rPr>
                <w:rFonts w:hint="eastAsia" w:ascii="仿宋" w:hAnsi="仿宋" w:eastAsia="仿宋" w:cs="仿宋"/>
                <w:kern w:val="0"/>
                <w:sz w:val="20"/>
                <w:szCs w:val="20"/>
                <w:lang w:val="en-US" w:eastAsia="zh-CN"/>
              </w:rPr>
              <w:t>100</w:t>
            </w:r>
          </w:p>
        </w:tc>
        <w:tc>
          <w:tcPr>
            <w:tcW w:w="402"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86</w:t>
            </w:r>
          </w:p>
        </w:tc>
        <w:tc>
          <w:tcPr>
            <w:tcW w:w="393"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bl>
    <w:p>
      <w:pPr>
        <w:rPr>
          <w:rFonts w:hint="eastAsia" w:ascii="仿宋" w:hAnsi="仿宋" w:eastAsia="仿宋" w:cs="仿宋"/>
        </w:rPr>
      </w:pPr>
    </w:p>
    <w:bookmarkEnd w:id="0"/>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宋体" w:hAnsi="宋体"/>
          <w:sz w:val="28"/>
          <w:szCs w:val="28"/>
        </w:rPr>
      </w:pPr>
    </w:p>
    <w:p>
      <w:pPr>
        <w:keepNext w:val="0"/>
        <w:keepLines w:val="0"/>
        <w:pageBreakBefore w:val="0"/>
        <w:widowControl/>
        <w:kinsoku/>
        <w:wordWrap/>
        <w:overflowPunct/>
        <w:topLinePunct w:val="0"/>
        <w:autoSpaceDE/>
        <w:autoSpaceDN/>
        <w:bidi w:val="0"/>
        <w:spacing w:line="560" w:lineRule="exact"/>
        <w:ind w:left="-220" w:leftChars="-100" w:right="-440" w:rightChars="-200"/>
        <w:textAlignment w:val="auto"/>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31"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552B2"/>
    <w:rsid w:val="00323B43"/>
    <w:rsid w:val="003D37D8"/>
    <w:rsid w:val="00426133"/>
    <w:rsid w:val="004358AB"/>
    <w:rsid w:val="00476FAC"/>
    <w:rsid w:val="00573EB5"/>
    <w:rsid w:val="00701639"/>
    <w:rsid w:val="008124B1"/>
    <w:rsid w:val="0081720D"/>
    <w:rsid w:val="0082476E"/>
    <w:rsid w:val="00872FC9"/>
    <w:rsid w:val="00897D5D"/>
    <w:rsid w:val="008B7726"/>
    <w:rsid w:val="00D31D50"/>
    <w:rsid w:val="00D85D16"/>
    <w:rsid w:val="00DA640B"/>
    <w:rsid w:val="00DE3480"/>
    <w:rsid w:val="00F25013"/>
    <w:rsid w:val="00F27DF0"/>
    <w:rsid w:val="1C760710"/>
    <w:rsid w:val="37721F97"/>
    <w:rsid w:val="39F0132B"/>
    <w:rsid w:val="4B384C6D"/>
    <w:rsid w:val="4CE67764"/>
    <w:rsid w:val="4FD46963"/>
    <w:rsid w:val="59570A49"/>
    <w:rsid w:val="59C6661E"/>
    <w:rsid w:val="5C6863DC"/>
    <w:rsid w:val="62C342F6"/>
    <w:rsid w:val="68FC709C"/>
    <w:rsid w:val="6DA666DA"/>
    <w:rsid w:val="7866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标题 1 Char"/>
    <w:basedOn w:val="5"/>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1374</Characters>
  <Lines>11</Lines>
  <Paragraphs>3</Paragraphs>
  <TotalTime>5</TotalTime>
  <ScaleCrop>false</ScaleCrop>
  <LinksUpToDate>false</LinksUpToDate>
  <CharactersWithSpaces>1611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2018-12-07T01:17:00Z</cp:lastPrinted>
  <dcterms:modified xsi:type="dcterms:W3CDTF">2019-01-03T01:31:50Z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