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新邵县医疗和生育保险基金管理站2019年度部门整体支出绩效自评报告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jc w:val="left"/>
      </w:pPr>
      <w:r>
        <w:rPr>
          <w:rFonts w:hint="eastAsia" w:ascii="宋体" w:hAnsi="宋体" w:eastAsia="宋体" w:cs="宋体"/>
          <w:i w:val="0"/>
          <w:caps w:val="0"/>
          <w:color w:val="1E1E1E"/>
          <w:spacing w:val="-10"/>
          <w:kern w:val="0"/>
          <w:sz w:val="28"/>
          <w:szCs w:val="28"/>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50" w:lineRule="atLeast"/>
        <w:ind w:left="392" w:right="0" w:firstLine="390"/>
        <w:jc w:val="left"/>
      </w:pPr>
      <w:r>
        <w:rPr>
          <w:rFonts w:hint="eastAsia" w:ascii="宋体" w:hAnsi="宋体" w:eastAsia="宋体" w:cs="宋体"/>
          <w:i w:val="0"/>
          <w:caps w:val="0"/>
          <w:color w:val="1E1E1E"/>
          <w:spacing w:val="-10"/>
          <w:kern w:val="0"/>
          <w:sz w:val="28"/>
          <w:szCs w:val="28"/>
          <w:shd w:val="clear" w:fill="FFFFFF"/>
          <w:lang w:val="en-US" w:eastAsia="zh-CN" w:bidi="ar"/>
        </w:rPr>
        <w:t>（一）基本情况：</w:t>
      </w:r>
      <w:r>
        <w:rPr>
          <w:rFonts w:hint="eastAsia" w:ascii="宋体" w:hAnsi="宋体" w:eastAsia="宋体" w:cs="宋体"/>
          <w:i w:val="0"/>
          <w:caps w:val="0"/>
          <w:color w:val="1E1E1E"/>
          <w:spacing w:val="0"/>
          <w:kern w:val="0"/>
          <w:sz w:val="28"/>
          <w:szCs w:val="28"/>
          <w:shd w:val="clear" w:fill="FFFFFF"/>
          <w:lang w:val="en-US" w:eastAsia="zh-CN" w:bidi="ar"/>
        </w:rPr>
        <w:t>根据编委核定，2019年我站内设股室6个，2018年末我站共有编制10人，实有人数23人，其中在职人员18人；退休人员5人内设股室分别是办公室、审批股、财务股、征缴股、生育保险管理股、信息股。 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164" w:right="0" w:firstLine="650"/>
        <w:jc w:val="left"/>
      </w:pPr>
      <w:r>
        <w:rPr>
          <w:rFonts w:hint="eastAsia" w:ascii="宋体" w:hAnsi="宋体" w:eastAsia="宋体" w:cs="宋体"/>
          <w:i w:val="0"/>
          <w:caps w:val="0"/>
          <w:color w:val="1E1E1E"/>
          <w:spacing w:val="-10"/>
          <w:kern w:val="0"/>
          <w:sz w:val="28"/>
          <w:szCs w:val="28"/>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1、负责贯彻实施全县城镇职工、生育保险、补充医疗保险的法规政策。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2、负责全县城镇职工、生育保险、补充医疗保险基金的筹集、管理、和支付。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3、负责建立城镇职工、生育保险基金预决算制度、财务会计制度的内部审计制度。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4、负责编制本辖区内城镇职工基本医疗保险、生育保险、补充医疗保险的预决算，上报各项基金的各类财务、统计报表。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5、负责各类参保对象的医疗保险保障待遇的落实。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6、负责医疗、生育保险信息统计工作。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7、负责与城镇职工基本医疗保险、生育保险定点医疗机构、定点药店签订医疗保险、生育保险服务协议，并确保服务协议的履行；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8、负责全县医保经办人员业务培训，提高医保服务水平。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9、承办县人力资源和社会保障局交办的其他事项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rPr>
          <w:rFonts w:hint="eastAsia" w:ascii="宋体" w:hAnsi="宋体" w:eastAsia="宋体" w:cs="宋体"/>
          <w:i w:val="0"/>
          <w:caps w:val="0"/>
          <w:color w:val="1E1E1E"/>
          <w:spacing w:val="-10"/>
          <w:kern w:val="0"/>
          <w:sz w:val="28"/>
          <w:szCs w:val="28"/>
          <w:lang w:val="en-US" w:eastAsia="zh-CN" w:bidi="ar"/>
        </w:rPr>
      </w:pPr>
      <w:r>
        <w:rPr>
          <w:rFonts w:hint="eastAsia" w:ascii="宋体" w:hAnsi="宋体" w:eastAsia="宋体" w:cs="宋体"/>
          <w:i w:val="0"/>
          <w:caps w:val="0"/>
          <w:color w:val="1E1E1E"/>
          <w:spacing w:val="-10"/>
          <w:kern w:val="0"/>
          <w:sz w:val="28"/>
          <w:szCs w:val="28"/>
          <w:lang w:val="en-US" w:eastAsia="zh-CN" w:bidi="ar"/>
        </w:rPr>
        <w:t>1、全面开展对职工医疗保险基金、生育保险基金征缴工作任务。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pPr>
      <w:r>
        <w:rPr>
          <w:rFonts w:hint="eastAsia" w:ascii="宋体" w:hAnsi="宋体" w:eastAsia="宋体" w:cs="宋体"/>
          <w:i w:val="0"/>
          <w:caps w:val="0"/>
          <w:color w:val="1E1E1E"/>
          <w:spacing w:val="-10"/>
          <w:kern w:val="0"/>
          <w:sz w:val="28"/>
          <w:szCs w:val="28"/>
          <w:lang w:val="en-US" w:eastAsia="zh-CN" w:bidi="ar"/>
        </w:rPr>
        <w:t>2、对职工医疗保险基金、生育保险基金的管理。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3、对定点医疗机构的协议管理。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rPr>
          <w:rFonts w:hint="eastAsia" w:ascii="宋体" w:hAnsi="宋体" w:eastAsia="宋体" w:cs="宋体"/>
          <w:i w:val="0"/>
          <w:caps w:val="0"/>
          <w:color w:val="1E1E1E"/>
          <w:spacing w:val="-10"/>
          <w:kern w:val="0"/>
          <w:sz w:val="28"/>
          <w:szCs w:val="28"/>
          <w:lang w:val="en-US" w:eastAsia="zh-CN" w:bidi="ar"/>
        </w:rPr>
      </w:pPr>
      <w:r>
        <w:rPr>
          <w:rFonts w:hint="eastAsia" w:ascii="宋体" w:hAnsi="宋体" w:eastAsia="宋体" w:cs="宋体"/>
          <w:i w:val="0"/>
          <w:caps w:val="0"/>
          <w:color w:val="1E1E1E"/>
          <w:spacing w:val="-10"/>
          <w:kern w:val="0"/>
          <w:sz w:val="28"/>
          <w:szCs w:val="28"/>
          <w:lang w:val="en-US" w:eastAsia="zh-CN" w:bidi="ar"/>
        </w:rPr>
        <w:t>4、对本单位干部职工根据工作需要不定期举行新政策学习培训。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562" w:right="0" w:firstLine="0"/>
        <w:jc w:val="left"/>
      </w:pPr>
      <w:r>
        <w:rPr>
          <w:rFonts w:hint="eastAsia" w:ascii="宋体" w:hAnsi="宋体" w:eastAsia="宋体" w:cs="宋体"/>
          <w:i w:val="0"/>
          <w:caps w:val="0"/>
          <w:color w:val="1E1E1E"/>
          <w:spacing w:val="-10"/>
          <w:kern w:val="0"/>
          <w:sz w:val="28"/>
          <w:szCs w:val="28"/>
          <w:lang w:val="en-US" w:eastAsia="zh-CN" w:bidi="ar"/>
        </w:rPr>
        <w:t>5、县委、县政府、县人社局交办的其他的工作任务。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jc w:val="left"/>
      </w:pPr>
      <w:r>
        <w:rPr>
          <w:rFonts w:hint="eastAsia" w:ascii="宋体" w:hAnsi="宋体" w:eastAsia="宋体" w:cs="宋体"/>
          <w:i w:val="0"/>
          <w:caps w:val="0"/>
          <w:color w:val="1E1E1E"/>
          <w:spacing w:val="-10"/>
          <w:kern w:val="0"/>
          <w:sz w:val="28"/>
          <w:szCs w:val="28"/>
          <w:lang w:val="en-US" w:eastAsia="zh-CN" w:bidi="ar"/>
        </w:rPr>
        <w:t>（一）年度预算收支情况</w:t>
      </w:r>
    </w:p>
    <w:tbl>
      <w:tblPr>
        <w:tblStyle w:val="5"/>
        <w:tblW w:w="0" w:type="auto"/>
        <w:jc w:val="center"/>
        <w:shd w:val="clear" w:color="auto" w:fill="auto"/>
        <w:tblLayout w:type="autofit"/>
        <w:tblCellMar>
          <w:top w:w="0" w:type="dxa"/>
          <w:left w:w="0" w:type="dxa"/>
          <w:bottom w:w="0" w:type="dxa"/>
          <w:right w:w="0" w:type="dxa"/>
        </w:tblCellMar>
      </w:tblPr>
      <w:tblGrid>
        <w:gridCol w:w="2080"/>
        <w:gridCol w:w="1705"/>
        <w:gridCol w:w="1583"/>
        <w:gridCol w:w="1615"/>
        <w:gridCol w:w="1539"/>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40"/>
              <w:jc w:val="center"/>
              <w:textAlignment w:val="center"/>
            </w:pPr>
            <w:r>
              <w:rPr>
                <w:rFonts w:hint="eastAsia" w:ascii="宋体" w:hAnsi="宋体" w:eastAsia="宋体" w:cs="宋体"/>
                <w:color w:val="000000"/>
                <w:kern w:val="0"/>
                <w:sz w:val="28"/>
                <w:szCs w:val="28"/>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firstLine="548"/>
              <w:jc w:val="center"/>
              <w:textAlignment w:val="center"/>
            </w:pPr>
            <w:r>
              <w:rPr>
                <w:rFonts w:hint="eastAsia" w:ascii="宋体" w:hAnsi="宋体" w:eastAsia="宋体" w:cs="宋体"/>
                <w:color w:val="000000"/>
                <w:kern w:val="0"/>
                <w:sz w:val="28"/>
                <w:szCs w:val="28"/>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
              <w:jc w:val="center"/>
              <w:textAlignment w:val="center"/>
            </w:pPr>
            <w:r>
              <w:rPr>
                <w:rFonts w:hint="eastAsia" w:ascii="宋体" w:hAnsi="宋体" w:eastAsia="宋体" w:cs="宋体"/>
                <w:color w:val="000000"/>
                <w:kern w:val="0"/>
                <w:sz w:val="28"/>
                <w:szCs w:val="28"/>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5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2019年</w:t>
            </w:r>
          </w:p>
        </w:tc>
        <w:tc>
          <w:tcPr>
            <w:tcW w:w="160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2018年</w:t>
            </w:r>
          </w:p>
        </w:tc>
        <w:tc>
          <w:tcPr>
            <w:tcW w:w="163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1" w:right="0" w:hanging="140"/>
              <w:jc w:val="center"/>
              <w:textAlignment w:val="center"/>
            </w:pPr>
            <w:r>
              <w:rPr>
                <w:rFonts w:hint="eastAsia" w:ascii="宋体" w:hAnsi="宋体" w:eastAsia="宋体" w:cs="宋体"/>
                <w:color w:val="000000"/>
                <w:kern w:val="0"/>
                <w:sz w:val="28"/>
                <w:szCs w:val="28"/>
                <w:lang w:val="en-US" w:eastAsia="zh-CN" w:bidi="ar"/>
              </w:rPr>
              <w:t>金额</w:t>
            </w:r>
          </w:p>
        </w:tc>
        <w:tc>
          <w:tcPr>
            <w:tcW w:w="1552"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color w:val="000000"/>
                <w:kern w:val="0"/>
                <w:sz w:val="28"/>
                <w:szCs w:val="28"/>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收入预算</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shd w:val="clear" w:color="auto" w:fill="auto"/>
          <w:tblCellMar>
            <w:top w:w="0" w:type="dxa"/>
            <w:left w:w="0" w:type="dxa"/>
            <w:bottom w:w="0" w:type="dxa"/>
            <w:right w:w="0" w:type="dxa"/>
          </w:tblCellMar>
        </w:tblPrEx>
        <w:trPr>
          <w:trHeight w:val="107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其中：财政经费拨款</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支出预算</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576</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6228.3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-5652.3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-90.75%</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其中：基本支出</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181</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218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-37</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-16.97%</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color w:val="000000"/>
                <w:kern w:val="0"/>
                <w:sz w:val="28"/>
                <w:szCs w:val="28"/>
                <w:lang w:val="en-US" w:eastAsia="zh-CN" w:bidi="ar"/>
              </w:rPr>
              <w:t>其中：项目支出</w:t>
            </w:r>
          </w:p>
        </w:tc>
        <w:tc>
          <w:tcPr>
            <w:tcW w:w="17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395</w:t>
            </w:r>
          </w:p>
        </w:tc>
        <w:tc>
          <w:tcPr>
            <w:tcW w:w="16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6010.3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-5615.3</w:t>
            </w:r>
          </w:p>
        </w:tc>
        <w:tc>
          <w:tcPr>
            <w:tcW w:w="15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6"/>
              <w:jc w:val="center"/>
            </w:pPr>
            <w:r>
              <w:rPr>
                <w:rFonts w:hint="eastAsia" w:ascii="宋体" w:hAnsi="宋体" w:eastAsia="宋体" w:cs="宋体"/>
                <w:color w:val="000000"/>
                <w:kern w:val="0"/>
                <w:sz w:val="28"/>
                <w:szCs w:val="28"/>
                <w:lang w:val="en-US" w:eastAsia="zh-CN" w:bidi="ar"/>
              </w:rPr>
              <w:t>-93.43%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b/>
          <w:i w:val="0"/>
          <w:caps w:val="0"/>
          <w:color w:val="000000"/>
          <w:spacing w:val="0"/>
          <w:sz w:val="28"/>
          <w:szCs w:val="28"/>
        </w:rPr>
        <w:t>1.年初预算收支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50" w:lineRule="atLeast"/>
        <w:ind w:left="420" w:right="0" w:hanging="420"/>
        <w:jc w:val="left"/>
      </w:pPr>
      <w:r>
        <w:rPr>
          <w:rFonts w:hint="eastAsia" w:ascii="宋体" w:hAnsi="宋体" w:eastAsia="宋体" w:cs="宋体"/>
          <w:i w:val="0"/>
          <w:caps w:val="0"/>
          <w:color w:val="1E1E1E"/>
          <w:spacing w:val="0"/>
          <w:kern w:val="0"/>
          <w:sz w:val="28"/>
          <w:szCs w:val="28"/>
          <w:shd w:val="clear" w:fill="FFFFFF"/>
          <w:lang w:val="en-US" w:eastAsia="zh-CN" w:bidi="ar"/>
        </w:rPr>
        <w:t>      2019年行政事业单位医保费已移交税务，不在本单位预算。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99"/>
        <w:gridCol w:w="1772"/>
        <w:gridCol w:w="1349"/>
        <w:gridCol w:w="2412"/>
      </w:tblGrid>
      <w:tr>
        <w:tblPrEx>
          <w:tblCellMar>
            <w:top w:w="0" w:type="dxa"/>
            <w:left w:w="0" w:type="dxa"/>
            <w:bottom w:w="0" w:type="dxa"/>
            <w:right w:w="0" w:type="dxa"/>
          </w:tblCellMar>
        </w:tblPrEx>
        <w:trPr>
          <w:trHeight w:val="202" w:hRule="atLeast"/>
          <w:jc w:val="center"/>
        </w:trPr>
        <w:tc>
          <w:tcPr>
            <w:tcW w:w="289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支出项目</w:t>
            </w:r>
          </w:p>
        </w:tc>
        <w:tc>
          <w:tcPr>
            <w:tcW w:w="177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基本支出</w:t>
            </w:r>
          </w:p>
        </w:tc>
        <w:tc>
          <w:tcPr>
            <w:tcW w:w="134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项目支出</w:t>
            </w:r>
          </w:p>
        </w:tc>
        <w:tc>
          <w:tcPr>
            <w:tcW w:w="241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合计</w:t>
            </w:r>
          </w:p>
        </w:tc>
      </w:tr>
      <w:tr>
        <w:tblPrEx>
          <w:shd w:val="clear" w:color="auto" w:fill="auto"/>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工资福利支出</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r>
      <w:tr>
        <w:tblPrEx>
          <w:shd w:val="clear" w:color="auto" w:fill="auto"/>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商品和服务支出</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32</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427</w:t>
            </w:r>
          </w:p>
        </w:tc>
      </w:tr>
      <w:tr>
        <w:tblPrEx>
          <w:shd w:val="clear" w:color="auto" w:fill="auto"/>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对个人和家庭的补助</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r>
      <w:tr>
        <w:tblPrEx>
          <w:tblCellMar>
            <w:top w:w="0" w:type="dxa"/>
            <w:left w:w="0" w:type="dxa"/>
            <w:bottom w:w="0" w:type="dxa"/>
            <w:right w:w="0" w:type="dxa"/>
          </w:tblCellMar>
        </w:tblPrEx>
        <w:trPr>
          <w:trHeight w:val="320" w:hRule="atLeast"/>
          <w:jc w:val="center"/>
        </w:trPr>
        <w:tc>
          <w:tcPr>
            <w:tcW w:w="28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3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1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tblCellMar>
            <w:top w:w="0" w:type="dxa"/>
            <w:left w:w="0" w:type="dxa"/>
            <w:bottom w:w="0" w:type="dxa"/>
            <w:right w:w="0" w:type="dxa"/>
          </w:tblCellMar>
        </w:tblPrEx>
        <w:trPr>
          <w:trHeight w:val="342" w:hRule="atLeast"/>
          <w:jc w:val="center"/>
        </w:trPr>
        <w:tc>
          <w:tcPr>
            <w:tcW w:w="289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合 计</w:t>
            </w:r>
          </w:p>
        </w:tc>
        <w:tc>
          <w:tcPr>
            <w:tcW w:w="1772"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34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2412"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311</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265</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2.年度预算支出决算及结余</w:t>
      </w:r>
    </w:p>
    <w:tbl>
      <w:tblPr>
        <w:tblStyle w:val="5"/>
        <w:tblW w:w="0" w:type="auto"/>
        <w:jc w:val="center"/>
        <w:shd w:val="clear" w:color="auto" w:fill="auto"/>
        <w:tblLayout w:type="autofit"/>
        <w:tblCellMar>
          <w:top w:w="0" w:type="dxa"/>
          <w:left w:w="0" w:type="dxa"/>
          <w:bottom w:w="0" w:type="dxa"/>
          <w:right w:w="0" w:type="dxa"/>
        </w:tblCellMar>
      </w:tblPr>
      <w:tblGrid>
        <w:gridCol w:w="2106"/>
        <w:gridCol w:w="1704"/>
        <w:gridCol w:w="1812"/>
        <w:gridCol w:w="2208"/>
      </w:tblGrid>
      <w:tr>
        <w:tblPrEx>
          <w:tblCellMar>
            <w:top w:w="0" w:type="dxa"/>
            <w:left w:w="0" w:type="dxa"/>
            <w:bottom w:w="0" w:type="dxa"/>
            <w:right w:w="0" w:type="dxa"/>
          </w:tblCellMar>
        </w:tblPrEx>
        <w:trPr>
          <w:trHeight w:val="517" w:hRule="atLeast"/>
          <w:jc w:val="center"/>
        </w:trPr>
        <w:tc>
          <w:tcPr>
            <w:tcW w:w="210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预算支出类别</w:t>
            </w:r>
          </w:p>
        </w:tc>
        <w:tc>
          <w:tcPr>
            <w:tcW w:w="170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81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20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增减金额</w:t>
            </w:r>
          </w:p>
        </w:tc>
      </w:tr>
      <w:tr>
        <w:tblPrEx>
          <w:shd w:val="clear" w:color="auto" w:fill="auto"/>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基本支出</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128</w:t>
            </w:r>
          </w:p>
        </w:tc>
      </w:tr>
      <w:tr>
        <w:tblPrEx>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项目支出</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0</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-395</w:t>
            </w:r>
          </w:p>
        </w:tc>
      </w:tr>
      <w:tr>
        <w:tblPrEx>
          <w:shd w:val="clear" w:color="auto" w:fill="auto"/>
          <w:tblCellMar>
            <w:top w:w="0" w:type="dxa"/>
            <w:left w:w="0" w:type="dxa"/>
            <w:bottom w:w="0" w:type="dxa"/>
            <w:right w:w="0" w:type="dxa"/>
          </w:tblCellMar>
        </w:tblPrEx>
        <w:trPr>
          <w:trHeight w:val="523" w:hRule="atLeast"/>
          <w:jc w:val="center"/>
        </w:trPr>
        <w:tc>
          <w:tcPr>
            <w:tcW w:w="210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7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81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20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00" w:hRule="atLeast"/>
          <w:jc w:val="center"/>
        </w:trPr>
        <w:tc>
          <w:tcPr>
            <w:tcW w:w="210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小计</w:t>
            </w:r>
          </w:p>
        </w:tc>
        <w:tc>
          <w:tcPr>
            <w:tcW w:w="170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576</w:t>
            </w:r>
          </w:p>
        </w:tc>
        <w:tc>
          <w:tcPr>
            <w:tcW w:w="181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20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-267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bookmarkStart w:id="0" w:name="_Toc419142208"/>
      <w:bookmarkEnd w:id="0"/>
      <w:r>
        <w:rPr>
          <w:rFonts w:hint="eastAsia" w:ascii="宋体" w:hAnsi="宋体" w:eastAsia="宋体" w:cs="宋体"/>
          <w:b w:val="0"/>
          <w:i w:val="0"/>
          <w:caps w:val="0"/>
          <w:color w:val="1E1E1E"/>
          <w:spacing w:val="0"/>
          <w:sz w:val="28"/>
          <w:szCs w:val="28"/>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b w:val="0"/>
          <w:i w:val="0"/>
          <w:caps w:val="0"/>
          <w:color w:val="1E1E1E"/>
          <w:spacing w:val="0"/>
          <w:sz w:val="28"/>
          <w:szCs w:val="28"/>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139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186</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47</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90</w:t>
            </w:r>
          </w:p>
        </w:tc>
      </w:tr>
      <w:tr>
        <w:tblPrEx>
          <w:shd w:val="clear" w:color="auto" w:fill="auto"/>
          <w:tblCellMar>
            <w:top w:w="0" w:type="dxa"/>
            <w:left w:w="0" w:type="dxa"/>
            <w:bottom w:w="0" w:type="dxa"/>
            <w:right w:w="0" w:type="dxa"/>
          </w:tblCellMar>
        </w:tblPrEx>
        <w:trPr>
          <w:trHeight w:val="1126"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 </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181</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309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textAlignment w:val="center"/>
            </w:pPr>
            <w:r>
              <w:rPr>
                <w:rFonts w:hint="eastAsia" w:ascii="宋体" w:hAnsi="宋体" w:eastAsia="宋体" w:cs="宋体"/>
                <w:kern w:val="0"/>
                <w:sz w:val="28"/>
                <w:szCs w:val="28"/>
                <w:lang w:val="en-US" w:eastAsia="zh-CN" w:bidi="ar"/>
              </w:rPr>
              <w:t>128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（1）工资福利支出</w:t>
      </w:r>
    </w:p>
    <w:tbl>
      <w:tblPr>
        <w:tblStyle w:val="5"/>
        <w:tblW w:w="0" w:type="auto"/>
        <w:tblInd w:w="0" w:type="dxa"/>
        <w:shd w:val="clear" w:color="auto" w:fill="auto"/>
        <w:tblLayout w:type="autofit"/>
        <w:tblCellMar>
          <w:top w:w="0" w:type="dxa"/>
          <w:left w:w="0" w:type="dxa"/>
          <w:bottom w:w="0" w:type="dxa"/>
          <w:right w:w="0" w:type="dxa"/>
        </w:tblCellMar>
      </w:tblPr>
      <w:tblGrid>
        <w:gridCol w:w="2495"/>
        <w:gridCol w:w="1393"/>
        <w:gridCol w:w="1282"/>
        <w:gridCol w:w="1347"/>
        <w:gridCol w:w="1819"/>
      </w:tblGrid>
      <w:tr>
        <w:tblPrEx>
          <w:shd w:val="clear" w:color="auto" w:fill="auto"/>
          <w:tblCellMar>
            <w:top w:w="0" w:type="dxa"/>
            <w:left w:w="0" w:type="dxa"/>
            <w:bottom w:w="0" w:type="dxa"/>
            <w:right w:w="0" w:type="dxa"/>
          </w:tblCellMar>
        </w:tblPrEx>
        <w:trPr>
          <w:trHeight w:val="746" w:hRule="atLeast"/>
        </w:trPr>
        <w:tc>
          <w:tcPr>
            <w:tcW w:w="254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费用项目</w:t>
            </w:r>
          </w:p>
        </w:tc>
        <w:tc>
          <w:tcPr>
            <w:tcW w:w="141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预算金额</w:t>
            </w:r>
          </w:p>
        </w:tc>
        <w:tc>
          <w:tcPr>
            <w:tcW w:w="1301"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决算金额</w:t>
            </w:r>
          </w:p>
        </w:tc>
        <w:tc>
          <w:tcPr>
            <w:tcW w:w="136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节约/支金额</w:t>
            </w:r>
          </w:p>
        </w:tc>
        <w:tc>
          <w:tcPr>
            <w:tcW w:w="184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节约/超支率</w:t>
            </w:r>
          </w:p>
        </w:tc>
      </w:tr>
      <w:tr>
        <w:tblPrEx>
          <w:shd w:val="clear" w:color="auto" w:fill="auto"/>
          <w:tblCellMar>
            <w:top w:w="0" w:type="dxa"/>
            <w:left w:w="0" w:type="dxa"/>
            <w:bottom w:w="0" w:type="dxa"/>
            <w:right w:w="0" w:type="dxa"/>
          </w:tblCellMar>
        </w:tblPrEx>
        <w:trPr>
          <w:trHeight w:val="994"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基本工资</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56</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63</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7</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12.5%</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津贴补贴</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40</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38</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-2</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奖金</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56</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51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社会保障缴费</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26</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15</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-42%</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伙食补助费</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0</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初年未做预算</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绩效工资</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00" w:hRule="atLeast"/>
        </w:trPr>
        <w:tc>
          <w:tcPr>
            <w:tcW w:w="254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其他工资福利支出</w:t>
            </w:r>
          </w:p>
        </w:tc>
        <w:tc>
          <w:tcPr>
            <w:tcW w:w="1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12</w:t>
            </w:r>
          </w:p>
        </w:tc>
        <w:tc>
          <w:tcPr>
            <w:tcW w:w="130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11</w:t>
            </w:r>
          </w:p>
        </w:tc>
        <w:tc>
          <w:tcPr>
            <w:tcW w:w="13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w:t>
            </w:r>
          </w:p>
        </w:tc>
        <w:tc>
          <w:tcPr>
            <w:tcW w:w="184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-8.3%</w:t>
            </w:r>
          </w:p>
        </w:tc>
      </w:tr>
      <w:tr>
        <w:tblPrEx>
          <w:shd w:val="clear" w:color="auto" w:fill="auto"/>
          <w:tblCellMar>
            <w:top w:w="0" w:type="dxa"/>
            <w:left w:w="0" w:type="dxa"/>
            <w:bottom w:w="0" w:type="dxa"/>
            <w:right w:w="0" w:type="dxa"/>
          </w:tblCellMar>
        </w:tblPrEx>
        <w:trPr>
          <w:trHeight w:val="345" w:hRule="atLeast"/>
        </w:trPr>
        <w:tc>
          <w:tcPr>
            <w:tcW w:w="2544"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合计</w:t>
            </w:r>
          </w:p>
        </w:tc>
        <w:tc>
          <w:tcPr>
            <w:tcW w:w="141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139</w:t>
            </w:r>
          </w:p>
        </w:tc>
        <w:tc>
          <w:tcPr>
            <w:tcW w:w="1301"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186</w:t>
            </w:r>
          </w:p>
        </w:tc>
        <w:tc>
          <w:tcPr>
            <w:tcW w:w="136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47</w:t>
            </w:r>
          </w:p>
        </w:tc>
        <w:tc>
          <w:tcPr>
            <w:tcW w:w="184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33.81%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（2）商品和服务</w:t>
      </w:r>
      <w:bookmarkStart w:id="2" w:name="_GoBack"/>
      <w:bookmarkEnd w:id="2"/>
    </w:p>
    <w:tbl>
      <w:tblPr>
        <w:tblStyle w:val="5"/>
        <w:tblW w:w="0" w:type="auto"/>
        <w:jc w:val="center"/>
        <w:shd w:val="clear" w:color="auto" w:fill="auto"/>
        <w:tblLayout w:type="autofit"/>
        <w:tblCellMar>
          <w:top w:w="0" w:type="dxa"/>
          <w:left w:w="0" w:type="dxa"/>
          <w:bottom w:w="0" w:type="dxa"/>
          <w:right w:w="0" w:type="dxa"/>
        </w:tblCellMar>
      </w:tblPr>
      <w:tblGrid>
        <w:gridCol w:w="2592"/>
        <w:gridCol w:w="1378"/>
        <w:gridCol w:w="1515"/>
        <w:gridCol w:w="1409"/>
        <w:gridCol w:w="1628"/>
      </w:tblGrid>
      <w:tr>
        <w:tblPrEx>
          <w:shd w:val="clear" w:color="auto" w:fill="auto"/>
          <w:tblCellMar>
            <w:top w:w="0" w:type="dxa"/>
            <w:left w:w="0" w:type="dxa"/>
            <w:bottom w:w="0" w:type="dxa"/>
            <w:right w:w="0" w:type="dxa"/>
          </w:tblCellMar>
        </w:tblPrEx>
        <w:trPr>
          <w:trHeight w:val="373" w:hRule="atLeast"/>
          <w:jc w:val="center"/>
        </w:trPr>
        <w:tc>
          <w:tcPr>
            <w:tcW w:w="2620"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支出项目</w:t>
            </w:r>
          </w:p>
        </w:tc>
        <w:tc>
          <w:tcPr>
            <w:tcW w:w="138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预算金额</w:t>
            </w:r>
          </w:p>
        </w:tc>
        <w:tc>
          <w:tcPr>
            <w:tcW w:w="152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决算金额</w:t>
            </w:r>
          </w:p>
        </w:tc>
        <w:tc>
          <w:tcPr>
            <w:tcW w:w="14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增减额</w:t>
            </w:r>
          </w:p>
        </w:tc>
        <w:tc>
          <w:tcPr>
            <w:tcW w:w="163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kern w:val="0"/>
                <w:sz w:val="28"/>
                <w:szCs w:val="28"/>
                <w:lang w:val="en-US" w:eastAsia="zh-CN" w:bidi="ar"/>
              </w:rPr>
              <w:t>增减率</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办公费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11.4</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6.4</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508"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印刷费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2.7</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8</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5.3</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咨询费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手续费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水电费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0.6</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0.7</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0.1</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16.67%</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邮电费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0.8</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取暖费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物业管理费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差旅费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5</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24</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19</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因公出国（境）费用</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维修（护）费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租赁费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会议费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培训费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公务接待费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-100.00%</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专用材料费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834"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被装购置费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专用燃料费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劳务费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委托业务费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工会经费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6</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16</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年初未做足预算</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福利费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公务用车运行维护费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其他交通费</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11.8</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10</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-1.8</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-15.25%</w:t>
            </w:r>
          </w:p>
        </w:tc>
      </w:tr>
      <w:tr>
        <w:tblPrEx>
          <w:shd w:val="clear" w:color="auto" w:fill="auto"/>
          <w:tblCellMar>
            <w:top w:w="0" w:type="dxa"/>
            <w:left w:w="0" w:type="dxa"/>
            <w:bottom w:w="0" w:type="dxa"/>
            <w:right w:w="0" w:type="dxa"/>
          </w:tblCellMar>
        </w:tblPrEx>
        <w:trPr>
          <w:trHeight w:val="373"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税金及附加费用</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957" w:hRule="atLeast"/>
          <w:jc w:val="center"/>
        </w:trPr>
        <w:tc>
          <w:tcPr>
            <w:tcW w:w="2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其他商品和服务支出</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5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47</w:t>
            </w:r>
          </w:p>
        </w:tc>
        <w:tc>
          <w:tcPr>
            <w:tcW w:w="14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47</w:t>
            </w:r>
          </w:p>
        </w:tc>
        <w:tc>
          <w:tcPr>
            <w:tcW w:w="16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826" w:hRule="atLeast"/>
          <w:jc w:val="center"/>
        </w:trPr>
        <w:tc>
          <w:tcPr>
            <w:tcW w:w="2620"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合计</w:t>
            </w:r>
          </w:p>
        </w:tc>
        <w:tc>
          <w:tcPr>
            <w:tcW w:w="138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32</w:t>
            </w:r>
          </w:p>
        </w:tc>
        <w:tc>
          <w:tcPr>
            <w:tcW w:w="152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122</w:t>
            </w:r>
          </w:p>
        </w:tc>
        <w:tc>
          <w:tcPr>
            <w:tcW w:w="1420"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89.8</w:t>
            </w:r>
          </w:p>
        </w:tc>
        <w:tc>
          <w:tcPr>
            <w:tcW w:w="163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279.75%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办公费、印刷费、差旅费等年初未做足预算，其他商品和服务支出年初未做预算。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both"/>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（3）对个人和家庭的补助</w:t>
      </w:r>
    </w:p>
    <w:tbl>
      <w:tblPr>
        <w:tblStyle w:val="5"/>
        <w:tblW w:w="0" w:type="auto"/>
        <w:jc w:val="center"/>
        <w:shd w:val="clear" w:color="auto" w:fill="auto"/>
        <w:tblLayout w:type="autofit"/>
        <w:tblCellMar>
          <w:top w:w="0" w:type="dxa"/>
          <w:left w:w="0" w:type="dxa"/>
          <w:bottom w:w="0" w:type="dxa"/>
          <w:right w:w="0" w:type="dxa"/>
        </w:tblCellMar>
      </w:tblPr>
      <w:tblGrid>
        <w:gridCol w:w="2122"/>
        <w:gridCol w:w="1464"/>
        <w:gridCol w:w="1483"/>
        <w:gridCol w:w="1769"/>
        <w:gridCol w:w="1498"/>
      </w:tblGrid>
      <w:tr>
        <w:tblPrEx>
          <w:shd w:val="clear" w:color="auto" w:fill="auto"/>
          <w:tblCellMar>
            <w:top w:w="0" w:type="dxa"/>
            <w:left w:w="0" w:type="dxa"/>
            <w:bottom w:w="0" w:type="dxa"/>
            <w:right w:w="0" w:type="dxa"/>
          </w:tblCellMar>
        </w:tblPrEx>
        <w:trPr>
          <w:trHeight w:val="464" w:hRule="atLeast"/>
          <w:jc w:val="center"/>
        </w:trPr>
        <w:tc>
          <w:tcPr>
            <w:tcW w:w="220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结余/超支率</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-100%</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医疗费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住房公积金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提租补贴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物业服务补贴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413" w:hRule="atLeast"/>
          <w:jc w:val="center"/>
        </w:trPr>
        <w:tc>
          <w:tcPr>
            <w:tcW w:w="2207"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51" w:hRule="atLeast"/>
          <w:jc w:val="center"/>
        </w:trPr>
        <w:tc>
          <w:tcPr>
            <w:tcW w:w="2207"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1</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-9</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20" w:right="0" w:hanging="420"/>
              <w:jc w:val="center"/>
            </w:pPr>
            <w:r>
              <w:rPr>
                <w:rFonts w:hint="eastAsia" w:ascii="宋体" w:hAnsi="宋体" w:eastAsia="宋体" w:cs="宋体"/>
                <w:b w:val="0"/>
                <w:kern w:val="0"/>
                <w:sz w:val="28"/>
                <w:szCs w:val="28"/>
                <w:lang w:val="en-US" w:eastAsia="zh-CN" w:bidi="ar"/>
              </w:rPr>
              <w:t>-90%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bookmarkStart w:id="1" w:name="_Toc419142213"/>
      <w:bookmarkEnd w:id="1"/>
      <w:r>
        <w:rPr>
          <w:rFonts w:hint="eastAsia" w:ascii="宋体" w:hAnsi="宋体" w:eastAsia="宋体" w:cs="宋体"/>
          <w:b w:val="0"/>
          <w:i w:val="0"/>
          <w:caps w:val="0"/>
          <w:color w:val="1E1E1E"/>
          <w:spacing w:val="0"/>
          <w:kern w:val="0"/>
          <w:sz w:val="28"/>
          <w:szCs w:val="28"/>
          <w:lang w:val="en-US" w:eastAsia="zh-CN" w:bidi="ar"/>
        </w:rPr>
        <w:t>1、“三公经费”预算执行</w:t>
      </w:r>
    </w:p>
    <w:tbl>
      <w:tblPr>
        <w:tblStyle w:val="5"/>
        <w:tblW w:w="0" w:type="auto"/>
        <w:tblInd w:w="0" w:type="dxa"/>
        <w:shd w:val="clear" w:color="auto" w:fill="auto"/>
        <w:tblLayout w:type="autofit"/>
        <w:tblCellMar>
          <w:top w:w="0" w:type="dxa"/>
          <w:left w:w="0" w:type="dxa"/>
          <w:bottom w:w="0" w:type="dxa"/>
          <w:right w:w="0" w:type="dxa"/>
        </w:tblCellMar>
      </w:tblPr>
      <w:tblGrid>
        <w:gridCol w:w="2017"/>
        <w:gridCol w:w="991"/>
        <w:gridCol w:w="1045"/>
        <w:gridCol w:w="1025"/>
        <w:gridCol w:w="997"/>
        <w:gridCol w:w="1067"/>
        <w:gridCol w:w="1194"/>
      </w:tblGrid>
      <w:tr>
        <w:tblPrEx>
          <w:shd w:val="clear" w:color="auto" w:fill="auto"/>
          <w:tblCellMar>
            <w:top w:w="0" w:type="dxa"/>
            <w:left w:w="0" w:type="dxa"/>
            <w:bottom w:w="0" w:type="dxa"/>
            <w:right w:w="0" w:type="dxa"/>
          </w:tblCellMar>
        </w:tblPrEx>
        <w:trPr>
          <w:trHeight w:val="364" w:hRule="atLeast"/>
        </w:trPr>
        <w:tc>
          <w:tcPr>
            <w:tcW w:w="2157"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结余/超支</w:t>
            </w:r>
          </w:p>
        </w:tc>
      </w:tr>
      <w:tr>
        <w:tblPrEx>
          <w:tblCellMar>
            <w:top w:w="0" w:type="dxa"/>
            <w:left w:w="0" w:type="dxa"/>
            <w:bottom w:w="0" w:type="dxa"/>
            <w:right w:w="0" w:type="dxa"/>
          </w:tblCellMar>
        </w:tblPrEx>
        <w:trPr>
          <w:trHeight w:val="580" w:hRule="atLeast"/>
        </w:trPr>
        <w:tc>
          <w:tcPr>
            <w:tcW w:w="2157"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c>
          <w:tcPr>
            <w:tcW w:w="1103"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072"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项目支出</w:t>
            </w:r>
          </w:p>
        </w:tc>
      </w:tr>
      <w:tr>
        <w:tblPrEx>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00"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430"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64" w:hRule="atLeast"/>
        </w:trPr>
        <w:tc>
          <w:tcPr>
            <w:tcW w:w="2157"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072"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99" w:hRule="atLeast"/>
        </w:trPr>
        <w:tc>
          <w:tcPr>
            <w:tcW w:w="2157"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03"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0</w:t>
            </w:r>
          </w:p>
        </w:tc>
        <w:tc>
          <w:tcPr>
            <w:tcW w:w="1072"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宋体" w:hAnsi="宋体" w:eastAsia="宋体" w:cs="宋体"/>
                <w:b w:val="0"/>
                <w:kern w:val="0"/>
                <w:sz w:val="28"/>
                <w:szCs w:val="28"/>
                <w:lang w:val="en-US" w:eastAsia="zh-CN" w:bidi="ar"/>
              </w:rPr>
              <w:t>-1</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b w:val="0"/>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2327"/>
        <w:gridCol w:w="1155"/>
        <w:gridCol w:w="1228"/>
        <w:gridCol w:w="1222"/>
        <w:gridCol w:w="2404"/>
      </w:tblGrid>
      <w:tr>
        <w:tblPrEx>
          <w:shd w:val="clear" w:color="auto" w:fill="auto"/>
          <w:tblCellMar>
            <w:top w:w="0" w:type="dxa"/>
            <w:left w:w="0" w:type="dxa"/>
            <w:bottom w:w="0" w:type="dxa"/>
            <w:right w:w="0" w:type="dxa"/>
          </w:tblCellMar>
        </w:tblPrEx>
        <w:trPr>
          <w:trHeight w:val="567" w:hRule="atLeast"/>
          <w:jc w:val="center"/>
        </w:trPr>
        <w:tc>
          <w:tcPr>
            <w:tcW w:w="2371"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费用项目</w:t>
            </w:r>
          </w:p>
        </w:tc>
        <w:tc>
          <w:tcPr>
            <w:tcW w:w="116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本年金额</w:t>
            </w:r>
          </w:p>
        </w:tc>
        <w:tc>
          <w:tcPr>
            <w:tcW w:w="1244"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上年金额</w:t>
            </w:r>
          </w:p>
        </w:tc>
        <w:tc>
          <w:tcPr>
            <w:tcW w:w="1238"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增减额</w:t>
            </w:r>
          </w:p>
        </w:tc>
        <w:tc>
          <w:tcPr>
            <w:tcW w:w="24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增减率%</w:t>
            </w:r>
          </w:p>
        </w:tc>
      </w:tr>
      <w:tr>
        <w:tblPrEx>
          <w:shd w:val="clear" w:color="auto" w:fill="auto"/>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公务接待费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-100%</w:t>
            </w:r>
          </w:p>
        </w:tc>
      </w:tr>
      <w:tr>
        <w:tblPrEx>
          <w:shd w:val="clear" w:color="auto" w:fill="auto"/>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公车运行维护费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公务车辆购置费</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因公出国(境)费用</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567" w:hRule="atLeast"/>
          <w:jc w:val="center"/>
        </w:trPr>
        <w:tc>
          <w:tcPr>
            <w:tcW w:w="2371"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169"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44"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1238"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c>
          <w:tcPr>
            <w:tcW w:w="2455" w:type="dxa"/>
            <w:tcBorders>
              <w:top w:val="nil"/>
              <w:left w:val="nil"/>
              <w:bottom w:val="single" w:color="000000" w:sz="8" w:space="0"/>
              <w:right w:val="single" w:color="000000"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 </w:t>
            </w:r>
          </w:p>
        </w:tc>
      </w:tr>
      <w:tr>
        <w:tblPrEx>
          <w:shd w:val="clear" w:color="auto" w:fill="auto"/>
          <w:tblCellMar>
            <w:top w:w="0" w:type="dxa"/>
            <w:left w:w="0" w:type="dxa"/>
            <w:bottom w:w="0" w:type="dxa"/>
            <w:right w:w="0" w:type="dxa"/>
          </w:tblCellMar>
        </w:tblPrEx>
        <w:trPr>
          <w:trHeight w:val="350" w:hRule="atLeast"/>
          <w:jc w:val="center"/>
        </w:trPr>
        <w:tc>
          <w:tcPr>
            <w:tcW w:w="2371"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合计</w:t>
            </w:r>
          </w:p>
        </w:tc>
        <w:tc>
          <w:tcPr>
            <w:tcW w:w="1169"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w:t>
            </w:r>
          </w:p>
        </w:tc>
        <w:tc>
          <w:tcPr>
            <w:tcW w:w="1244"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1238"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-0.5</w:t>
            </w:r>
          </w:p>
        </w:tc>
        <w:tc>
          <w:tcPr>
            <w:tcW w:w="2455" w:type="dxa"/>
            <w:tcBorders>
              <w:top w:val="nil"/>
              <w:left w:val="nil"/>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hanging="420"/>
              <w:jc w:val="center"/>
            </w:pPr>
            <w:r>
              <w:rPr>
                <w:rFonts w:hint="eastAsia" w:ascii="宋体" w:hAnsi="宋体" w:eastAsia="宋体" w:cs="宋体"/>
                <w:b w:val="0"/>
                <w:kern w:val="0"/>
                <w:sz w:val="28"/>
                <w:szCs w:val="28"/>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540"/>
        <w:jc w:val="left"/>
      </w:pPr>
      <w:r>
        <w:rPr>
          <w:rFonts w:hint="eastAsia" w:ascii="宋体" w:hAnsi="宋体" w:eastAsia="宋体" w:cs="宋体"/>
          <w:i w:val="0"/>
          <w:caps w:val="0"/>
          <w:color w:val="1E1E1E"/>
          <w:spacing w:val="0"/>
          <w:kern w:val="0"/>
          <w:sz w:val="28"/>
          <w:szCs w:val="28"/>
          <w:lang w:val="en-US" w:eastAsia="zh-CN" w:bidi="ar"/>
        </w:rPr>
        <w:t>认真贯彻落实了“八项”规定要求，实现预算控制制度，严格控制公务接待数量、规模和接待标准。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0" w:right="0" w:hanging="420"/>
        <w:jc w:val="center"/>
      </w:pPr>
      <w:r>
        <w:rPr>
          <w:rFonts w:hint="eastAsia" w:ascii="宋体" w:hAnsi="宋体" w:eastAsia="宋体" w:cs="宋体"/>
          <w:i w:val="0"/>
          <w:caps w:val="0"/>
          <w:color w:val="1E1E1E"/>
          <w:spacing w:val="0"/>
          <w:kern w:val="0"/>
          <w:sz w:val="28"/>
          <w:szCs w:val="28"/>
          <w:lang w:val="en-US" w:eastAsia="zh-CN" w:bidi="ar"/>
        </w:rPr>
        <w:t> </w:t>
      </w:r>
      <w:r>
        <w:rPr>
          <w:rFonts w:hint="eastAsia" w:ascii="宋体" w:hAnsi="宋体" w:eastAsia="宋体" w:cs="宋体"/>
          <w:b/>
          <w:i w:val="0"/>
          <w:caps w:val="0"/>
          <w:color w:val="1E1E1E"/>
          <w:spacing w:val="0"/>
          <w:kern w:val="0"/>
          <w:sz w:val="28"/>
          <w:szCs w:val="28"/>
          <w:lang w:val="en-US" w:eastAsia="zh-CN" w:bidi="ar"/>
        </w:rPr>
        <w:t>新邵县医疗和生育保险基金管理站医疗保障项目绩效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2" w:right="0" w:hanging="422"/>
        <w:jc w:val="center"/>
      </w:pPr>
      <w:r>
        <w:rPr>
          <w:rFonts w:hint="eastAsia" w:ascii="宋体" w:hAnsi="宋体" w:eastAsia="宋体" w:cs="宋体"/>
          <w:b/>
          <w:i w:val="0"/>
          <w:caps w:val="0"/>
          <w:color w:val="1E1E1E"/>
          <w:spacing w:val="0"/>
          <w:kern w:val="0"/>
          <w:sz w:val="28"/>
          <w:szCs w:val="28"/>
          <w:lang w:val="en-US" w:eastAsia="zh-CN" w:bidi="ar"/>
        </w:rPr>
        <w:t>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60"/>
        <w:jc w:val="left"/>
      </w:pPr>
      <w:r>
        <w:rPr>
          <w:rFonts w:hint="eastAsia" w:ascii="宋体" w:hAnsi="宋体" w:eastAsia="宋体" w:cs="宋体"/>
          <w:i w:val="0"/>
          <w:caps w:val="0"/>
          <w:color w:val="1E1E1E"/>
          <w:spacing w:val="0"/>
          <w:kern w:val="0"/>
          <w:sz w:val="28"/>
          <w:szCs w:val="28"/>
          <w:lang w:val="en-US" w:eastAsia="zh-CN" w:bidi="ar"/>
        </w:rPr>
        <w:t>（一）项目单位基本情况，根据编委核定，2018年我站内设股室6个，2018年末我站共有编制10人，实有人数23人，其中在职人员18人；退休人员5人内设股室分别是办公室、审批股、财务股、征缴股、生育保险管理股、信息股。主要职责有</w:t>
      </w:r>
      <w:r>
        <w:rPr>
          <w:rFonts w:hint="eastAsia" w:ascii="宋体" w:hAnsi="宋体" w:eastAsia="宋体" w:cs="宋体"/>
          <w:i w:val="0"/>
          <w:caps w:val="0"/>
          <w:color w:val="1E1E1E"/>
          <w:spacing w:val="-10"/>
          <w:kern w:val="0"/>
          <w:sz w:val="28"/>
          <w:szCs w:val="28"/>
          <w:lang w:val="en-US" w:eastAsia="zh-CN" w:bidi="ar"/>
        </w:rPr>
        <w:t>1、负责贯彻实施全县城镇职工、生育保险、补充医疗保险的法规政策。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2、负责全县城镇职工、生育保险、补充医疗保险基金的筹集、管理、和支付。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3、负责建立城镇职工、生育保险基金预决算制度、财务会计制度的内部审计制度。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4、负责编制本辖区内城镇职工基本医疗保险、生育保险、补充医疗保险的预决算，上报各项基金的各类财务、统计报表。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5、负责各类参保对象的医疗保险保障待遇的落实。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6、负责医疗、生育保险信息统计工作。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7、负责与城镇职工基本医疗保险、生育保险定点医疗机构、定点药店签订医疗保险、生育保险服务协议，并确保服务协议的履行；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8、负责全县医保经办人员业务培训，提高医保服务水平。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520"/>
        <w:jc w:val="left"/>
      </w:pPr>
      <w:r>
        <w:rPr>
          <w:rFonts w:hint="eastAsia" w:ascii="宋体" w:hAnsi="宋体" w:eastAsia="宋体" w:cs="宋体"/>
          <w:i w:val="0"/>
          <w:caps w:val="0"/>
          <w:color w:val="1E1E1E"/>
          <w:spacing w:val="-10"/>
          <w:kern w:val="0"/>
          <w:sz w:val="28"/>
          <w:szCs w:val="28"/>
          <w:lang w:val="en-US" w:eastAsia="zh-CN" w:bidi="ar"/>
        </w:rPr>
        <w:t>9、承办县人力资源和社会保障局交办的其他事项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二、主要绩效评价指标情况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（一）以上项目均由县财政按相关政策全部负担。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（二）以上项目均专款专用，全部拨付到位。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三）行政、事业单位生育保险费、行政单位基本医疗保险费、事业单位基本医疗保险费维护了行政、事业单位工作人员的劳动权益，以及改制企业退休退养人员和协保人员的历史遗留问题，使他们“病有所医”。其他行政事业单位医疗（企业老工伤医药费）解决了改制企业老工伤患者旧伤复发和医药费，维护了社会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b w:val="0"/>
          <w:i w:val="0"/>
          <w:caps w:val="0"/>
          <w:color w:val="1E1E1E"/>
          <w:spacing w:val="0"/>
          <w:kern w:val="0"/>
          <w:sz w:val="28"/>
          <w:szCs w:val="28"/>
          <w:lang w:val="en-US" w:eastAsia="zh-CN" w:bidi="ar"/>
        </w:rPr>
        <w:t>四、绩效评价结果及主要绩效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pPr>
      <w:r>
        <w:rPr>
          <w:rFonts w:hint="eastAsia" w:ascii="宋体" w:hAnsi="宋体" w:eastAsia="宋体" w:cs="宋体"/>
          <w:i w:val="0"/>
          <w:caps w:val="0"/>
          <w:color w:val="1E1E1E"/>
          <w:spacing w:val="0"/>
          <w:kern w:val="0"/>
          <w:sz w:val="28"/>
          <w:szCs w:val="28"/>
          <w:lang w:val="en-US" w:eastAsia="zh-CN" w:bidi="ar"/>
        </w:rPr>
        <w:t>根据年度重点和日常工作安排较好的维护了新邵社会的稳定。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    新邵为过去的“小五金”县，改制企业多，企业退休人员比例高，预算略为不足，支出压力大。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left"/>
      </w:pPr>
      <w:r>
        <w:rPr>
          <w:rFonts w:hint="eastAsia" w:ascii="宋体" w:hAnsi="宋体" w:eastAsia="宋体" w:cs="宋体"/>
          <w:i w:val="0"/>
          <w:caps w:val="0"/>
          <w:color w:val="1E1E1E"/>
          <w:spacing w:val="0"/>
          <w:kern w:val="0"/>
          <w:sz w:val="28"/>
          <w:szCs w:val="28"/>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宋体" w:hAnsi="宋体" w:eastAsia="宋体" w:cs="宋体"/>
          <w:i w:val="0"/>
          <w:caps w:val="0"/>
          <w:color w:val="1E1E1E"/>
          <w:spacing w:val="0"/>
          <w:kern w:val="0"/>
          <w:sz w:val="28"/>
          <w:szCs w:val="28"/>
          <w:lang w:val="en-US" w:eastAsia="zh-CN" w:bidi="ar"/>
        </w:rPr>
        <w:t>加强基金的监管，专款专用，量入为出，保证基金的安全。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微软雅黑" w:hAnsi="微软雅黑" w:eastAsia="微软雅黑" w:cs="微软雅黑"/>
          <w:i w:val="0"/>
          <w:caps w:val="0"/>
          <w:color w:val="1E1E1E"/>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微软雅黑" w:hAnsi="微软雅黑" w:eastAsia="微软雅黑" w:cs="微软雅黑"/>
          <w:i w:val="0"/>
          <w:caps w:val="0"/>
          <w:color w:val="1E1E1E"/>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20" w:right="0" w:hanging="420"/>
        <w:jc w:val="center"/>
      </w:pPr>
      <w:r>
        <w:rPr>
          <w:rFonts w:hint="eastAsia" w:ascii="宋体" w:hAnsi="宋体" w:eastAsia="宋体" w:cs="宋体"/>
          <w:i w:val="0"/>
          <w:caps w:val="0"/>
          <w:color w:val="1E1E1E"/>
          <w:spacing w:val="0"/>
          <w:kern w:val="0"/>
          <w:sz w:val="28"/>
          <w:szCs w:val="28"/>
          <w:lang w:val="en-US" w:eastAsia="zh-CN" w:bidi="ar"/>
        </w:rPr>
        <w:t>2019年度部门整体支出</w:t>
      </w:r>
      <w:r>
        <w:rPr>
          <w:rFonts w:hint="eastAsia" w:ascii="宋体" w:hAnsi="宋体" w:eastAsia="宋体" w:cs="宋体"/>
          <w:i w:val="0"/>
          <w:caps w:val="0"/>
          <w:color w:val="1E1E1E"/>
          <w:spacing w:val="-8"/>
          <w:kern w:val="0"/>
          <w:sz w:val="28"/>
          <w:szCs w:val="28"/>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hint="eastAsia" w:ascii="宋体" w:hAnsi="宋体" w:eastAsia="宋体" w:cs="宋体"/>
          <w:i w:val="0"/>
          <w:caps w:val="0"/>
          <w:color w:val="1E1E1E"/>
          <w:spacing w:val="-8"/>
          <w:kern w:val="0"/>
          <w:sz w:val="28"/>
          <w:szCs w:val="28"/>
          <w:lang w:val="en-US" w:eastAsia="zh-CN" w:bidi="ar"/>
        </w:rPr>
        <w:t>填报单位（盖章）：新邵县医疗和生育保险基金管理站</w:t>
      </w:r>
    </w:p>
    <w:tbl>
      <w:tblPr>
        <w:tblStyle w:val="5"/>
        <w:tblW w:w="0" w:type="auto"/>
        <w:jc w:val="center"/>
        <w:shd w:val="clear" w:color="auto" w:fill="auto"/>
        <w:tblLayout w:type="autofit"/>
        <w:tblCellMar>
          <w:top w:w="0" w:type="dxa"/>
          <w:left w:w="0" w:type="dxa"/>
          <w:bottom w:w="0" w:type="dxa"/>
          <w:right w:w="0" w:type="dxa"/>
        </w:tblCellMar>
      </w:tblPr>
      <w:tblGrid>
        <w:gridCol w:w="501"/>
        <w:gridCol w:w="580"/>
        <w:gridCol w:w="885"/>
        <w:gridCol w:w="14"/>
        <w:gridCol w:w="2520"/>
        <w:gridCol w:w="3221"/>
        <w:gridCol w:w="605"/>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一级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二级指标</w:t>
            </w:r>
          </w:p>
        </w:tc>
        <w:tc>
          <w:tcPr>
            <w:tcW w:w="960" w:type="dxa"/>
            <w:gridSpan w:val="2"/>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center"/>
            </w:pPr>
            <w:r>
              <w:rPr>
                <w:rFonts w:hint="eastAsia" w:ascii="宋体" w:hAnsi="宋体" w:eastAsia="宋体" w:cs="宋体"/>
                <w:sz w:val="24"/>
                <w:szCs w:val="24"/>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center"/>
            </w:pPr>
            <w:r>
              <w:rPr>
                <w:rFonts w:hint="eastAsia" w:ascii="宋体" w:hAnsi="宋体" w:eastAsia="宋体" w:cs="宋体"/>
                <w:sz w:val="24"/>
                <w:szCs w:val="24"/>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9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69"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31"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（3分）</w:t>
            </w:r>
          </w:p>
        </w:tc>
        <w:tc>
          <w:tcPr>
            <w:tcW w:w="5369"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配置（15分）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(23分)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5" w:right="105"/>
              <w:jc w:val="both"/>
            </w:pPr>
            <w:r>
              <w:rPr>
                <w:rFonts w:hint="eastAsia" w:ascii="宋体" w:hAnsi="宋体" w:eastAsia="宋体" w:cs="宋体"/>
                <w:sz w:val="24"/>
                <w:szCs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3.5</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24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(12分)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1.5</w:t>
            </w:r>
          </w:p>
        </w:tc>
      </w:tr>
      <w:tr>
        <w:tblPrEx>
          <w:shd w:val="clear" w:color="auto" w:fill="auto"/>
          <w:tblCellMar>
            <w:top w:w="0" w:type="dxa"/>
            <w:left w:w="0" w:type="dxa"/>
            <w:bottom w:w="0" w:type="dxa"/>
            <w:right w:w="0" w:type="dxa"/>
          </w:tblCellMar>
        </w:tblPrEx>
        <w:trPr>
          <w:trHeight w:val="299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286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④资产账务管理合规、</w:t>
            </w:r>
            <w:r>
              <w:rPr>
                <w:rFonts w:hint="eastAsia" w:ascii="宋体" w:hAnsi="宋体" w:eastAsia="宋体" w:cs="宋体"/>
                <w:sz w:val="24"/>
                <w:szCs w:val="24"/>
                <w:lang w:eastAsia="zh-CN"/>
              </w:rPr>
              <w:t>账实相符</w:t>
            </w:r>
            <w:r>
              <w:rPr>
                <w:rFonts w:hint="eastAsia" w:ascii="宋体" w:hAnsi="宋体" w:eastAsia="宋体" w:cs="宋体"/>
                <w:sz w:val="24"/>
                <w:szCs w:val="24"/>
              </w:rPr>
              <w:t>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1.6</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w:t>
            </w:r>
          </w:p>
        </w:tc>
      </w:tr>
      <w:tr>
        <w:tblPrEx>
          <w:shd w:val="clear" w:color="auto" w:fill="auto"/>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履行</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00" w:lineRule="atLeast"/>
              <w:ind w:left="105" w:right="105"/>
              <w:jc w:val="both"/>
            </w:pPr>
            <w:r>
              <w:rPr>
                <w:rFonts w:hint="eastAsia" w:ascii="宋体" w:hAnsi="宋体" w:eastAsia="宋体" w:cs="宋体"/>
                <w:sz w:val="24"/>
                <w:szCs w:val="24"/>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94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效益(20分)</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465" w:right="105" w:hanging="360"/>
              <w:jc w:val="left"/>
            </w:pPr>
            <w:r>
              <w:rPr>
                <w:rFonts w:hint="eastAsia" w:ascii="宋体" w:hAnsi="宋体" w:eastAsia="宋体" w:cs="宋体"/>
                <w:kern w:val="0"/>
                <w:sz w:val="24"/>
                <w:szCs w:val="24"/>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jc w:val="center"/>
            </w:pPr>
            <w:r>
              <w:rPr>
                <w:rFonts w:hint="eastAsia" w:ascii="宋体" w:hAnsi="宋体" w:eastAsia="宋体" w:cs="宋体"/>
                <w:kern w:val="0"/>
                <w:sz w:val="24"/>
                <w:szCs w:val="24"/>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hanging="360"/>
              <w:jc w:val="center"/>
            </w:pPr>
            <w:r>
              <w:rPr>
                <w:rFonts w:hint="eastAsia" w:ascii="宋体" w:hAnsi="宋体" w:eastAsia="宋体" w:cs="宋体"/>
                <w:kern w:val="0"/>
                <w:sz w:val="24"/>
                <w:szCs w:val="24"/>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90%（含）以上计5分；80%（含）-90%，计4分；70%（含）-80%，计3分；60%（含）-70%，计2分；低于60%计0分。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100</w:t>
            </w:r>
          </w:p>
        </w:tc>
        <w:tc>
          <w:tcPr>
            <w:tcW w:w="960" w:type="dxa"/>
            <w:gridSpan w:val="2"/>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97.1</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宋体" w:hAnsi="宋体" w:eastAsia="宋体" w:cs="宋体"/>
                <w:sz w:val="24"/>
                <w:szCs w:val="24"/>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960" w:type="dxa"/>
            <w:gridSpan w:val="2"/>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105" w:right="105"/>
              <w:jc w:val="both"/>
            </w:pPr>
            <w:r>
              <w:rPr>
                <w:rFonts w:hint="eastAsia" w:ascii="宋体" w:hAnsi="宋体" w:eastAsia="宋体" w:cs="宋体"/>
                <w:sz w:val="24"/>
                <w:szCs w:val="24"/>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0" w:right="0" w:hanging="128"/>
        <w:jc w:val="left"/>
      </w:pPr>
      <w:r>
        <w:rPr>
          <w:rFonts w:hint="eastAsia" w:ascii="宋体" w:hAnsi="宋体" w:eastAsia="宋体" w:cs="宋体"/>
          <w:i w:val="0"/>
          <w:caps w:val="0"/>
          <w:color w:val="1E1E1E"/>
          <w:spacing w:val="0"/>
          <w:kern w:val="0"/>
          <w:sz w:val="28"/>
          <w:szCs w:val="28"/>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000000"/>
    <w:rsid w:val="144573C4"/>
    <w:rsid w:val="1B6442D8"/>
    <w:rsid w:val="5C830463"/>
    <w:rsid w:val="7A9D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6282</Words>
  <Characters>6755</Characters>
  <Lines>0</Lines>
  <Paragraphs>0</Paragraphs>
  <TotalTime>35</TotalTime>
  <ScaleCrop>false</ScaleCrop>
  <LinksUpToDate>false</LinksUpToDate>
  <CharactersWithSpaces>6756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2021-06-06T06:07:00Z</dcterms:created>
  <dc:creator>Administrator</dc:creator>
  <cp:lastModifiedBy>Administrator</cp:lastModifiedBy>
  <dcterms:modified xsi:type="dcterms:W3CDTF">2022-10-17T11:47:17Z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5D868FA00359416C9B8E65388E037907</vt:lpwstr>
  </property>
</Properties>
</file>