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91" w:firstLineChars="192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新邵县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供销合作社联合社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91" w:firstLineChars="192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2020年度部门整体支出绩效自评报告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（一）部门基本情况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我社为县政府直属的参照公务员法管理的正科级全额拨款事业单位，</w:t>
      </w:r>
      <w:r>
        <w:rPr>
          <w:rFonts w:hint="eastAsia" w:ascii="仿宋" w:hAnsi="仿宋" w:eastAsia="仿宋" w:cs="仿宋"/>
          <w:color w:val="555555"/>
          <w:sz w:val="32"/>
          <w:szCs w:val="32"/>
        </w:rPr>
        <w:t>机关核定编制人员20人，行政编制18人，工勤编制2人。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现有</w:t>
      </w:r>
      <w:r>
        <w:rPr>
          <w:rFonts w:hint="eastAsia" w:ascii="仿宋_GB2312" w:hAnsi="宋体" w:eastAsia="仿宋_GB2312" w:cs="仿宋_GB2312"/>
          <w:sz w:val="30"/>
          <w:szCs w:val="30"/>
        </w:rPr>
        <w:t>在职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人员</w:t>
      </w:r>
      <w:r>
        <w:rPr>
          <w:rFonts w:hint="eastAsia" w:ascii="仿宋_GB2312" w:hAnsi="宋体" w:eastAsia="仿宋_GB2312" w:cs="仿宋_GB2312"/>
          <w:sz w:val="30"/>
          <w:szCs w:val="30"/>
        </w:rPr>
        <w:t>1</w:t>
      </w: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宋体" w:eastAsia="仿宋_GB2312" w:cs="仿宋_GB2312"/>
          <w:sz w:val="30"/>
          <w:szCs w:val="30"/>
        </w:rPr>
        <w:t>人，退休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人员</w:t>
      </w: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28</w:t>
      </w:r>
      <w:r>
        <w:rPr>
          <w:rFonts w:hint="eastAsia" w:ascii="仿宋_GB2312" w:hAnsi="宋体" w:eastAsia="仿宋_GB2312" w:cs="仿宋_GB2312"/>
          <w:sz w:val="30"/>
          <w:szCs w:val="30"/>
        </w:rPr>
        <w:t>人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，离休人员</w:t>
      </w: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1人，</w:t>
      </w:r>
      <w:r>
        <w:rPr>
          <w:rFonts w:hint="eastAsia" w:ascii="仿宋_GB2312" w:hAnsi="宋体" w:eastAsia="仿宋_GB2312" w:cs="仿宋_GB2312"/>
          <w:sz w:val="30"/>
          <w:szCs w:val="30"/>
        </w:rPr>
        <w:t>编制外聘用人员</w:t>
      </w: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0人</w:t>
      </w:r>
      <w:r>
        <w:rPr>
          <w:rFonts w:hint="eastAsia" w:ascii="仿宋_GB2312" w:hAnsi="宋体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根据县编委核定，我社内设5个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部（</w:t>
      </w:r>
      <w:r>
        <w:rPr>
          <w:rFonts w:hint="eastAsia" w:ascii="仿宋_GB2312" w:hAnsi="宋体" w:eastAsia="仿宋_GB2312" w:cs="仿宋_GB2312"/>
          <w:sz w:val="30"/>
          <w:szCs w:val="30"/>
        </w:rPr>
        <w:t>室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宋体" w:eastAsia="仿宋_GB2312" w:cs="仿宋_GB2312"/>
          <w:sz w:val="30"/>
          <w:szCs w:val="30"/>
        </w:rPr>
        <w:t>，分别是办公室、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计划统计财务部</w:t>
      </w:r>
      <w:r>
        <w:rPr>
          <w:rFonts w:hint="eastAsia" w:ascii="仿宋_GB2312" w:hAnsi="宋体" w:eastAsia="仿宋_GB2312" w:cs="仿宋_GB2312"/>
          <w:sz w:val="30"/>
          <w:szCs w:val="30"/>
        </w:rPr>
        <w:t>、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经贸发展部</w:t>
      </w:r>
      <w:r>
        <w:rPr>
          <w:rFonts w:hint="eastAsia" w:ascii="仿宋_GB2312" w:hAnsi="宋体" w:eastAsia="仿宋_GB2312" w:cs="仿宋_GB2312"/>
          <w:sz w:val="30"/>
          <w:szCs w:val="30"/>
        </w:rPr>
        <w:t>、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合作指导部</w:t>
      </w:r>
      <w:r>
        <w:rPr>
          <w:rFonts w:hint="eastAsia" w:ascii="仿宋_GB2312" w:hAnsi="宋体" w:eastAsia="仿宋_GB2312" w:cs="仿宋_GB2312"/>
          <w:sz w:val="30"/>
          <w:szCs w:val="30"/>
        </w:rPr>
        <w:t>、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监督审计部（监事会办公室）</w:t>
      </w:r>
      <w:r>
        <w:rPr>
          <w:rFonts w:hint="eastAsia" w:ascii="仿宋_GB2312" w:hAnsi="宋体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主要工作职责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宋体" w:eastAsia="仿宋_GB2312" w:cs="仿宋_GB2312"/>
          <w:sz w:val="30"/>
          <w:szCs w:val="30"/>
        </w:rPr>
        <w:t>宣传贯彻国家和省、市、县各级政府及上级有关农村经济工作的方针、政策和法律、法规。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宋体" w:eastAsia="仿宋_GB2312" w:cs="仿宋_GB2312"/>
          <w:sz w:val="30"/>
          <w:szCs w:val="30"/>
        </w:rPr>
        <w:t>负责研究制订全县供销系统的发展战略和规划,指导全县供销社的发展和改革。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宋体" w:eastAsia="仿宋_GB2312" w:cs="仿宋_GB2312"/>
          <w:sz w:val="30"/>
          <w:szCs w:val="30"/>
        </w:rPr>
        <w:t>按照政府授权,对农业生产资料和农副产品、烟花爆竹、再生资源政策性经营进行组织、协调、管理。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宋体" w:eastAsia="仿宋_GB2312" w:cs="仿宋_GB2312"/>
          <w:sz w:val="30"/>
          <w:szCs w:val="30"/>
        </w:rPr>
        <w:t>指导基层供销社的业务活动,促进城乡物资交流,建立和完善农业社会化服务体系。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宋体" w:eastAsia="仿宋_GB2312" w:cs="仿宋_GB2312"/>
          <w:sz w:val="30"/>
          <w:szCs w:val="30"/>
        </w:rPr>
        <w:t>建立以农产品加工为主的社办工业体系,发展农业产业化经营,引导农民进入市场。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6.</w:t>
      </w:r>
      <w:r>
        <w:rPr>
          <w:rFonts w:hint="eastAsia" w:ascii="仿宋_GB2312" w:hAnsi="宋体" w:eastAsia="仿宋_GB2312" w:cs="仿宋_GB2312"/>
          <w:sz w:val="30"/>
          <w:szCs w:val="30"/>
        </w:rPr>
        <w:t>研究制定供销社系统内部财产安全基金统筹和灾害补偿办法。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7.</w:t>
      </w:r>
      <w:r>
        <w:rPr>
          <w:rFonts w:hint="eastAsia" w:ascii="仿宋_GB2312" w:hAnsi="宋体" w:eastAsia="仿宋_GB2312" w:cs="仿宋_GB2312"/>
          <w:sz w:val="30"/>
          <w:szCs w:val="30"/>
        </w:rPr>
        <w:t>组织全县供销社系统干部、职工进行业务培训;指导本系统的干部职工队伍建设。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8.</w:t>
      </w:r>
      <w:r>
        <w:rPr>
          <w:rFonts w:hint="eastAsia" w:ascii="仿宋_GB2312" w:hAnsi="宋体" w:eastAsia="仿宋_GB2312" w:cs="仿宋_GB2312"/>
          <w:sz w:val="30"/>
          <w:szCs w:val="30"/>
        </w:rPr>
        <w:t>承担县委、县政府和上级社交办的其他事项。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（三）2020年度工作计划。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105" w:leftChars="5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</w:rPr>
        <w:t>进一步贯彻落实《中共中央国务院关于深化供销合作社综合改革的决定》、省委省政府《关于深化供销合作社综合改革的意见》的文件精神和中央、省市决策部署，紧紧围绕县委、县政府经济社会发展总体战略目标，以健全的组织体系、现代的经营网络、完善的服务功能、较强的创新能力，加快构建农业农村社会化服务体系，全面提升供销合作社为三农服务水平，打造成为农民生产生活服务的生力军和综合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二、部门整体支出规模、使用方向和内容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（一）年度预算收支情况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1.年初预算收支</w:t>
      </w:r>
    </w:p>
    <w:tbl>
      <w:tblPr>
        <w:tblStyle w:val="8"/>
        <w:tblpPr w:leftFromText="180" w:rightFromText="180" w:vertAnchor="text" w:horzAnchor="page" w:tblpXSpec="center" w:tblpY="442"/>
        <w:tblOverlap w:val="never"/>
        <w:tblW w:w="86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3"/>
        <w:gridCol w:w="1398"/>
        <w:gridCol w:w="1624"/>
        <w:gridCol w:w="1344"/>
        <w:gridCol w:w="18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4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5" w:firstLineChars="192"/>
              <w:jc w:val="center"/>
              <w:textAlignment w:val="center"/>
              <w:rPr>
                <w:rFonts w:hint="eastAsia" w:ascii="仿宋" w:hAnsi="仿宋" w:eastAsia="仿宋" w:cs="微软雅黑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预算项目</w:t>
            </w:r>
          </w:p>
        </w:tc>
        <w:tc>
          <w:tcPr>
            <w:tcW w:w="30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5" w:firstLineChars="192"/>
              <w:jc w:val="center"/>
              <w:textAlignment w:val="center"/>
              <w:rPr>
                <w:rFonts w:hint="eastAsia" w:ascii="仿宋" w:hAnsi="仿宋" w:eastAsia="仿宋" w:cs="微软雅黑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预算金额</w:t>
            </w:r>
          </w:p>
        </w:tc>
        <w:tc>
          <w:tcPr>
            <w:tcW w:w="3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5" w:firstLineChars="192"/>
              <w:jc w:val="center"/>
              <w:textAlignment w:val="center"/>
              <w:rPr>
                <w:rFonts w:hint="eastAsia" w:ascii="仿宋" w:hAnsi="仿宋" w:eastAsia="仿宋" w:cs="微软雅黑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较上年增减变化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rPr>
                <w:rFonts w:hint="default" w:ascii="仿宋" w:hAnsi="仿宋" w:eastAsia="仿宋" w:cs="Arial"/>
                <w:color w:val="333333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5" w:firstLineChars="192"/>
              <w:jc w:val="center"/>
              <w:textAlignment w:val="center"/>
              <w:rPr>
                <w:rFonts w:hint="eastAsia" w:ascii="仿宋" w:hAnsi="仿宋" w:eastAsia="仿宋" w:cs="微软雅黑"/>
                <w:color w:val="01010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年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5" w:firstLineChars="192"/>
              <w:jc w:val="center"/>
              <w:textAlignment w:val="center"/>
              <w:rPr>
                <w:rFonts w:hint="eastAsia" w:ascii="仿宋" w:hAnsi="仿宋" w:eastAsia="仿宋" w:cs="微软雅黑"/>
                <w:color w:val="01010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年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5" w:firstLineChars="192"/>
              <w:jc w:val="center"/>
              <w:textAlignment w:val="center"/>
              <w:rPr>
                <w:rFonts w:hint="eastAsia" w:ascii="仿宋" w:hAnsi="仿宋" w:eastAsia="仿宋" w:cs="微软雅黑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金额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5" w:firstLineChars="192"/>
              <w:jc w:val="center"/>
              <w:textAlignment w:val="center"/>
              <w:rPr>
                <w:rFonts w:hint="eastAsia" w:ascii="仿宋" w:hAnsi="仿宋" w:eastAsia="仿宋" w:cs="微软雅黑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5" w:firstLineChars="192"/>
              <w:jc w:val="left"/>
              <w:rPr>
                <w:rFonts w:hint="eastAsia" w:ascii="仿宋" w:hAnsi="仿宋" w:eastAsia="仿宋" w:cs="微软雅黑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10101"/>
                <w:kern w:val="0"/>
                <w:szCs w:val="21"/>
                <w:lang w:bidi="ar"/>
              </w:rPr>
              <w:t>收入预算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firstLine="403" w:firstLineChars="192"/>
              <w:jc w:val="right"/>
              <w:rPr>
                <w:rFonts w:hint="default" w:ascii="仿宋" w:hAnsi="仿宋" w:eastAsia="仿宋" w:cs="微软雅黑"/>
                <w:color w:val="01010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371.27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315" w:leftChars="0" w:right="126" w:rightChars="0" w:hanging="315" w:hangingChars="150"/>
              <w:jc w:val="right"/>
              <w:rPr>
                <w:rFonts w:hint="eastAsia" w:ascii="仿宋" w:hAnsi="仿宋" w:eastAsia="仿宋" w:cs="微软雅黑"/>
                <w:color w:val="01010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334.83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firstLine="403" w:firstLineChars="192"/>
              <w:jc w:val="right"/>
              <w:rPr>
                <w:rFonts w:hint="default" w:ascii="仿宋" w:hAnsi="仿宋" w:eastAsia="仿宋" w:cs="微软雅黑"/>
                <w:color w:val="01010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36.44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微软雅黑"/>
                <w:color w:val="01010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11%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left"/>
              <w:rPr>
                <w:rFonts w:hint="eastAsia" w:ascii="仿宋" w:hAnsi="仿宋" w:eastAsia="仿宋" w:cs="微软雅黑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其中：财政经费拨款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firstLine="403" w:firstLineChars="192"/>
              <w:jc w:val="right"/>
              <w:rPr>
                <w:rFonts w:hint="default" w:ascii="仿宋" w:hAnsi="仿宋" w:eastAsia="仿宋" w:cs="微软雅黑"/>
                <w:color w:val="01010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371.27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315" w:leftChars="0" w:right="126" w:rightChars="0" w:hanging="315" w:hangingChars="150"/>
              <w:jc w:val="right"/>
              <w:rPr>
                <w:rFonts w:hint="eastAsia" w:ascii="仿宋" w:hAnsi="仿宋" w:eastAsia="仿宋" w:cs="微软雅黑"/>
                <w:color w:val="01010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334.83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rightChars="0" w:firstLine="403" w:firstLineChars="192"/>
              <w:jc w:val="right"/>
              <w:rPr>
                <w:rFonts w:hint="eastAsia" w:ascii="仿宋" w:hAnsi="仿宋" w:eastAsia="仿宋" w:cs="微软雅黑"/>
                <w:color w:val="01010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36.44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微软雅黑"/>
                <w:color w:val="01010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11%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5" w:firstLineChars="192"/>
              <w:jc w:val="left"/>
              <w:rPr>
                <w:rFonts w:hint="eastAsia" w:ascii="仿宋" w:hAnsi="仿宋" w:eastAsia="仿宋" w:cs="微软雅黑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10101"/>
                <w:kern w:val="0"/>
                <w:szCs w:val="21"/>
                <w:lang w:bidi="ar"/>
              </w:rPr>
              <w:t>支出预算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firstLine="403" w:firstLineChars="192"/>
              <w:jc w:val="right"/>
              <w:rPr>
                <w:rFonts w:hint="default" w:ascii="仿宋" w:hAnsi="仿宋" w:eastAsia="仿宋" w:cs="微软雅黑"/>
                <w:color w:val="01010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371.27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315" w:leftChars="0" w:right="126" w:rightChars="0" w:hanging="315" w:hangingChars="150"/>
              <w:jc w:val="right"/>
              <w:rPr>
                <w:rFonts w:hint="eastAsia" w:ascii="仿宋" w:hAnsi="仿宋" w:eastAsia="仿宋" w:cs="微软雅黑"/>
                <w:color w:val="01010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334.83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rightChars="0" w:firstLine="403" w:firstLineChars="192"/>
              <w:jc w:val="right"/>
              <w:rPr>
                <w:rFonts w:hint="eastAsia" w:ascii="仿宋" w:hAnsi="仿宋" w:eastAsia="仿宋" w:cs="微软雅黑"/>
                <w:color w:val="01010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36.44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微软雅黑"/>
                <w:color w:val="01010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11%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left"/>
              <w:rPr>
                <w:rFonts w:hint="eastAsia" w:ascii="仿宋" w:hAnsi="仿宋" w:eastAsia="仿宋" w:cs="微软雅黑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其中：基本支出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firstLine="0" w:firstLineChars="0"/>
              <w:jc w:val="right"/>
              <w:rPr>
                <w:rFonts w:hint="default" w:ascii="仿宋" w:hAnsi="仿宋" w:eastAsia="仿宋" w:cs="微软雅黑"/>
                <w:color w:val="01010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170.97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315" w:leftChars="0" w:right="126" w:rightChars="0" w:hanging="315" w:hangingChars="150"/>
              <w:jc w:val="right"/>
              <w:rPr>
                <w:rFonts w:hint="eastAsia" w:ascii="仿宋" w:hAnsi="仿宋" w:eastAsia="仿宋" w:cs="微软雅黑"/>
                <w:color w:val="01010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265.83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126"/>
              <w:jc w:val="right"/>
              <w:rPr>
                <w:rFonts w:hint="default" w:ascii="仿宋" w:hAnsi="仿宋" w:eastAsia="仿宋" w:cs="微软雅黑"/>
                <w:color w:val="01010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-94.86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微软雅黑"/>
                <w:color w:val="01010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-36%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24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left"/>
              <w:rPr>
                <w:rFonts w:hint="eastAsia" w:ascii="仿宋" w:hAnsi="仿宋" w:eastAsia="仿宋" w:cs="微软雅黑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其中：项目支出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firstLine="403" w:firstLineChars="192"/>
              <w:jc w:val="right"/>
              <w:rPr>
                <w:rFonts w:hint="default" w:ascii="仿宋" w:hAnsi="仿宋" w:eastAsia="仿宋" w:cs="微软雅黑"/>
                <w:color w:val="01010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200.3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315" w:leftChars="0" w:right="126" w:rightChars="0" w:hanging="315" w:hangingChars="150"/>
              <w:jc w:val="right"/>
              <w:rPr>
                <w:rFonts w:hint="eastAsia" w:ascii="仿宋" w:hAnsi="仿宋" w:eastAsia="仿宋" w:cs="微软雅黑"/>
                <w:color w:val="01010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69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firstLine="403" w:firstLineChars="192"/>
              <w:jc w:val="right"/>
              <w:rPr>
                <w:rFonts w:hint="default" w:ascii="仿宋" w:hAnsi="仿宋" w:eastAsia="仿宋" w:cs="微软雅黑"/>
                <w:color w:val="01010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131.1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微软雅黑"/>
                <w:color w:val="01010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190%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left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firstLine="403" w:firstLineChars="192"/>
              <w:jc w:val="right"/>
              <w:rPr>
                <w:rFonts w:hint="eastAsia" w:ascii="仿宋" w:hAnsi="仿宋" w:eastAsia="仿宋" w:cs="微软雅黑"/>
                <w:color w:val="010101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firstLine="403" w:firstLineChars="192"/>
              <w:jc w:val="right"/>
              <w:rPr>
                <w:rFonts w:hint="eastAsia" w:ascii="仿宋" w:hAnsi="仿宋" w:eastAsia="仿宋" w:cs="微软雅黑"/>
                <w:color w:val="010101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firstLine="403" w:firstLineChars="192"/>
              <w:jc w:val="right"/>
              <w:rPr>
                <w:rFonts w:hint="eastAsia" w:ascii="仿宋" w:hAnsi="仿宋" w:eastAsia="仿宋" w:cs="微软雅黑"/>
                <w:color w:val="010101"/>
                <w:szCs w:val="21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微软雅黑"/>
                <w:color w:val="01010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  <w:jc w:val="center"/>
        </w:trPr>
        <w:tc>
          <w:tcPr>
            <w:tcW w:w="2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left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firstLine="403" w:firstLineChars="192"/>
              <w:jc w:val="right"/>
              <w:rPr>
                <w:rFonts w:hint="eastAsia" w:ascii="仿宋" w:hAnsi="仿宋" w:eastAsia="仿宋" w:cs="微软雅黑"/>
                <w:color w:val="010101"/>
                <w:szCs w:val="21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firstLine="403" w:firstLineChars="192"/>
              <w:jc w:val="right"/>
              <w:rPr>
                <w:rFonts w:hint="eastAsia" w:ascii="仿宋" w:hAnsi="仿宋" w:eastAsia="仿宋" w:cs="微软雅黑"/>
                <w:color w:val="010101"/>
                <w:szCs w:val="21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firstLine="403" w:firstLineChars="192"/>
              <w:jc w:val="right"/>
              <w:rPr>
                <w:rFonts w:hint="eastAsia" w:ascii="仿宋" w:hAnsi="仿宋" w:eastAsia="仿宋" w:cs="微软雅黑"/>
                <w:color w:val="010101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微软雅黑"/>
                <w:color w:val="01010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根据年初预算批复，与上年比较，</w:t>
      </w:r>
      <w:r>
        <w:rPr>
          <w:rFonts w:hint="eastAsia" w:ascii="仿宋" w:hAnsi="仿宋" w:eastAsia="仿宋"/>
          <w:sz w:val="32"/>
          <w:szCs w:val="32"/>
          <w:lang w:eastAsia="zh-CN"/>
        </w:rPr>
        <w:t>基本支出较上年有较大减少，原因是进一步缩减行政开支。项目支出</w:t>
      </w:r>
      <w:r>
        <w:rPr>
          <w:rFonts w:hint="eastAsia" w:ascii="仿宋" w:hAnsi="仿宋" w:eastAsia="仿宋"/>
          <w:sz w:val="32"/>
          <w:szCs w:val="32"/>
        </w:rPr>
        <w:t>较上年有</w:t>
      </w:r>
      <w:r>
        <w:rPr>
          <w:rFonts w:hint="eastAsia" w:ascii="仿宋" w:hAnsi="仿宋" w:eastAsia="仿宋"/>
          <w:sz w:val="32"/>
          <w:szCs w:val="32"/>
          <w:lang w:eastAsia="zh-CN"/>
        </w:rPr>
        <w:t>较大</w:t>
      </w:r>
      <w:r>
        <w:rPr>
          <w:rFonts w:hint="eastAsia" w:ascii="仿宋" w:hAnsi="仿宋" w:eastAsia="仿宋"/>
          <w:sz w:val="32"/>
          <w:szCs w:val="32"/>
        </w:rPr>
        <w:t>增</w:t>
      </w:r>
      <w:r>
        <w:rPr>
          <w:rFonts w:hint="eastAsia" w:ascii="仿宋" w:hAnsi="仿宋" w:eastAsia="仿宋"/>
          <w:sz w:val="32"/>
          <w:szCs w:val="32"/>
          <w:lang w:eastAsia="zh-CN"/>
        </w:rPr>
        <w:t>长</w:t>
      </w:r>
      <w:r>
        <w:rPr>
          <w:rFonts w:hint="eastAsia" w:ascii="仿宋" w:hAnsi="仿宋" w:eastAsia="仿宋"/>
          <w:sz w:val="32"/>
          <w:szCs w:val="32"/>
        </w:rPr>
        <w:t>，原因</w:t>
      </w:r>
      <w:r>
        <w:rPr>
          <w:rFonts w:hint="eastAsia" w:ascii="仿宋" w:hAnsi="仿宋" w:eastAsia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2020年有供销综合改革任务，在全县15个乡镇，413个行政村成立基层供销社并挂牌，改革需要的项目资金较大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2.财政预算整体支出使用范围、方向和内容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1748"/>
        <w:gridCol w:w="1495"/>
        <w:gridCol w:w="2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支出项目</w:t>
            </w:r>
          </w:p>
        </w:tc>
        <w:tc>
          <w:tcPr>
            <w:tcW w:w="17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both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基本支出</w:t>
            </w:r>
          </w:p>
        </w:tc>
        <w:tc>
          <w:tcPr>
            <w:tcW w:w="14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both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项目支出</w:t>
            </w:r>
          </w:p>
        </w:tc>
        <w:tc>
          <w:tcPr>
            <w:tcW w:w="2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工资福利支出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138.71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138.71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商品和服务支出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27.44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180.3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207.74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对个人和家庭的补助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4.82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4.82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1243" w:firstLineChars="592"/>
              <w:jc w:val="both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eastAsia="zh-CN" w:bidi="ar"/>
              </w:rPr>
              <w:t>其他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合</w:t>
            </w: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Cs w:val="21"/>
                <w:lang w:bidi="ar"/>
              </w:rPr>
              <w:t> 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计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170.97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200.3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371.27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（二）年度收支决算情况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1.年度收入决算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1693"/>
        <w:gridCol w:w="1820"/>
        <w:gridCol w:w="22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收入来源</w:t>
            </w:r>
          </w:p>
        </w:tc>
        <w:tc>
          <w:tcPr>
            <w:tcW w:w="1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预算金额</w:t>
            </w:r>
          </w:p>
        </w:tc>
        <w:tc>
          <w:tcPr>
            <w:tcW w:w="1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决算金额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差额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财政拨款收入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371.27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237.72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-133.55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有差额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color w:val="auto"/>
          <w:sz w:val="32"/>
          <w:szCs w:val="32"/>
        </w:rPr>
        <w:t>原因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是财政拨款不足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2.年度预算支出决算及结余</w:t>
      </w:r>
    </w:p>
    <w:tbl>
      <w:tblPr>
        <w:tblStyle w:val="8"/>
        <w:tblW w:w="7953" w:type="dxa"/>
        <w:tblInd w:w="1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9"/>
        <w:gridCol w:w="2268"/>
        <w:gridCol w:w="1984"/>
        <w:gridCol w:w="19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预算支出类别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预算金额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决算金额</w:t>
            </w:r>
          </w:p>
        </w:tc>
        <w:tc>
          <w:tcPr>
            <w:tcW w:w="19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增减金额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基本支出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170.97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237.72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66.75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项目支出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200.3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-200.3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371.27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237.72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-133.55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增减原因</w:t>
      </w:r>
      <w:r>
        <w:rPr>
          <w:rFonts w:hint="eastAsia" w:ascii="仿宋" w:hAnsi="仿宋" w:eastAsia="仿宋"/>
          <w:sz w:val="32"/>
          <w:szCs w:val="32"/>
          <w:lang w:eastAsia="zh-CN"/>
        </w:rPr>
        <w:t>为项目支出纳入本年度</w:t>
      </w:r>
      <w:r>
        <w:rPr>
          <w:rFonts w:hint="eastAsia" w:ascii="仿宋" w:hAnsi="仿宋" w:eastAsia="仿宋"/>
          <w:sz w:val="32"/>
          <w:szCs w:val="32"/>
        </w:rPr>
        <w:t>预算</w:t>
      </w:r>
      <w:r>
        <w:rPr>
          <w:rFonts w:hint="eastAsia" w:ascii="仿宋" w:hAnsi="仿宋" w:eastAsia="仿宋"/>
          <w:sz w:val="32"/>
          <w:szCs w:val="32"/>
          <w:lang w:eastAsia="zh-CN"/>
        </w:rPr>
        <w:t>但没有纳入本单位本年度核算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三、部门整体支出管理及使用情况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firstLine="614" w:firstLineChars="192"/>
        <w:jc w:val="both"/>
        <w:rPr>
          <w:rFonts w:hint="eastAsia" w:ascii="楷体" w:hAnsi="楷体" w:eastAsia="楷体" w:cs="楷体"/>
          <w:b w:val="0"/>
          <w:kern w:val="2"/>
          <w:sz w:val="32"/>
          <w:szCs w:val="32"/>
          <w:lang w:val="en-US" w:eastAsia="zh-CN" w:bidi="ar-SA"/>
        </w:rPr>
      </w:pPr>
      <w:bookmarkStart w:id="0" w:name="_Toc419142208"/>
      <w:r>
        <w:rPr>
          <w:rFonts w:hint="eastAsia" w:ascii="楷体" w:hAnsi="楷体" w:eastAsia="楷体" w:cs="楷体"/>
          <w:b w:val="0"/>
          <w:kern w:val="2"/>
          <w:sz w:val="32"/>
          <w:szCs w:val="32"/>
          <w:lang w:val="en-US" w:eastAsia="zh-CN" w:bidi="ar-SA"/>
        </w:rPr>
        <w:t>（一）基本支出管理</w:t>
      </w:r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firstLine="614" w:firstLineChars="192"/>
        <w:rPr>
          <w:rFonts w:hint="default" w:ascii="仿宋" w:hAnsi="仿宋" w:eastAsia="仿宋"/>
          <w:b w:val="0"/>
          <w:kern w:val="2"/>
          <w:sz w:val="32"/>
          <w:szCs w:val="32"/>
        </w:rPr>
      </w:pPr>
      <w:r>
        <w:rPr>
          <w:rFonts w:ascii="仿宋" w:hAnsi="仿宋" w:eastAsia="仿宋"/>
          <w:b w:val="0"/>
          <w:kern w:val="2"/>
          <w:sz w:val="32"/>
          <w:szCs w:val="32"/>
        </w:rPr>
        <w:t>1、基本支出总额使用和管理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2"/>
        <w:gridCol w:w="1666"/>
        <w:gridCol w:w="1604"/>
        <w:gridCol w:w="24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Cs w:val="21"/>
                <w:lang w:bidi="ar"/>
              </w:rPr>
              <w:t> 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预决算支出项目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预算金额</w:t>
            </w:r>
          </w:p>
        </w:tc>
        <w:tc>
          <w:tcPr>
            <w:tcW w:w="1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决算金额</w:t>
            </w:r>
          </w:p>
        </w:tc>
        <w:tc>
          <w:tcPr>
            <w:tcW w:w="2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节约/超支金额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工资福利支出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138.71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141.16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2.45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商品和服务支出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27.44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77.89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50.45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right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对个人和家庭的补助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4.82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18.27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13.45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eastAsia="zh-CN" w:bidi="ar"/>
              </w:rPr>
              <w:t>其他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0.4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170.97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237.72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66.75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2、基本支出中各费用明细支出管理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（1）工资福利支出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1"/>
        <w:gridCol w:w="1134"/>
        <w:gridCol w:w="1134"/>
        <w:gridCol w:w="1417"/>
        <w:gridCol w:w="16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2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费用项目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预算金额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决算金额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节约/超支金额</w:t>
            </w:r>
          </w:p>
        </w:tc>
        <w:tc>
          <w:tcPr>
            <w:tcW w:w="16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节约/超支率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基本工资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62.96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63.7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-0.74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津贴补贴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35.88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0.12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奖金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5.25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18.14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-12.89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-246%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伙食补助费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绩效工资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机关事业单位基本养老保险缴费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15.83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14.4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1.43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职业年金缴费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职工基本医疗保险缴费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3.98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8.29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-4.31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-108%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公务员医疗补助缴费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其他社会保障缴费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2.18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0.74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1.44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66%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住房公积金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12.5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医疗费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其他工资福利支出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138.71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141.16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-2.45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-1%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工资福利支出控制在预算内。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（2）商品和服务支出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3"/>
        <w:gridCol w:w="1398"/>
        <w:gridCol w:w="1537"/>
        <w:gridCol w:w="1429"/>
        <w:gridCol w:w="16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tblHeader/>
          <w:jc w:val="center"/>
        </w:trPr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bookmarkStart w:id="3" w:name="_GoBack"/>
            <w:bookmarkEnd w:id="3"/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right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预算金额</w:t>
            </w:r>
          </w:p>
        </w:tc>
        <w:tc>
          <w:tcPr>
            <w:tcW w:w="1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决算金额</w:t>
            </w:r>
          </w:p>
        </w:tc>
        <w:tc>
          <w:tcPr>
            <w:tcW w:w="14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增减额</w:t>
            </w:r>
          </w:p>
        </w:tc>
        <w:tc>
          <w:tcPr>
            <w:tcW w:w="1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增减率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办公费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0.38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-0.62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-62%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印刷费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咨询费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手续费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电费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邮电费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取暖费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物业管理费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差旅费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因公出国（境）费用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维修（护）费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-0.5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租赁费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会议费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培训费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公务接待费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0.11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-0.39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-78%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专用材料费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被装购置费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专用燃料费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劳务费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委托业务费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工会经费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10.98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20.99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10.01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91%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福利费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right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公务用车运行维护费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其他交通费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10.56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14.82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4.26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税金及附加费用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其他商品和服务支出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2.9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41.28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38.38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1323%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27.44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77.88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50.44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184%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物业管理费和维修维护费差异较大的原因是办公楼搬迁导致。工会经费增长率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较大的原因是2019年、2020年的工会经费入账在2020年。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其他商品和服务支出</w:t>
      </w:r>
      <w:r>
        <w:rPr>
          <w:rFonts w:hint="eastAsia" w:ascii="仿宋" w:hAnsi="仿宋" w:eastAsia="仿宋"/>
          <w:color w:val="auto"/>
          <w:sz w:val="32"/>
          <w:szCs w:val="32"/>
        </w:rPr>
        <w:t>增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长</w:t>
      </w:r>
      <w:r>
        <w:rPr>
          <w:rFonts w:hint="eastAsia" w:ascii="仿宋" w:hAnsi="仿宋" w:eastAsia="仿宋"/>
          <w:color w:val="auto"/>
          <w:sz w:val="32"/>
          <w:szCs w:val="32"/>
        </w:rPr>
        <w:t>率较大的原因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扶贫开支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各乡镇垃圾分类站建设项目支出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村镇供销社建设支出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没有纳入预算但纳入了决算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（3）对个人和家庭的补助</w:t>
      </w:r>
    </w:p>
    <w:tbl>
      <w:tblPr>
        <w:tblStyle w:val="8"/>
        <w:tblW w:w="83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1538"/>
        <w:gridCol w:w="1560"/>
        <w:gridCol w:w="1875"/>
        <w:gridCol w:w="1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支出项目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预算金额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决算金额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结余/超支金额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right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结余/超支率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离休费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3.05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3.38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0.32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退休费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9.13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9.13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退职（役）费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抚恤金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生活补助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1.76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0.88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-0.88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救济费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医疗费补助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助学金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奖励金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个人农业生产补贴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其他对个人和家庭的补助支出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4.88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4.88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4.81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18.27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13.46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280%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退休费和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bidi="ar"/>
        </w:rPr>
        <w:t>其他对个人和家庭的补助</w:t>
      </w:r>
      <w:r>
        <w:rPr>
          <w:rFonts w:hint="eastAsia" w:ascii="仿宋" w:hAnsi="仿宋" w:eastAsia="仿宋"/>
          <w:sz w:val="32"/>
          <w:szCs w:val="32"/>
          <w:lang w:eastAsia="zh-CN"/>
        </w:rPr>
        <w:t>超支率较大的</w:t>
      </w:r>
      <w:r>
        <w:rPr>
          <w:rFonts w:hint="eastAsia" w:ascii="仿宋" w:hAnsi="仿宋" w:eastAsia="仿宋"/>
          <w:sz w:val="32"/>
          <w:szCs w:val="32"/>
        </w:rPr>
        <w:t>原因</w:t>
      </w:r>
      <w:r>
        <w:rPr>
          <w:rFonts w:hint="eastAsia" w:ascii="仿宋" w:hAnsi="仿宋" w:eastAsia="仿宋"/>
          <w:sz w:val="32"/>
          <w:szCs w:val="32"/>
          <w:lang w:eastAsia="zh-CN"/>
        </w:rPr>
        <w:t>是没有纳入年初预算但是纳入了决算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（二）“三公经费”支出使用和管理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ascii="仿宋" w:hAnsi="仿宋" w:eastAsia="仿宋"/>
          <w:sz w:val="32"/>
          <w:szCs w:val="32"/>
        </w:rPr>
      </w:pPr>
      <w:bookmarkStart w:id="1" w:name="_Toc419142213"/>
      <w:r>
        <w:rPr>
          <w:rFonts w:hint="eastAsia" w:ascii="仿宋" w:hAnsi="仿宋" w:eastAsia="仿宋"/>
          <w:sz w:val="32"/>
          <w:szCs w:val="32"/>
        </w:rPr>
        <w:t>1</w:t>
      </w:r>
      <w:bookmarkEnd w:id="1"/>
      <w:r>
        <w:rPr>
          <w:rFonts w:hint="eastAsia" w:ascii="仿宋" w:hAnsi="仿宋" w:eastAsia="仿宋"/>
          <w:sz w:val="32"/>
          <w:szCs w:val="32"/>
        </w:rPr>
        <w:t>、“三公经费”预算执行</w:t>
      </w:r>
    </w:p>
    <w:tbl>
      <w:tblPr>
        <w:tblStyle w:val="8"/>
        <w:tblW w:w="84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1065"/>
        <w:gridCol w:w="1125"/>
        <w:gridCol w:w="1005"/>
        <w:gridCol w:w="1170"/>
        <w:gridCol w:w="1149"/>
        <w:gridCol w:w="12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费用项目</w:t>
            </w:r>
          </w:p>
        </w:tc>
        <w:tc>
          <w:tcPr>
            <w:tcW w:w="21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本年预算</w:t>
            </w:r>
          </w:p>
        </w:tc>
        <w:tc>
          <w:tcPr>
            <w:tcW w:w="21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本年决算</w:t>
            </w:r>
          </w:p>
        </w:tc>
        <w:tc>
          <w:tcPr>
            <w:tcW w:w="243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结余/超支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基本支出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项目支出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基本支出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项目支出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基本支出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315" w:leftChars="100" w:right="0" w:hanging="105" w:hangingChars="5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315" w:leftChars="100" w:right="0" w:hanging="105" w:hangingChars="50"/>
              <w:jc w:val="both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公务接待费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0.39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公车运行维护费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公务车购置费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因公出国费用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1.5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1.39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部分公务接待费和公车运行维护费记账在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下一年度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2、“三公经费”与上年度比较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1179"/>
        <w:gridCol w:w="1255"/>
        <w:gridCol w:w="1249"/>
        <w:gridCol w:w="24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费用项目</w:t>
            </w:r>
          </w:p>
        </w:tc>
        <w:tc>
          <w:tcPr>
            <w:tcW w:w="11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315" w:leftChars="100" w:right="0" w:hanging="105" w:hangingChars="50"/>
              <w:jc w:val="both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本年金额</w:t>
            </w:r>
          </w:p>
        </w:tc>
        <w:tc>
          <w:tcPr>
            <w:tcW w:w="12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315" w:leftChars="100" w:right="0" w:hanging="105" w:hangingChars="50"/>
              <w:jc w:val="both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上年金额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315" w:leftChars="100" w:right="0" w:hanging="105" w:hangingChars="50"/>
              <w:jc w:val="both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增减额</w:t>
            </w:r>
          </w:p>
        </w:tc>
        <w:tc>
          <w:tcPr>
            <w:tcW w:w="24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增减率%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公务接待费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0.5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公车运行维护费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公务车辆购置费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因公出国(境)费用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1.5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1.5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100%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差异</w:t>
      </w:r>
      <w:r>
        <w:rPr>
          <w:rFonts w:hint="eastAsia" w:ascii="仿宋" w:hAnsi="仿宋" w:eastAsia="仿宋"/>
          <w:sz w:val="32"/>
          <w:szCs w:val="32"/>
        </w:rPr>
        <w:t>较大的原因</w:t>
      </w:r>
      <w:r>
        <w:rPr>
          <w:rFonts w:hint="eastAsia" w:ascii="仿宋" w:hAnsi="仿宋" w:eastAsia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2019年度的公务接待费和公车运行维护费没有报账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专项支出管理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192"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无。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firstLine="614" w:firstLineChars="192"/>
        <w:jc w:val="both"/>
        <w:rPr>
          <w:rFonts w:ascii="仿宋" w:hAnsi="仿宋" w:eastAsia="仿宋" w:cs="黑体"/>
          <w:b w:val="0"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四、部门整体支出绩效评价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根据年度重点和日常工作安排，各项工作</w:t>
      </w:r>
      <w:r>
        <w:rPr>
          <w:rFonts w:hint="eastAsia" w:ascii="仿宋" w:hAnsi="仿宋" w:eastAsia="仿宋"/>
          <w:sz w:val="32"/>
          <w:szCs w:val="32"/>
          <w:lang w:eastAsia="zh-CN"/>
        </w:rPr>
        <w:t>都</w:t>
      </w:r>
      <w:r>
        <w:rPr>
          <w:rFonts w:hint="eastAsia" w:ascii="仿宋" w:hAnsi="仿宋" w:eastAsia="仿宋"/>
          <w:sz w:val="32"/>
          <w:szCs w:val="32"/>
        </w:rPr>
        <w:t>取得了新成绩和突破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15个乡镇和413个村已成立基层供销社并挂牌，成立县农合会</w:t>
      </w:r>
      <w:r>
        <w:rPr>
          <w:rFonts w:hint="eastAsia" w:ascii="仿宋" w:hAnsi="仿宋" w:eastAsia="仿宋"/>
          <w:sz w:val="32"/>
          <w:szCs w:val="32"/>
        </w:rPr>
        <w:t>；前面通过对部门整体支出情况的概述和实际支出情况的分析，部门整体支出绩效目标管理情况评价如下：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bookmarkStart w:id="2" w:name="_Toc419142222"/>
      <w:r>
        <w:rPr>
          <w:rFonts w:hint="eastAsia" w:ascii="楷体" w:hAnsi="楷体" w:eastAsia="楷体" w:cs="楷体"/>
          <w:sz w:val="32"/>
          <w:szCs w:val="32"/>
        </w:rPr>
        <w:t>经济性评价</w:t>
      </w:r>
      <w:bookmarkEnd w:id="2"/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我社成立了预算绩效管理领导小组，完善了预算绩效管理制度。在日常工作中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严格执行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预算管理制度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，资金拨付有完整的审批程序和手续，</w:t>
      </w:r>
      <w:r>
        <w:rPr>
          <w:rFonts w:hint="eastAsia" w:ascii="仿宋" w:hAnsi="仿宋" w:eastAsia="仿宋" w:cs="仿宋"/>
          <w:color w:val="343434"/>
          <w:kern w:val="0"/>
          <w:sz w:val="32"/>
          <w:szCs w:val="32"/>
        </w:rPr>
        <w:t>合理、节约、有效地使用每一项资金，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支出符合部门预算批复的用途，无截留、挤占、挪用、虚列支出等情况。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行政效能评价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我社</w:t>
      </w:r>
      <w:r>
        <w:rPr>
          <w:rFonts w:hint="eastAsia" w:ascii="仿宋" w:hAnsi="仿宋" w:eastAsia="仿宋" w:cs="仿宋"/>
          <w:color w:val="343434"/>
          <w:kern w:val="0"/>
          <w:sz w:val="32"/>
          <w:szCs w:val="32"/>
        </w:rPr>
        <w:t>建立健全</w:t>
      </w:r>
      <w:r>
        <w:rPr>
          <w:rFonts w:hint="eastAsia" w:ascii="仿宋" w:hAnsi="仿宋" w:eastAsia="仿宋" w:cs="仿宋"/>
          <w:color w:val="343434"/>
          <w:kern w:val="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绩效管理制度和</w:t>
      </w:r>
      <w:r>
        <w:rPr>
          <w:rFonts w:hint="eastAsia" w:ascii="仿宋" w:hAnsi="仿宋" w:eastAsia="仿宋" w:cs="仿宋"/>
          <w:color w:val="343434"/>
          <w:kern w:val="0"/>
          <w:sz w:val="32"/>
          <w:szCs w:val="32"/>
        </w:rPr>
        <w:t>内部</w:t>
      </w:r>
      <w:r>
        <w:rPr>
          <w:rFonts w:hint="eastAsia" w:ascii="仿宋" w:hAnsi="仿宋" w:eastAsia="仿宋" w:cs="仿宋"/>
          <w:color w:val="343434"/>
          <w:kern w:val="0"/>
          <w:sz w:val="32"/>
          <w:szCs w:val="32"/>
          <w:lang w:eastAsia="zh-CN"/>
        </w:rPr>
        <w:t>控制</w:t>
      </w:r>
      <w:r>
        <w:rPr>
          <w:rFonts w:hint="eastAsia" w:ascii="仿宋" w:hAnsi="仿宋" w:eastAsia="仿宋" w:cs="仿宋"/>
          <w:color w:val="343434"/>
          <w:kern w:val="0"/>
          <w:sz w:val="32"/>
          <w:szCs w:val="32"/>
        </w:rPr>
        <w:t>制度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。在工作中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严格执行各项有关法律法规、财务规章制度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、绩效管理制度、</w:t>
      </w:r>
      <w:r>
        <w:rPr>
          <w:rFonts w:hint="eastAsia" w:ascii="仿宋" w:hAnsi="仿宋" w:eastAsia="仿宋" w:cs="仿宋"/>
          <w:color w:val="343434"/>
          <w:kern w:val="0"/>
          <w:sz w:val="32"/>
          <w:szCs w:val="32"/>
        </w:rPr>
        <w:t>内部</w:t>
      </w:r>
      <w:r>
        <w:rPr>
          <w:rFonts w:hint="eastAsia" w:ascii="仿宋" w:hAnsi="仿宋" w:eastAsia="仿宋" w:cs="仿宋"/>
          <w:color w:val="343434"/>
          <w:kern w:val="0"/>
          <w:sz w:val="32"/>
          <w:szCs w:val="32"/>
          <w:lang w:eastAsia="zh-CN"/>
        </w:rPr>
        <w:t>控制。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项目产出及实现的社会效益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739" w:firstLineChars="23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部门履行职责对社会发展</w:t>
      </w:r>
      <w:r>
        <w:rPr>
          <w:rFonts w:hint="eastAsia" w:ascii="仿宋" w:hAnsi="仿宋" w:eastAsia="仿宋"/>
          <w:sz w:val="32"/>
          <w:szCs w:val="32"/>
          <w:lang w:eastAsia="zh-CN"/>
        </w:rPr>
        <w:t>带来极大的积极影响，有利于农业、农村、农民发展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可持续性分析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实施后，后续政策、资金、人员机构安排和管理措施等持续发展</w:t>
      </w:r>
      <w:r>
        <w:rPr>
          <w:rFonts w:hint="eastAsia" w:ascii="仿宋" w:hAnsi="仿宋" w:eastAsia="仿宋"/>
          <w:sz w:val="32"/>
          <w:szCs w:val="32"/>
          <w:lang w:eastAsia="zh-CN"/>
        </w:rPr>
        <w:t>有一定的影响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（五）社会公众满意度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我社在县委县政府、上级社的领导下，始终紧扣“改造自我、服务农民”的改革主题，在农村积极探索党建、村建、社建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三建合一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运作的惠农服务模式，全面完成各项工作，社会公众满意度达到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部门整体绩效得分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" w:leftChars="0"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我社</w:t>
      </w:r>
      <w:r>
        <w:rPr>
          <w:rFonts w:hint="eastAsia" w:ascii="仿宋" w:hAnsi="仿宋" w:eastAsia="仿宋" w:cs="仿宋"/>
          <w:color w:val="343434"/>
          <w:kern w:val="0"/>
          <w:sz w:val="32"/>
          <w:szCs w:val="32"/>
        </w:rPr>
        <w:t>严格预算收支管理,厉行节约，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支出符合部门预算批复的用途，</w:t>
      </w:r>
      <w:r>
        <w:rPr>
          <w:rFonts w:hint="eastAsia" w:ascii="仿宋" w:hAnsi="仿宋" w:eastAsia="仿宋" w:cs="仿宋"/>
          <w:sz w:val="32"/>
          <w:szCs w:val="32"/>
        </w:rPr>
        <w:t>财政预算资金的使用严格高效，没有违规使用资金现象，发挥了财政资金使用效益最大化目标。我单位整体绩效自评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 w:cs="仿宋"/>
          <w:sz w:val="32"/>
          <w:szCs w:val="32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计划安排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不够科学合理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六、改进意见及建议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（一）后续工作计划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结合我社实际，综合考量下年度工作需求，加强财务人员的业务培训，努力提高财务人员的整体素质，力求年度预算的配置做到更切合实际，更科学合理。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（二）主要经验做法、存在的问题和建议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1、加强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业务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培训，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增强履职水平。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学习新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的会计制度和政策法规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积极参加业务培训，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切实提高财务人员的整体素质和部门预算收支管理的整体水平。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firstLine="640" w:firstLineChars="200"/>
        <w:jc w:val="left"/>
        <w:rPr>
          <w:rFonts w:ascii="仿宋" w:hAnsi="仿宋" w:eastAsia="仿宋" w:cs="仿宋"/>
          <w:color w:val="34343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合理编制预算，提高准确程度。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根据预算单位依法履行职能和事业发展的需要，按照保工资</w:t>
      </w:r>
      <w:r>
        <w:rPr>
          <w:rFonts w:hint="eastAsia" w:ascii="仿宋" w:hAnsi="仿宋" w:eastAsia="仿宋" w:cs="仿宋"/>
          <w:color w:val="343434"/>
          <w:kern w:val="0"/>
          <w:sz w:val="32"/>
          <w:szCs w:val="32"/>
        </w:rPr>
        <w:t>、保运转、保民生的原则综合平衡，编制全面、完整、准确的财政预算。</w:t>
      </w:r>
    </w:p>
    <w:p>
      <w:pPr>
        <w:adjustRightInd w:val="0"/>
        <w:snapToGrid w:val="0"/>
        <w:spacing w:line="60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1" w:after="0" w:afterAutospacing="1" w:line="600" w:lineRule="exact"/>
        <w:ind w:left="480" w:right="0" w:hanging="480" w:hangingChars="15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ind w:left="0" w:leftChars="0" w:firstLine="0" w:firstLineChars="0"/>
      </w:pPr>
    </w:p>
    <w:sectPr>
      <w:pgSz w:w="16838" w:h="11906" w:orient="landscape"/>
      <w:pgMar w:top="1701" w:right="1440" w:bottom="1701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hanging="315"/>
      </w:pPr>
      <w:r>
        <w:separator/>
      </w:r>
    </w:p>
  </w:endnote>
  <w:endnote w:type="continuationSeparator" w:id="1">
    <w:p>
      <w:pPr>
        <w:spacing w:line="240" w:lineRule="auto"/>
        <w:ind w:hanging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70" w:hanging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70" w:hanging="2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70" w:hanging="2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hanging="315"/>
      </w:pPr>
      <w:r>
        <w:separator/>
      </w:r>
    </w:p>
  </w:footnote>
  <w:footnote w:type="continuationSeparator" w:id="1">
    <w:p>
      <w:pPr>
        <w:spacing w:line="240" w:lineRule="auto"/>
        <w:ind w:hanging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left="270" w:hanging="2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70" w:hanging="27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70" w:hanging="2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C7351C"/>
    <w:multiLevelType w:val="singleLevel"/>
    <w:tmpl w:val="B9C7351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EC89E45"/>
    <w:multiLevelType w:val="singleLevel"/>
    <w:tmpl w:val="6EC89E4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YzYzVjMTkxMTE2MGJlOTUwODEyMzY5OTM1MDUifQ=="/>
  </w:docVars>
  <w:rsids>
    <w:rsidRoot w:val="00000000"/>
    <w:rsid w:val="01AE371F"/>
    <w:rsid w:val="020B555D"/>
    <w:rsid w:val="02160DA9"/>
    <w:rsid w:val="029421D0"/>
    <w:rsid w:val="05771125"/>
    <w:rsid w:val="068F2AF5"/>
    <w:rsid w:val="09A27096"/>
    <w:rsid w:val="0AF03D24"/>
    <w:rsid w:val="0B182361"/>
    <w:rsid w:val="0C045320"/>
    <w:rsid w:val="0C3D1632"/>
    <w:rsid w:val="0C5C73E3"/>
    <w:rsid w:val="0C88141F"/>
    <w:rsid w:val="0D3E2484"/>
    <w:rsid w:val="0F1D4DA1"/>
    <w:rsid w:val="0F6A7FBF"/>
    <w:rsid w:val="0F7D4686"/>
    <w:rsid w:val="0F926381"/>
    <w:rsid w:val="100F6D82"/>
    <w:rsid w:val="109D35D5"/>
    <w:rsid w:val="1101753D"/>
    <w:rsid w:val="11E7674A"/>
    <w:rsid w:val="13496389"/>
    <w:rsid w:val="1435082F"/>
    <w:rsid w:val="14433D09"/>
    <w:rsid w:val="15247ECB"/>
    <w:rsid w:val="18495740"/>
    <w:rsid w:val="19B34288"/>
    <w:rsid w:val="1A7722AA"/>
    <w:rsid w:val="1BC04715"/>
    <w:rsid w:val="1C724306"/>
    <w:rsid w:val="1CF513E1"/>
    <w:rsid w:val="1D9A56B8"/>
    <w:rsid w:val="1DA11433"/>
    <w:rsid w:val="1DA40C5A"/>
    <w:rsid w:val="1DFE2374"/>
    <w:rsid w:val="1E817D78"/>
    <w:rsid w:val="1FF55F68"/>
    <w:rsid w:val="212C7671"/>
    <w:rsid w:val="22E31622"/>
    <w:rsid w:val="24766E1B"/>
    <w:rsid w:val="24F42B80"/>
    <w:rsid w:val="25F8447E"/>
    <w:rsid w:val="26BB1230"/>
    <w:rsid w:val="26BB586E"/>
    <w:rsid w:val="272F115E"/>
    <w:rsid w:val="27A86404"/>
    <w:rsid w:val="280E5B41"/>
    <w:rsid w:val="28870489"/>
    <w:rsid w:val="29445CCF"/>
    <w:rsid w:val="29854512"/>
    <w:rsid w:val="2B750100"/>
    <w:rsid w:val="2C807D18"/>
    <w:rsid w:val="2DBC180D"/>
    <w:rsid w:val="2DD15BA4"/>
    <w:rsid w:val="2E0A269A"/>
    <w:rsid w:val="2E53620F"/>
    <w:rsid w:val="2F2E5B06"/>
    <w:rsid w:val="2F9E73FF"/>
    <w:rsid w:val="30FA01A9"/>
    <w:rsid w:val="31B0734F"/>
    <w:rsid w:val="31FF4C57"/>
    <w:rsid w:val="32335097"/>
    <w:rsid w:val="325242CC"/>
    <w:rsid w:val="33171483"/>
    <w:rsid w:val="33BD2702"/>
    <w:rsid w:val="33CE7FC6"/>
    <w:rsid w:val="356C2D82"/>
    <w:rsid w:val="35B35D2C"/>
    <w:rsid w:val="36932CD7"/>
    <w:rsid w:val="36B76A68"/>
    <w:rsid w:val="36F35177"/>
    <w:rsid w:val="378F7B26"/>
    <w:rsid w:val="38095756"/>
    <w:rsid w:val="38191AC5"/>
    <w:rsid w:val="38905B19"/>
    <w:rsid w:val="38FB5ED8"/>
    <w:rsid w:val="39457B50"/>
    <w:rsid w:val="3A88452B"/>
    <w:rsid w:val="3AAA3ABB"/>
    <w:rsid w:val="3BFF130E"/>
    <w:rsid w:val="3D3C722B"/>
    <w:rsid w:val="3E612F34"/>
    <w:rsid w:val="3EBE0E20"/>
    <w:rsid w:val="3F030FEE"/>
    <w:rsid w:val="3F812645"/>
    <w:rsid w:val="41231C1C"/>
    <w:rsid w:val="42725D75"/>
    <w:rsid w:val="42B35308"/>
    <w:rsid w:val="43315DD9"/>
    <w:rsid w:val="433A0E4C"/>
    <w:rsid w:val="447E5054"/>
    <w:rsid w:val="46D97434"/>
    <w:rsid w:val="47B4199F"/>
    <w:rsid w:val="4A900196"/>
    <w:rsid w:val="4B291A20"/>
    <w:rsid w:val="4C674E87"/>
    <w:rsid w:val="4CA362E2"/>
    <w:rsid w:val="4EE3314E"/>
    <w:rsid w:val="4F3508AA"/>
    <w:rsid w:val="50D5102D"/>
    <w:rsid w:val="51333EC6"/>
    <w:rsid w:val="52126241"/>
    <w:rsid w:val="528C61F4"/>
    <w:rsid w:val="530B4604"/>
    <w:rsid w:val="530C4B8F"/>
    <w:rsid w:val="5364578C"/>
    <w:rsid w:val="539A4689"/>
    <w:rsid w:val="53FF0678"/>
    <w:rsid w:val="556B5F71"/>
    <w:rsid w:val="55BC0CF8"/>
    <w:rsid w:val="56A229D3"/>
    <w:rsid w:val="58676538"/>
    <w:rsid w:val="593B47B0"/>
    <w:rsid w:val="59B004B7"/>
    <w:rsid w:val="5A6B0004"/>
    <w:rsid w:val="5DB34A7A"/>
    <w:rsid w:val="5DD94FBF"/>
    <w:rsid w:val="5FC657D0"/>
    <w:rsid w:val="60516CCF"/>
    <w:rsid w:val="60A96F85"/>
    <w:rsid w:val="60C459FE"/>
    <w:rsid w:val="62B82F02"/>
    <w:rsid w:val="63193105"/>
    <w:rsid w:val="64114ACF"/>
    <w:rsid w:val="64BC7CDD"/>
    <w:rsid w:val="6827024F"/>
    <w:rsid w:val="68F54181"/>
    <w:rsid w:val="693C1228"/>
    <w:rsid w:val="69F529B9"/>
    <w:rsid w:val="6AF06D59"/>
    <w:rsid w:val="6BC01351"/>
    <w:rsid w:val="6C266C67"/>
    <w:rsid w:val="6C9D7A7A"/>
    <w:rsid w:val="6D0E6DF4"/>
    <w:rsid w:val="6D364397"/>
    <w:rsid w:val="6E051331"/>
    <w:rsid w:val="6E19152F"/>
    <w:rsid w:val="6E7002A0"/>
    <w:rsid w:val="6E762F15"/>
    <w:rsid w:val="70847C83"/>
    <w:rsid w:val="70B87988"/>
    <w:rsid w:val="70E9684B"/>
    <w:rsid w:val="71106263"/>
    <w:rsid w:val="721D5A9C"/>
    <w:rsid w:val="723D35E2"/>
    <w:rsid w:val="7299201D"/>
    <w:rsid w:val="73430107"/>
    <w:rsid w:val="7443166D"/>
    <w:rsid w:val="744A4349"/>
    <w:rsid w:val="764B358F"/>
    <w:rsid w:val="76530803"/>
    <w:rsid w:val="76712BF8"/>
    <w:rsid w:val="78970ECD"/>
    <w:rsid w:val="78FA4872"/>
    <w:rsid w:val="79764782"/>
    <w:rsid w:val="7BF6110D"/>
    <w:rsid w:val="7C4F039B"/>
    <w:rsid w:val="7CBF5501"/>
    <w:rsid w:val="7CD153A5"/>
    <w:rsid w:val="7D296A0C"/>
    <w:rsid w:val="7E813D2A"/>
    <w:rsid w:val="7F620533"/>
    <w:rsid w:val="7FDB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  <w:ind w:left="150" w:hanging="150" w:hangingChars="1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240" w:lineRule="auto"/>
      <w:ind w:left="0" w:firstLine="0" w:firstLineChars="0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 w:line="240" w:lineRule="auto"/>
      <w:ind w:left="0" w:firstLine="0" w:firstLineChars="0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 w:line="240" w:lineRule="auto"/>
      <w:ind w:left="0" w:firstLine="0" w:firstLineChars="0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 w:line="240" w:lineRule="auto"/>
      <w:ind w:left="0" w:firstLine="0" w:firstLineChars="0"/>
      <w:jc w:val="left"/>
    </w:pPr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2898</Words>
  <Characters>3466</Characters>
  <Lines>1</Lines>
  <Paragraphs>1</Paragraphs>
  <TotalTime>112</TotalTime>
  <ScaleCrop>false</ScaleCrop>
  <LinksUpToDate>false</LinksUpToDate>
  <CharactersWithSpaces>3468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2021-07-21T02:06:00Z</dcterms:created>
  <dc:creator>Administrator</dc:creator>
  <cp:lastModifiedBy>Administrator</cp:lastModifiedBy>
  <cp:lastPrinted>2021-08-02T02:34:00Z</cp:lastPrinted>
  <dcterms:modified xsi:type="dcterms:W3CDTF">2022-10-14T16:10:53Z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57A169BE7905400793C2198F47052586</vt:lpwstr>
  </property>
</Properties>
</file>