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adjustRightInd w:val="0"/>
        <w:snapToGrid w:val="0"/>
        <w:spacing w:line="600" w:lineRule="exact"/>
        <w:ind w:left="480" w:hanging="480"/>
        <w:outlineLvl w:val="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部门</w:t>
      </w:r>
      <w:r>
        <w:rPr>
          <w:rFonts w:ascii="仿宋" w:hAnsi="仿宋" w:eastAsia="仿宋"/>
          <w:sz w:val="32"/>
          <w:szCs w:val="32"/>
        </w:rPr>
        <w:t>概况</w:t>
      </w:r>
    </w:p>
    <w:p>
      <w:pPr>
        <w:pStyle w:val="9"/>
        <w:spacing w:before="0" w:beforeAutospacing="0" w:after="0" w:afterAutospacing="0"/>
        <w:ind w:firstLine="567"/>
        <w:rPr>
          <w:rFonts w:ascii="仿宋" w:hAnsi="仿宋" w:eastAsia="仿宋"/>
          <w:color w:val="555555"/>
          <w:sz w:val="28"/>
          <w:szCs w:val="28"/>
        </w:rPr>
      </w:pPr>
      <w:r>
        <w:rPr>
          <w:rFonts w:hint="eastAsia" w:ascii="微软雅黑" w:hAnsi="微软雅黑" w:eastAsia="微软雅黑" w:cs="微软雅黑"/>
          <w:color w:val="4C4C4C"/>
          <w:sz w:val="21"/>
          <w:szCs w:val="21"/>
        </w:rPr>
        <w:t>（</w:t>
      </w:r>
      <w:r>
        <w:rPr>
          <w:rFonts w:hint="eastAsia" w:ascii="仿宋" w:hAnsi="仿宋" w:eastAsia="仿宋" w:cs="宋体"/>
          <w:color w:val="555555"/>
          <w:sz w:val="28"/>
          <w:szCs w:val="28"/>
        </w:rPr>
        <w:t>一）新邵二中溯源于19</w:t>
      </w:r>
      <w:r>
        <w:rPr>
          <w:rFonts w:ascii="仿宋" w:hAnsi="仿宋" w:eastAsia="仿宋" w:cs="宋体"/>
          <w:color w:val="555555"/>
          <w:sz w:val="28"/>
          <w:szCs w:val="28"/>
        </w:rPr>
        <w:t>02</w:t>
      </w:r>
      <w:r>
        <w:rPr>
          <w:rFonts w:hint="eastAsia" w:ascii="仿宋" w:hAnsi="仿宋" w:eastAsia="仿宋" w:cs="宋体"/>
          <w:color w:val="555555"/>
          <w:sz w:val="28"/>
          <w:szCs w:val="28"/>
        </w:rPr>
        <w:t>年创办的一所市 示范性农村高级中学。</w:t>
      </w:r>
    </w:p>
    <w:p>
      <w:pPr>
        <w:pStyle w:val="9"/>
        <w:spacing w:before="0" w:beforeAutospacing="0" w:after="0" w:afterAutospacing="0"/>
        <w:ind w:firstLine="567"/>
        <w:rPr>
          <w:rFonts w:ascii="仿宋" w:hAnsi="仿宋" w:eastAsia="仿宋"/>
          <w:color w:val="555555"/>
          <w:sz w:val="28"/>
          <w:szCs w:val="28"/>
        </w:rPr>
      </w:pPr>
      <w:r>
        <w:rPr>
          <w:rFonts w:hint="eastAsia" w:ascii="仿宋" w:hAnsi="仿宋" w:eastAsia="仿宋" w:cs="宋体"/>
          <w:color w:val="555555"/>
          <w:sz w:val="28"/>
          <w:szCs w:val="28"/>
        </w:rPr>
        <w:t>多年来，我校贯彻执行党的教育方针，努力办人民满意教育。截至今日，我校培养了一批涉及到政坛、工商、学者教授、医学专家、教坛名师等业界人才。</w:t>
      </w:r>
    </w:p>
    <w:p>
      <w:pPr>
        <w:pStyle w:val="9"/>
        <w:spacing w:before="0" w:beforeAutospacing="0" w:after="0" w:afterAutospacing="0"/>
        <w:ind w:firstLine="567"/>
        <w:rPr>
          <w:rFonts w:ascii="仿宋" w:hAnsi="仿宋" w:eastAsia="仿宋"/>
          <w:color w:val="555555"/>
          <w:sz w:val="28"/>
          <w:szCs w:val="28"/>
        </w:rPr>
      </w:pPr>
      <w:r>
        <w:rPr>
          <w:rFonts w:hint="eastAsia" w:ascii="仿宋" w:hAnsi="仿宋" w:eastAsia="仿宋" w:cs="宋体"/>
          <w:color w:val="555555"/>
          <w:sz w:val="28"/>
          <w:szCs w:val="28"/>
        </w:rPr>
        <w:t>目前，校园面积</w:t>
      </w:r>
      <w:r>
        <w:rPr>
          <w:rFonts w:ascii="仿宋" w:hAnsi="仿宋" w:eastAsia="仿宋" w:cs="宋体"/>
          <w:color w:val="555555"/>
          <w:sz w:val="28"/>
          <w:szCs w:val="28"/>
        </w:rPr>
        <w:t>80</w:t>
      </w:r>
      <w:r>
        <w:rPr>
          <w:rFonts w:hint="eastAsia" w:ascii="仿宋" w:hAnsi="仿宋" w:eastAsia="仿宋" w:cs="宋体"/>
          <w:color w:val="555555"/>
          <w:sz w:val="28"/>
          <w:szCs w:val="28"/>
        </w:rPr>
        <w:t>余亩，校舍面积</w:t>
      </w:r>
      <w:r>
        <w:rPr>
          <w:rFonts w:ascii="仿宋" w:hAnsi="仿宋" w:eastAsia="仿宋" w:cs="宋体"/>
          <w:color w:val="555555"/>
          <w:sz w:val="28"/>
          <w:szCs w:val="28"/>
        </w:rPr>
        <w:t>2.61</w:t>
      </w:r>
      <w:r>
        <w:rPr>
          <w:rFonts w:hint="eastAsia" w:ascii="仿宋" w:hAnsi="仿宋" w:eastAsia="仿宋" w:cs="宋体"/>
          <w:color w:val="555555"/>
          <w:sz w:val="28"/>
          <w:szCs w:val="28"/>
        </w:rPr>
        <w:t>万平方米，绿化面积</w:t>
      </w:r>
      <w:r>
        <w:rPr>
          <w:rFonts w:ascii="仿宋" w:hAnsi="仿宋" w:eastAsia="仿宋" w:cs="宋体"/>
          <w:color w:val="555555"/>
          <w:sz w:val="28"/>
          <w:szCs w:val="28"/>
        </w:rPr>
        <w:t>1.9</w:t>
      </w:r>
      <w:r>
        <w:rPr>
          <w:rFonts w:hint="eastAsia" w:ascii="仿宋" w:hAnsi="仿宋" w:eastAsia="仿宋" w:cs="宋体"/>
          <w:color w:val="555555"/>
          <w:sz w:val="28"/>
          <w:szCs w:val="28"/>
        </w:rPr>
        <w:t>平方米，现有在职在岗教师</w:t>
      </w:r>
      <w:r>
        <w:rPr>
          <w:rFonts w:ascii="仿宋" w:hAnsi="仿宋" w:eastAsia="仿宋" w:cs="宋体"/>
          <w:color w:val="555555"/>
          <w:sz w:val="28"/>
          <w:szCs w:val="28"/>
        </w:rPr>
        <w:t>87</w:t>
      </w:r>
      <w:r>
        <w:rPr>
          <w:rFonts w:hint="eastAsia" w:ascii="仿宋" w:hAnsi="仿宋" w:eastAsia="仿宋" w:cs="宋体"/>
          <w:color w:val="555555"/>
          <w:sz w:val="28"/>
          <w:szCs w:val="28"/>
        </w:rPr>
        <w:t>名教职工，退休教师</w:t>
      </w:r>
      <w:r>
        <w:rPr>
          <w:rFonts w:ascii="仿宋" w:hAnsi="仿宋" w:eastAsia="仿宋" w:cs="宋体"/>
          <w:color w:val="555555"/>
          <w:sz w:val="28"/>
          <w:szCs w:val="28"/>
        </w:rPr>
        <w:t>33</w:t>
      </w:r>
      <w:r>
        <w:rPr>
          <w:rFonts w:hint="eastAsia" w:ascii="仿宋" w:hAnsi="仿宋" w:eastAsia="仿宋" w:cs="宋体"/>
          <w:color w:val="555555"/>
          <w:sz w:val="28"/>
          <w:szCs w:val="28"/>
        </w:rPr>
        <w:t>人，食堂及保安临时工人，共</w:t>
      </w:r>
      <w:r>
        <w:rPr>
          <w:rFonts w:ascii="仿宋" w:hAnsi="仿宋" w:eastAsia="仿宋" w:cs="宋体"/>
          <w:color w:val="555555"/>
          <w:sz w:val="28"/>
          <w:szCs w:val="28"/>
        </w:rPr>
        <w:t>24</w:t>
      </w:r>
      <w:r>
        <w:rPr>
          <w:rFonts w:hint="eastAsia" w:ascii="仿宋" w:hAnsi="仿宋" w:eastAsia="仿宋" w:cs="宋体"/>
          <w:color w:val="555555"/>
          <w:sz w:val="28"/>
          <w:szCs w:val="28"/>
        </w:rPr>
        <w:t>个教学班，</w:t>
      </w:r>
      <w:r>
        <w:rPr>
          <w:rFonts w:ascii="仿宋" w:hAnsi="仿宋" w:eastAsia="仿宋" w:cs="宋体"/>
          <w:color w:val="555555"/>
          <w:sz w:val="28"/>
          <w:szCs w:val="28"/>
        </w:rPr>
        <w:t>1284</w:t>
      </w:r>
      <w:r>
        <w:rPr>
          <w:rFonts w:hint="eastAsia" w:ascii="仿宋" w:hAnsi="仿宋" w:eastAsia="仿宋" w:cs="宋体"/>
          <w:color w:val="555555"/>
          <w:sz w:val="28"/>
          <w:szCs w:val="28"/>
        </w:rPr>
        <w:t>余名学生。</w:t>
      </w:r>
    </w:p>
    <w:p>
      <w:pPr>
        <w:pStyle w:val="9"/>
        <w:spacing w:before="0" w:beforeAutospacing="0" w:after="0" w:afterAutospacing="0"/>
        <w:ind w:firstLine="567"/>
        <w:rPr>
          <w:rFonts w:ascii="仿宋" w:hAnsi="仿宋" w:eastAsia="仿宋"/>
          <w:color w:val="555555"/>
          <w:sz w:val="28"/>
          <w:szCs w:val="28"/>
        </w:rPr>
      </w:pPr>
      <w:r>
        <w:rPr>
          <w:rFonts w:hint="eastAsia" w:ascii="仿宋" w:hAnsi="仿宋" w:eastAsia="仿宋" w:cs="宋体"/>
          <w:color w:val="555555"/>
          <w:sz w:val="28"/>
          <w:szCs w:val="28"/>
        </w:rPr>
        <w:t>正是长风破浪时，直挂云帆济沧海。新邵二中正以科学发展观为指全面推行素质教育，积极践行“以人为本，追求卓越”的办学理念和“一切为学生发展奠基，一切为教师成就服务”的办学方略。</w:t>
      </w:r>
    </w:p>
    <w:p>
      <w:pPr>
        <w:widowControl/>
        <w:spacing w:beforeLines="50" w:line="502" w:lineRule="atLeast"/>
        <w:ind w:left="420" w:hanging="42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（二）主要工作职责，主要负责高中基础教育</w:t>
      </w:r>
      <w:bookmarkStart w:id="3" w:name="_GoBack"/>
      <w:bookmarkEnd w:id="3"/>
      <w:r>
        <w:rPr>
          <w:rFonts w:hint="eastAsia" w:ascii="仿宋" w:hAnsi="仿宋" w:eastAsia="仿宋" w:cs="宋体"/>
          <w:color w:val="555555"/>
          <w:kern w:val="0"/>
          <w:sz w:val="28"/>
          <w:szCs w:val="28"/>
        </w:rPr>
        <w:t>教学工作。</w:t>
      </w:r>
    </w:p>
    <w:p>
      <w:pPr>
        <w:widowControl/>
        <w:spacing w:beforeLines="50" w:line="502" w:lineRule="atLeast"/>
        <w:ind w:left="420" w:hanging="42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（三）2020年度工作计划。</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以服务教育教学为宗旨，提高资金使用效益，通过教学育人，管理育人，服务育人去实现。2020年，为在追梦中发展，在引领中提升，办好人民满意教育，我校特做如下年度工作计划：</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1、指导思想</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全面贯彻党的教育方针，落实立德树人根本任务，坚持走内涵式综合改革之路，以推进素质教育为主题，以提升人才培养质量为核心，以提升课改创新能力为重点，以完善条件和高水平队伍建设为支撑，继续把握稳中求进、稳中向好的工作总基调，全力打造最美校园，为实现“市内领先，省内知名”的“二中梦”交出亮丽新答卷。</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2、工作目标</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1）主要目标</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德育为魂夯基石，课改为先铸品牌，完成高考学考预测目标。</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2)主要思路</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围绕“一个中心”，抓好“两支队伍”，推进“三大战略”，实现“四个转变”，深化“五项工程”。</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一个中心：教育教学中心；</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两支队伍：一支高素质的教师队伍，一支高素质的管理队伍；</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三大战略：“理念领先，科研兴校”战略，“以人为本、全员育人”战略，“立德树人，质量立校”战略。</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四个转变：课程设置由单一化向多元化转变，学习方式由被动型、个体型、接受型向自主型、合作型、探究型转变，教学方式由传统型向创新型转变，教育方式由管教型向养成型转变；</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五大工程：“读书工程”、“名师工程”、“青蓝工程”、“青春焕发工程”、“艺体惠校工程”。</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3、工作措施</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1）深化内部管理　促进内涵发展</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理顺管理体制，提升管理效能。充分发挥“校长负责制”、“年级主任负责制”、“班主任负责制”“三驾马车”的作用，积极构建以教育教学质量管理为中心的“三线监控”（德育线、教学线、年级线）、“三评促教”（学生评教、家长评教、委托第三方专业机构或同行评教）为主体的教育教学质量管理模式。</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深化人事管理改革，优化人力资源配置。完善岗位职责，细化绩效考评，做好年度教职工聘任工作，围绕育人这个根本和公平与质量这两个重点，创新绩效工资发放方式和高考、学考奖金发放方案。</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完善安全防范机制，深化平安学校建设。重点突出三项工作。一是加强预警机制，排查化解影响安全稳定的矛盾纠纷和突出问题；二是加强应急处置，做好敏感期、保障期等关键时间节点的安全稳定工作，开展对突发事件、重大影响、和谐稳定问题的应急处置；三是加强基础建设，制定校园技防、校园交通和安全保卫工作建设的工作意见。</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2）加强队伍建设　增强内在活力</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加强党群组织建设。认真学习贯彻党的十九大精神，积极推进依法治教工作，让校训（团结、守纪、求实、创新）和“三自”（自主、自觉、自强）、“三爱”（爱教育、爱学校、爱学生）、“三满意”（做学生满意教师、创家长满意学校、办人民满意教育）精神成为党员群众的精神坚守。</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加强干部队伍建设。加强顶层设计，加强层级管理，一级带着一级干，一级做给一级看，形成压力传导和责任传导机制，克服“为官不为”的问题，形成良好的“头雁效应”。</w:t>
      </w:r>
      <w:r>
        <w:rPr>
          <w:rFonts w:hint="eastAsia" w:ascii="微软雅黑" w:hAnsi="微软雅黑" w:eastAsia="仿宋" w:cs="宋体"/>
          <w:color w:val="555555"/>
          <w:kern w:val="0"/>
          <w:sz w:val="28"/>
          <w:szCs w:val="28"/>
        </w:rPr>
        <w:t> </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加强班主任队伍建设。通过“外引内培”的办法，既组织班主任外出学习和培训，又邀请专家到校传经送宝，努力使班主任成为我校立德树人、质量强校的中流砥柱；评选一批优秀班主任。</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加强师德师风建设。积极开展“师德师风提升年”和“做党和人民满意的好老师”活动，让《中小学教师职业道德规范》和《中小学教师违反职业道德行为处理办法》成为教师的价值、行动自觉，打造一支“德可为师，行可为范”的教师队伍；评选一批师德标兵。</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健全教师专业成长发展机制。深入推进“人才强校”战略，大力启动“教师素质提升工程”，持续实施“名师工程”、“青蓝工程”、“青春焕发工程”，重点落实“一师一优课，一课一名师”，活动，破解教师高原现象；评选一批教学名师。</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3）优化德育工作　促进校风建设</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创新德育研究，推进德育特色。一是课程化德育，让学生在规划设计中创造人生；二是生活化德育，让学生在道德体验中关爱他人；三是个性化德育，让学生在心理拓展中张扬自我；四是人文化德育，让学生在心灵呵护中快乐成长，形成各方面素质均衡、架构完整、丰富多元的德育体系。</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突出校风建设，强化养成教育。完善《新邵二中校风建设条例》，以个性化激励为引导，以主题班会搭建育人载体，培养学生自我教育能力，分年级、分阶段、分重点抓训练促养成。</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拓展德育空间，激发教育能量。以传承民族优秀文化为主线，以综合实践活动课程为亮点，以学生社团活动为展台，促进学生道德素质与主体人格的发展。</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助力家庭建设，涵养教育生态。以学校、家庭、社会“三结合”的德育网络为依托，让家长了解办学理念，焕发家校合作生机，推动家校通力合作，形成家校共管互赢的局面，让学生在家校连通中和谐发展。</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4）加强教学管理，优化教风学风</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改进工作作风，促进教风建设。以“博学、敦品、笃信、诲人”教风和《新邵县中小学教育工作常规》为抓手，解决工作常规“不落地”问题。一是加强教学常规检查，力促教师“凡讲必案，凡练必改，凡考必评”；二是深化“艺体惠校工程”，切实加强学校体育工作，推进艺术教育发展；三是开展教学开放日、课堂教学评优和“三评促教”等系列活动；四是打好考勤“组合拳”，继续实行学校领导对教师、教工代表对领导的抽查制度。</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营造学习氛围，优化学风建设。为增强“缜思、励学、爱国、爱人”学风建设的穿透力，一是开展学风建设专项治理，抓好学生学习常规教育，使纪律真正成为带电的“高压线”；二是开展“书香筑梦”活动，营造读书氛围；三是开展“全员育人”活动，对优秀学生实施“导师制”，激励冒尖，对后进学生实行“帮扶制”，激发潜力。</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深入开展教学研究，继续推动高效课堂。一是完善集体备课模式：备学情、备考纲、备导学案，相互交流，资源共享，让集体备课成为高效课堂的“助推剂”；二是坚持走“理念领先、科研兴校”之路，细化课改实施方案，形成有劲道的拳头学科，让课改成为引领教育新一轮发展的新支点和重头戏。</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加强高考学考管理，提高高考学考质量。加强对高考学考的蹲点领导，在全校形成关注高考学考、研究高考学考、服务高考学考的良好氛围和勤奋博学、成人成才的学习氛围；认真组织高三、高二的教学质量分析，及时进行教学反馈和调控；结合实际寻找发力点，打造新的高考增长点。</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5）增强后勤管理　优化服务功能</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丰富师生艺体生活，促进校园艺体文化。树立艺体文化价值，开展阳光艺术体育活动，展示艺体教学成果，铸就艺体文化之魂，助推学校素质教育发展。</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增强服务意识，优化服务质量。加强后勤工作人员“后勤不后，创先争优”的服务意识，建立“安全、健康、优质、高效”的后勤服务体系，开展后勤“精细化管理、规范化运作、主动性服务、有效性执行”优质服务竞赛，零距离服务，零障碍办事；规范财务管理，推动阳光财务，规范工作补助，严控“三公”经费，拒绝水电浪费，把住舌尖上的安全，努力提高师生满意率，切实为师生谋福祉。</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6）坚持统筹兼顾　实现协调发展</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做大做强教育促进会。积极研究、发掘、宣传、拓展新邵二中教育促进会的工作，让二中校友携起手来、抱起团来。</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二、部门整体支出规模、使用方向和内容</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一</w:t>
      </w:r>
      <w:r>
        <w:rPr>
          <w:rFonts w:hint="eastAsia" w:ascii="仿宋" w:hAnsi="仿宋" w:eastAsia="仿宋"/>
          <w:sz w:val="32"/>
          <w:szCs w:val="32"/>
        </w:rPr>
        <w:t>）年度预算收支情况</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1.年初预算收支</w:t>
      </w:r>
    </w:p>
    <w:tbl>
      <w:tblPr>
        <w:tblStyle w:val="10"/>
        <w:tblpPr w:leftFromText="180" w:rightFromText="180" w:vertAnchor="text" w:horzAnchor="page" w:tblpXSpec="center" w:tblpY="442"/>
        <w:tblOverlap w:val="never"/>
        <w:tblW w:w="86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135"/>
        <w:gridCol w:w="1736"/>
        <w:gridCol w:w="1624"/>
        <w:gridCol w:w="1344"/>
        <w:gridCol w:w="18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7" w:hRule="atLeast"/>
          <w:jc w:val="center"/>
        </w:trPr>
        <w:tc>
          <w:tcPr>
            <w:tcW w:w="2135" w:type="dxa"/>
            <w:vMerge w:val="restart"/>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宋体"/>
                <w:b/>
                <w:color w:val="000000"/>
                <w:kern w:val="0"/>
                <w:szCs w:val="21"/>
              </w:rPr>
              <w:t>预算项目</w:t>
            </w:r>
          </w:p>
        </w:tc>
        <w:tc>
          <w:tcPr>
            <w:tcW w:w="3360" w:type="dxa"/>
            <w:gridSpan w:val="2"/>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宋体"/>
                <w:b/>
                <w:color w:val="000000"/>
                <w:kern w:val="0"/>
                <w:szCs w:val="21"/>
              </w:rPr>
              <w:t>预算金额</w:t>
            </w:r>
          </w:p>
        </w:tc>
        <w:tc>
          <w:tcPr>
            <w:tcW w:w="3185" w:type="dxa"/>
            <w:gridSpan w:val="2"/>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宋体"/>
                <w:b/>
                <w:color w:val="000000"/>
                <w:kern w:val="0"/>
                <w:szCs w:val="21"/>
              </w:rPr>
              <w:t>较上年增减变化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2135" w:type="dxa"/>
            <w:vMerge w:val="continue"/>
            <w:shd w:val="clear" w:color="auto" w:fill="D9D9D9"/>
            <w:tcMar>
              <w:left w:w="108" w:type="dxa"/>
              <w:right w:w="108" w:type="dxa"/>
            </w:tcMar>
            <w:vAlign w:val="center"/>
          </w:tcPr>
          <w:p>
            <w:pPr>
              <w:snapToGrid w:val="0"/>
              <w:spacing w:line="600" w:lineRule="exact"/>
              <w:ind w:left="315" w:hanging="315"/>
              <w:rPr>
                <w:rFonts w:ascii="仿宋" w:hAnsi="仿宋" w:eastAsia="仿宋" w:cs="Arial"/>
                <w:color w:val="333333"/>
                <w:szCs w:val="21"/>
              </w:rPr>
            </w:pPr>
          </w:p>
        </w:tc>
        <w:tc>
          <w:tcPr>
            <w:tcW w:w="1736" w:type="dxa"/>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微软雅黑"/>
                <w:b/>
                <w:color w:val="000000"/>
                <w:kern w:val="0"/>
                <w:szCs w:val="21"/>
              </w:rPr>
              <w:t>2020</w:t>
            </w:r>
            <w:r>
              <w:rPr>
                <w:rFonts w:hint="eastAsia" w:ascii="仿宋" w:hAnsi="仿宋" w:eastAsia="仿宋" w:cs="宋体"/>
                <w:b/>
                <w:color w:val="000000"/>
                <w:kern w:val="0"/>
                <w:szCs w:val="21"/>
              </w:rPr>
              <w:t>年</w:t>
            </w:r>
          </w:p>
        </w:tc>
        <w:tc>
          <w:tcPr>
            <w:tcW w:w="1624" w:type="dxa"/>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微软雅黑"/>
                <w:b/>
                <w:color w:val="000000"/>
                <w:kern w:val="0"/>
                <w:szCs w:val="21"/>
              </w:rPr>
              <w:t>2019</w:t>
            </w:r>
            <w:r>
              <w:rPr>
                <w:rFonts w:hint="eastAsia" w:ascii="仿宋" w:hAnsi="仿宋" w:eastAsia="仿宋" w:cs="宋体"/>
                <w:b/>
                <w:color w:val="000000"/>
                <w:kern w:val="0"/>
                <w:szCs w:val="21"/>
              </w:rPr>
              <w:t>年</w:t>
            </w:r>
          </w:p>
        </w:tc>
        <w:tc>
          <w:tcPr>
            <w:tcW w:w="1344" w:type="dxa"/>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宋体"/>
                <w:b/>
                <w:color w:val="000000"/>
                <w:kern w:val="0"/>
                <w:szCs w:val="21"/>
              </w:rPr>
              <w:t>金额</w:t>
            </w:r>
          </w:p>
        </w:tc>
        <w:tc>
          <w:tcPr>
            <w:tcW w:w="1841" w:type="dxa"/>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宋体"/>
                <w:b/>
                <w:color w:val="000000"/>
                <w:kern w:val="0"/>
                <w:szCs w:val="21"/>
              </w:rPr>
              <w:t>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2135" w:type="dxa"/>
            <w:tcMar>
              <w:left w:w="108" w:type="dxa"/>
              <w:right w:w="108" w:type="dxa"/>
            </w:tcMar>
            <w:vAlign w:val="center"/>
          </w:tcPr>
          <w:p>
            <w:pPr>
              <w:widowControl/>
              <w:snapToGrid w:val="0"/>
              <w:spacing w:line="600" w:lineRule="exact"/>
              <w:ind w:left="316" w:hanging="316"/>
              <w:jc w:val="left"/>
              <w:rPr>
                <w:rFonts w:ascii="仿宋" w:hAnsi="仿宋" w:eastAsia="仿宋" w:cs="微软雅黑"/>
                <w:color w:val="010101"/>
                <w:szCs w:val="21"/>
              </w:rPr>
            </w:pPr>
            <w:r>
              <w:rPr>
                <w:rFonts w:hint="eastAsia" w:ascii="仿宋" w:hAnsi="仿宋" w:eastAsia="仿宋" w:cs="宋体"/>
                <w:b/>
                <w:color w:val="010101"/>
                <w:kern w:val="0"/>
                <w:szCs w:val="21"/>
              </w:rPr>
              <w:t>收入预算</w:t>
            </w:r>
          </w:p>
        </w:tc>
        <w:tc>
          <w:tcPr>
            <w:tcW w:w="1736"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ascii="仿宋" w:hAnsi="仿宋" w:eastAsia="仿宋" w:cs="微软雅黑"/>
                <w:color w:val="010101"/>
                <w:szCs w:val="21"/>
              </w:rPr>
              <w:t>1519.95</w:t>
            </w:r>
          </w:p>
        </w:tc>
        <w:tc>
          <w:tcPr>
            <w:tcW w:w="162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ascii="仿宋" w:hAnsi="仿宋" w:eastAsia="仿宋" w:cs="微软雅黑"/>
                <w:color w:val="010101"/>
                <w:szCs w:val="21"/>
              </w:rPr>
              <w:t>1576.3</w:t>
            </w:r>
          </w:p>
        </w:tc>
        <w:tc>
          <w:tcPr>
            <w:tcW w:w="134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w:t>
            </w:r>
            <w:r>
              <w:rPr>
                <w:rFonts w:ascii="仿宋" w:hAnsi="仿宋" w:eastAsia="仿宋" w:cs="微软雅黑"/>
                <w:color w:val="010101"/>
                <w:szCs w:val="21"/>
              </w:rPr>
              <w:t>56.35</w:t>
            </w:r>
          </w:p>
        </w:tc>
        <w:tc>
          <w:tcPr>
            <w:tcW w:w="1841" w:type="dxa"/>
            <w:tcMar>
              <w:left w:w="108" w:type="dxa"/>
              <w:right w:w="108" w:type="dxa"/>
            </w:tcMar>
            <w:vAlign w:val="center"/>
          </w:tcPr>
          <w:p>
            <w:pPr>
              <w:widowControl/>
              <w:snapToGrid w:val="0"/>
              <w:spacing w:line="600" w:lineRule="exact"/>
              <w:ind w:left="315" w:hanging="315"/>
              <w:jc w:val="center"/>
              <w:rPr>
                <w:rFonts w:ascii="仿宋" w:hAnsi="仿宋" w:eastAsia="仿宋" w:cs="微软雅黑"/>
                <w:color w:val="010101"/>
                <w:szCs w:val="21"/>
              </w:rPr>
            </w:pPr>
            <w:r>
              <w:rPr>
                <w:rFonts w:hint="eastAsia" w:ascii="仿宋" w:hAnsi="仿宋" w:eastAsia="仿宋" w:cs="微软雅黑"/>
                <w:color w:val="010101"/>
                <w:szCs w:val="21"/>
              </w:rPr>
              <w:t>-</w:t>
            </w:r>
            <w:r>
              <w:rPr>
                <w:rFonts w:ascii="仿宋" w:hAnsi="仿宋" w:eastAsia="仿宋" w:cs="微软雅黑"/>
                <w:color w:val="010101"/>
                <w:szCs w:val="21"/>
              </w:rPr>
              <w:t>3.57</w:t>
            </w:r>
            <w:r>
              <w:rPr>
                <w:rFonts w:hint="eastAsia" w:ascii="仿宋" w:hAnsi="仿宋" w:eastAsia="仿宋" w:cs="微软雅黑"/>
                <w:color w:val="01010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2135" w:type="dxa"/>
            <w:tcMar>
              <w:left w:w="108" w:type="dxa"/>
              <w:right w:w="108" w:type="dxa"/>
            </w:tcMar>
            <w:vAlign w:val="center"/>
          </w:tcPr>
          <w:p>
            <w:pPr>
              <w:widowControl/>
              <w:snapToGrid w:val="0"/>
              <w:spacing w:line="600" w:lineRule="exact"/>
              <w:ind w:left="315" w:hanging="315"/>
              <w:jc w:val="left"/>
              <w:rPr>
                <w:rFonts w:ascii="仿宋" w:hAnsi="仿宋" w:eastAsia="仿宋" w:cs="微软雅黑"/>
                <w:color w:val="010101"/>
                <w:szCs w:val="21"/>
              </w:rPr>
            </w:pPr>
            <w:r>
              <w:rPr>
                <w:rFonts w:hint="eastAsia" w:ascii="仿宋" w:hAnsi="仿宋" w:eastAsia="仿宋" w:cs="宋体"/>
                <w:color w:val="010101"/>
                <w:kern w:val="0"/>
                <w:szCs w:val="21"/>
              </w:rPr>
              <w:t>其中：财政经费拨款</w:t>
            </w:r>
          </w:p>
        </w:tc>
        <w:tc>
          <w:tcPr>
            <w:tcW w:w="1736"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ascii="仿宋" w:hAnsi="仿宋" w:eastAsia="仿宋" w:cs="微软雅黑"/>
                <w:color w:val="010101"/>
                <w:szCs w:val="21"/>
              </w:rPr>
              <w:t>986.49</w:t>
            </w:r>
          </w:p>
        </w:tc>
        <w:tc>
          <w:tcPr>
            <w:tcW w:w="162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ascii="仿宋" w:hAnsi="仿宋" w:eastAsia="仿宋" w:cs="微软雅黑"/>
                <w:color w:val="010101"/>
                <w:szCs w:val="21"/>
              </w:rPr>
              <w:t>1004.25</w:t>
            </w:r>
          </w:p>
        </w:tc>
        <w:tc>
          <w:tcPr>
            <w:tcW w:w="134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w:t>
            </w:r>
            <w:r>
              <w:rPr>
                <w:rFonts w:ascii="仿宋" w:hAnsi="仿宋" w:eastAsia="仿宋" w:cs="微软雅黑"/>
                <w:color w:val="010101"/>
                <w:szCs w:val="21"/>
              </w:rPr>
              <w:t>17.76</w:t>
            </w:r>
          </w:p>
        </w:tc>
        <w:tc>
          <w:tcPr>
            <w:tcW w:w="1841" w:type="dxa"/>
            <w:tcMar>
              <w:left w:w="108" w:type="dxa"/>
              <w:right w:w="108" w:type="dxa"/>
            </w:tcMar>
            <w:vAlign w:val="center"/>
          </w:tcPr>
          <w:p>
            <w:pPr>
              <w:widowControl/>
              <w:snapToGrid w:val="0"/>
              <w:spacing w:line="600" w:lineRule="exact"/>
              <w:ind w:left="315" w:hanging="315"/>
              <w:jc w:val="center"/>
              <w:rPr>
                <w:rFonts w:ascii="仿宋" w:hAnsi="仿宋" w:eastAsia="仿宋" w:cs="微软雅黑"/>
                <w:color w:val="010101"/>
                <w:szCs w:val="21"/>
              </w:rPr>
            </w:pPr>
            <w:r>
              <w:rPr>
                <w:rFonts w:hint="eastAsia" w:ascii="仿宋" w:hAnsi="仿宋" w:eastAsia="仿宋" w:cs="微软雅黑"/>
                <w:color w:val="010101"/>
                <w:szCs w:val="21"/>
              </w:rPr>
              <w:t>-</w:t>
            </w:r>
            <w:r>
              <w:rPr>
                <w:rFonts w:ascii="仿宋" w:hAnsi="仿宋" w:eastAsia="仿宋" w:cs="微软雅黑"/>
                <w:color w:val="010101"/>
                <w:szCs w:val="21"/>
              </w:rPr>
              <w:t>1.77</w:t>
            </w:r>
            <w:r>
              <w:rPr>
                <w:rFonts w:hint="eastAsia" w:ascii="仿宋" w:hAnsi="仿宋" w:eastAsia="仿宋" w:cs="微软雅黑"/>
                <w:color w:val="01010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2135" w:type="dxa"/>
            <w:tcMar>
              <w:left w:w="108" w:type="dxa"/>
              <w:right w:w="108" w:type="dxa"/>
            </w:tcMar>
            <w:vAlign w:val="center"/>
          </w:tcPr>
          <w:p>
            <w:pPr>
              <w:widowControl/>
              <w:snapToGrid w:val="0"/>
              <w:spacing w:line="600" w:lineRule="exact"/>
              <w:ind w:left="316" w:hanging="316"/>
              <w:jc w:val="left"/>
              <w:rPr>
                <w:rFonts w:ascii="仿宋" w:hAnsi="仿宋" w:eastAsia="仿宋" w:cs="微软雅黑"/>
                <w:color w:val="010101"/>
                <w:szCs w:val="21"/>
              </w:rPr>
            </w:pPr>
            <w:r>
              <w:rPr>
                <w:rFonts w:hint="eastAsia" w:ascii="仿宋" w:hAnsi="仿宋" w:eastAsia="仿宋" w:cs="宋体"/>
                <w:b/>
                <w:color w:val="010101"/>
                <w:kern w:val="0"/>
                <w:szCs w:val="21"/>
              </w:rPr>
              <w:t>支出预算</w:t>
            </w:r>
          </w:p>
        </w:tc>
        <w:tc>
          <w:tcPr>
            <w:tcW w:w="1736"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ascii="仿宋" w:hAnsi="仿宋" w:eastAsia="仿宋" w:cs="微软雅黑"/>
                <w:color w:val="010101"/>
                <w:szCs w:val="21"/>
              </w:rPr>
              <w:t>1519.95</w:t>
            </w:r>
          </w:p>
        </w:tc>
        <w:tc>
          <w:tcPr>
            <w:tcW w:w="162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ascii="仿宋" w:hAnsi="仿宋" w:eastAsia="仿宋" w:cs="微软雅黑"/>
                <w:color w:val="010101"/>
                <w:szCs w:val="21"/>
              </w:rPr>
              <w:t>1576.3</w:t>
            </w:r>
          </w:p>
        </w:tc>
        <w:tc>
          <w:tcPr>
            <w:tcW w:w="134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w:t>
            </w:r>
            <w:r>
              <w:rPr>
                <w:rFonts w:ascii="仿宋" w:hAnsi="仿宋" w:eastAsia="仿宋" w:cs="微软雅黑"/>
                <w:color w:val="010101"/>
                <w:szCs w:val="21"/>
              </w:rPr>
              <w:t>56.35</w:t>
            </w:r>
          </w:p>
        </w:tc>
        <w:tc>
          <w:tcPr>
            <w:tcW w:w="1841" w:type="dxa"/>
            <w:tcMar>
              <w:left w:w="108" w:type="dxa"/>
              <w:right w:w="108" w:type="dxa"/>
            </w:tcMar>
            <w:vAlign w:val="center"/>
          </w:tcPr>
          <w:p>
            <w:pPr>
              <w:widowControl/>
              <w:snapToGrid w:val="0"/>
              <w:spacing w:line="600" w:lineRule="exact"/>
              <w:ind w:left="315" w:hanging="315"/>
              <w:jc w:val="center"/>
              <w:rPr>
                <w:rFonts w:ascii="仿宋" w:hAnsi="仿宋" w:eastAsia="仿宋" w:cs="微软雅黑"/>
                <w:color w:val="010101"/>
                <w:szCs w:val="21"/>
              </w:rPr>
            </w:pPr>
            <w:r>
              <w:rPr>
                <w:rFonts w:hint="eastAsia" w:ascii="仿宋" w:hAnsi="仿宋" w:eastAsia="仿宋" w:cs="微软雅黑"/>
                <w:color w:val="010101"/>
                <w:szCs w:val="21"/>
              </w:rPr>
              <w:t>-</w:t>
            </w:r>
            <w:r>
              <w:rPr>
                <w:rFonts w:ascii="仿宋" w:hAnsi="仿宋" w:eastAsia="仿宋" w:cs="微软雅黑"/>
                <w:color w:val="010101"/>
                <w:szCs w:val="21"/>
              </w:rPr>
              <w:t>3.57</w:t>
            </w:r>
            <w:r>
              <w:rPr>
                <w:rFonts w:hint="eastAsia" w:ascii="仿宋" w:hAnsi="仿宋" w:eastAsia="仿宋" w:cs="微软雅黑"/>
                <w:color w:val="01010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2135" w:type="dxa"/>
            <w:tcMar>
              <w:left w:w="108" w:type="dxa"/>
              <w:right w:w="108" w:type="dxa"/>
            </w:tcMar>
            <w:vAlign w:val="center"/>
          </w:tcPr>
          <w:p>
            <w:pPr>
              <w:widowControl/>
              <w:snapToGrid w:val="0"/>
              <w:spacing w:line="600" w:lineRule="exact"/>
              <w:ind w:left="315" w:hanging="315"/>
              <w:jc w:val="left"/>
              <w:rPr>
                <w:rFonts w:ascii="仿宋" w:hAnsi="仿宋" w:eastAsia="仿宋" w:cs="微软雅黑"/>
                <w:color w:val="010101"/>
                <w:szCs w:val="21"/>
              </w:rPr>
            </w:pPr>
            <w:r>
              <w:rPr>
                <w:rFonts w:hint="eastAsia" w:ascii="仿宋" w:hAnsi="仿宋" w:eastAsia="仿宋" w:cs="宋体"/>
                <w:color w:val="010101"/>
                <w:kern w:val="0"/>
                <w:szCs w:val="21"/>
              </w:rPr>
              <w:t>其中：基本支出</w:t>
            </w:r>
          </w:p>
        </w:tc>
        <w:tc>
          <w:tcPr>
            <w:tcW w:w="1736"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ascii="仿宋" w:hAnsi="仿宋" w:eastAsia="仿宋" w:cs="微软雅黑"/>
                <w:color w:val="010101"/>
                <w:szCs w:val="21"/>
              </w:rPr>
              <w:t>1519.95</w:t>
            </w:r>
          </w:p>
        </w:tc>
        <w:tc>
          <w:tcPr>
            <w:tcW w:w="162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ascii="仿宋" w:hAnsi="仿宋" w:eastAsia="仿宋" w:cs="微软雅黑"/>
                <w:color w:val="010101"/>
                <w:szCs w:val="21"/>
              </w:rPr>
              <w:t>1576.3</w:t>
            </w:r>
          </w:p>
        </w:tc>
        <w:tc>
          <w:tcPr>
            <w:tcW w:w="134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w:t>
            </w:r>
            <w:r>
              <w:rPr>
                <w:rFonts w:ascii="仿宋" w:hAnsi="仿宋" w:eastAsia="仿宋" w:cs="微软雅黑"/>
                <w:color w:val="010101"/>
                <w:szCs w:val="21"/>
              </w:rPr>
              <w:t>56.35</w:t>
            </w:r>
          </w:p>
        </w:tc>
        <w:tc>
          <w:tcPr>
            <w:tcW w:w="1841" w:type="dxa"/>
            <w:tcMar>
              <w:left w:w="108" w:type="dxa"/>
              <w:right w:w="108" w:type="dxa"/>
            </w:tcMar>
            <w:vAlign w:val="center"/>
          </w:tcPr>
          <w:p>
            <w:pPr>
              <w:widowControl/>
              <w:snapToGrid w:val="0"/>
              <w:spacing w:line="600" w:lineRule="exact"/>
              <w:ind w:left="315" w:hanging="315"/>
              <w:jc w:val="center"/>
              <w:rPr>
                <w:rFonts w:ascii="仿宋" w:hAnsi="仿宋" w:eastAsia="仿宋" w:cs="微软雅黑"/>
                <w:color w:val="010101"/>
                <w:szCs w:val="21"/>
              </w:rPr>
            </w:pPr>
            <w:r>
              <w:rPr>
                <w:rFonts w:hint="eastAsia" w:ascii="仿宋" w:hAnsi="仿宋" w:eastAsia="仿宋" w:cs="微软雅黑"/>
                <w:color w:val="010101"/>
                <w:szCs w:val="21"/>
              </w:rPr>
              <w:t>-</w:t>
            </w:r>
            <w:r>
              <w:rPr>
                <w:rFonts w:ascii="仿宋" w:hAnsi="仿宋" w:eastAsia="仿宋" w:cs="微软雅黑"/>
                <w:color w:val="010101"/>
                <w:szCs w:val="21"/>
              </w:rPr>
              <w:t>3.57</w:t>
            </w:r>
            <w:r>
              <w:rPr>
                <w:rFonts w:hint="eastAsia" w:ascii="仿宋" w:hAnsi="仿宋" w:eastAsia="仿宋" w:cs="微软雅黑"/>
                <w:color w:val="01010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2" w:hRule="atLeast"/>
          <w:jc w:val="center"/>
        </w:trPr>
        <w:tc>
          <w:tcPr>
            <w:tcW w:w="2135" w:type="dxa"/>
            <w:tcMar>
              <w:left w:w="108" w:type="dxa"/>
              <w:right w:w="108" w:type="dxa"/>
            </w:tcMar>
            <w:vAlign w:val="center"/>
          </w:tcPr>
          <w:p>
            <w:pPr>
              <w:widowControl/>
              <w:snapToGrid w:val="0"/>
              <w:spacing w:line="600" w:lineRule="exact"/>
              <w:ind w:left="315" w:hanging="315"/>
              <w:jc w:val="left"/>
              <w:rPr>
                <w:rFonts w:ascii="仿宋" w:hAnsi="仿宋" w:eastAsia="仿宋" w:cs="微软雅黑"/>
                <w:color w:val="010101"/>
                <w:szCs w:val="21"/>
              </w:rPr>
            </w:pPr>
            <w:r>
              <w:rPr>
                <w:rFonts w:hint="eastAsia" w:ascii="仿宋" w:hAnsi="仿宋" w:eastAsia="仿宋" w:cs="宋体"/>
                <w:color w:val="010101"/>
                <w:kern w:val="0"/>
                <w:szCs w:val="21"/>
              </w:rPr>
              <w:t>其中：项目支出</w:t>
            </w:r>
          </w:p>
        </w:tc>
        <w:tc>
          <w:tcPr>
            <w:tcW w:w="1736"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0</w:t>
            </w:r>
          </w:p>
        </w:tc>
        <w:tc>
          <w:tcPr>
            <w:tcW w:w="162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0</w:t>
            </w:r>
          </w:p>
        </w:tc>
        <w:tc>
          <w:tcPr>
            <w:tcW w:w="134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p>
        </w:tc>
        <w:tc>
          <w:tcPr>
            <w:tcW w:w="1841" w:type="dxa"/>
            <w:tcMar>
              <w:left w:w="108" w:type="dxa"/>
              <w:right w:w="108" w:type="dxa"/>
            </w:tcMar>
            <w:vAlign w:val="center"/>
          </w:tcPr>
          <w:p>
            <w:pPr>
              <w:widowControl/>
              <w:snapToGrid w:val="0"/>
              <w:spacing w:line="600" w:lineRule="exact"/>
              <w:ind w:left="315" w:hanging="315"/>
              <w:jc w:val="center"/>
              <w:rPr>
                <w:rFonts w:ascii="仿宋" w:hAnsi="仿宋" w:eastAsia="仿宋" w:cs="微软雅黑"/>
                <w:color w:val="01010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 w:hRule="atLeast"/>
          <w:jc w:val="center"/>
        </w:trPr>
        <w:tc>
          <w:tcPr>
            <w:tcW w:w="2135" w:type="dxa"/>
            <w:tcMar>
              <w:left w:w="108" w:type="dxa"/>
              <w:right w:w="108" w:type="dxa"/>
            </w:tcMar>
            <w:vAlign w:val="center"/>
          </w:tcPr>
          <w:p>
            <w:pPr>
              <w:widowControl/>
              <w:snapToGrid w:val="0"/>
              <w:spacing w:line="600" w:lineRule="exact"/>
              <w:ind w:left="149" w:hanging="149" w:hangingChars="71"/>
              <w:jc w:val="left"/>
              <w:rPr>
                <w:rFonts w:ascii="仿宋" w:hAnsi="仿宋" w:eastAsia="仿宋" w:cs="宋体"/>
                <w:color w:val="010101"/>
                <w:kern w:val="0"/>
                <w:szCs w:val="21"/>
              </w:rPr>
            </w:pPr>
          </w:p>
        </w:tc>
        <w:tc>
          <w:tcPr>
            <w:tcW w:w="1736"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p>
        </w:tc>
        <w:tc>
          <w:tcPr>
            <w:tcW w:w="162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p>
        </w:tc>
        <w:tc>
          <w:tcPr>
            <w:tcW w:w="134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p>
        </w:tc>
        <w:tc>
          <w:tcPr>
            <w:tcW w:w="1841" w:type="dxa"/>
            <w:tcMar>
              <w:left w:w="108" w:type="dxa"/>
              <w:right w:w="108" w:type="dxa"/>
            </w:tcMar>
            <w:vAlign w:val="center"/>
          </w:tcPr>
          <w:p>
            <w:pPr>
              <w:widowControl/>
              <w:snapToGrid w:val="0"/>
              <w:spacing w:line="600" w:lineRule="exact"/>
              <w:ind w:left="315" w:hanging="315"/>
              <w:jc w:val="center"/>
              <w:rPr>
                <w:rFonts w:ascii="仿宋" w:hAnsi="仿宋" w:eastAsia="仿宋" w:cs="微软雅黑"/>
                <w:color w:val="010101"/>
                <w:szCs w:val="21"/>
              </w:rPr>
            </w:pPr>
          </w:p>
        </w:tc>
      </w:tr>
    </w:tbl>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根据年初预算批复，与上年比较，总收入较上年减少，主要是学生人数减少，财政拨款减少主要是学生人数减少，财政预算缩紧。</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2.财政预算整体支出使用范围、方向和内容</w:t>
      </w:r>
    </w:p>
    <w:tbl>
      <w:tblPr>
        <w:tblStyle w:val="10"/>
        <w:tblW w:w="0" w:type="auto"/>
        <w:jc w:val="center"/>
        <w:tblLayout w:type="fixed"/>
        <w:tblCellMar>
          <w:top w:w="0" w:type="dxa"/>
          <w:left w:w="0" w:type="dxa"/>
          <w:bottom w:w="0" w:type="dxa"/>
          <w:right w:w="0" w:type="dxa"/>
        </w:tblCellMar>
      </w:tblPr>
      <w:tblGrid>
        <w:gridCol w:w="2859"/>
        <w:gridCol w:w="1748"/>
        <w:gridCol w:w="1331"/>
        <w:gridCol w:w="2379"/>
      </w:tblGrid>
      <w:tr>
        <w:tblPrEx>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基本支出</w:t>
            </w:r>
          </w:p>
        </w:tc>
        <w:tc>
          <w:tcPr>
            <w:tcW w:w="133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合计</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工资福利支出</w:t>
            </w:r>
          </w:p>
        </w:tc>
        <w:tc>
          <w:tcPr>
            <w:tcW w:w="174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988.48</w:t>
            </w:r>
          </w:p>
        </w:tc>
        <w:tc>
          <w:tcPr>
            <w:tcW w:w="1331"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237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988.48</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商品和服务支出</w:t>
            </w:r>
          </w:p>
        </w:tc>
        <w:tc>
          <w:tcPr>
            <w:tcW w:w="174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318.93</w:t>
            </w:r>
          </w:p>
        </w:tc>
        <w:tc>
          <w:tcPr>
            <w:tcW w:w="1331"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237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318.93</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对个人和家庭的补助</w:t>
            </w:r>
          </w:p>
        </w:tc>
        <w:tc>
          <w:tcPr>
            <w:tcW w:w="174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212.55</w:t>
            </w:r>
          </w:p>
        </w:tc>
        <w:tc>
          <w:tcPr>
            <w:tcW w:w="1331"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237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212.55</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174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1331"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237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r>
      <w:tr>
        <w:tblPrEx>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合</w:t>
            </w:r>
            <w:r>
              <w:rPr>
                <w:rFonts w:hint="eastAsia" w:ascii="宋体" w:hAnsi="宋体" w:eastAsia="仿宋" w:cs="宋体"/>
                <w:bCs/>
                <w:color w:val="000000"/>
                <w:kern w:val="0"/>
                <w:szCs w:val="21"/>
              </w:rPr>
              <w:t> </w:t>
            </w:r>
            <w:r>
              <w:rPr>
                <w:rFonts w:hint="eastAsia" w:ascii="仿宋" w:hAnsi="仿宋" w:eastAsia="仿宋" w:cs="宋体"/>
                <w:bCs/>
                <w:color w:val="000000"/>
                <w:kern w:val="0"/>
                <w:szCs w:val="21"/>
              </w:rPr>
              <w:t>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1519.95</w:t>
            </w:r>
          </w:p>
        </w:tc>
        <w:tc>
          <w:tcPr>
            <w:tcW w:w="1331"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1519.95</w:t>
            </w:r>
          </w:p>
        </w:tc>
      </w:tr>
    </w:tbl>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二</w:t>
      </w:r>
      <w:r>
        <w:rPr>
          <w:rFonts w:hint="eastAsia" w:ascii="仿宋" w:hAnsi="仿宋" w:eastAsia="仿宋"/>
          <w:sz w:val="32"/>
          <w:szCs w:val="32"/>
        </w:rPr>
        <w:t>）年度收支决算情况</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1.年度收入决算</w:t>
      </w:r>
    </w:p>
    <w:tbl>
      <w:tblPr>
        <w:tblStyle w:val="10"/>
        <w:tblW w:w="0" w:type="auto"/>
        <w:jc w:val="center"/>
        <w:tblLayout w:type="fixed"/>
        <w:tblCellMar>
          <w:top w:w="0" w:type="dxa"/>
          <w:left w:w="0" w:type="dxa"/>
          <w:bottom w:w="0" w:type="dxa"/>
          <w:right w:w="0" w:type="dxa"/>
        </w:tblCellMar>
      </w:tblPr>
      <w:tblGrid>
        <w:gridCol w:w="2063"/>
        <w:gridCol w:w="1693"/>
        <w:gridCol w:w="1820"/>
        <w:gridCol w:w="2264"/>
      </w:tblGrid>
      <w:tr>
        <w:tblPrEx>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差额</w:t>
            </w:r>
          </w:p>
        </w:tc>
      </w:tr>
      <w:tr>
        <w:tblPrEx>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财政拨款收入</w:t>
            </w:r>
          </w:p>
        </w:tc>
        <w:tc>
          <w:tcPr>
            <w:tcW w:w="169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986.49</w:t>
            </w:r>
          </w:p>
        </w:tc>
        <w:tc>
          <w:tcPr>
            <w:tcW w:w="1820"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1223.52</w:t>
            </w:r>
          </w:p>
        </w:tc>
        <w:tc>
          <w:tcPr>
            <w:tcW w:w="226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37</w:t>
            </w:r>
          </w:p>
        </w:tc>
      </w:tr>
      <w:tr>
        <w:tblPrEx>
          <w:tblCellMar>
            <w:top w:w="0" w:type="dxa"/>
            <w:left w:w="0" w:type="dxa"/>
            <w:bottom w:w="0" w:type="dxa"/>
            <w:right w:w="0" w:type="dxa"/>
          </w:tblCellMar>
        </w:tblPrEx>
        <w:trPr>
          <w:trHeight w:val="599" w:hRule="atLeast"/>
          <w:jc w:val="center"/>
        </w:trPr>
        <w:tc>
          <w:tcPr>
            <w:tcW w:w="206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上级补助收入</w:t>
            </w:r>
          </w:p>
        </w:tc>
        <w:tc>
          <w:tcPr>
            <w:tcW w:w="1693" w:type="dxa"/>
            <w:tcBorders>
              <w:top w:val="single" w:color="auto" w:sz="8" w:space="0"/>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257.54</w:t>
            </w:r>
          </w:p>
        </w:tc>
        <w:tc>
          <w:tcPr>
            <w:tcW w:w="1820" w:type="dxa"/>
            <w:tcBorders>
              <w:top w:val="single" w:color="auto" w:sz="8" w:space="0"/>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0</w:t>
            </w:r>
          </w:p>
        </w:tc>
        <w:tc>
          <w:tcPr>
            <w:tcW w:w="2264" w:type="dxa"/>
            <w:tcBorders>
              <w:top w:val="single" w:color="auto" w:sz="8" w:space="0"/>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257.54</w:t>
            </w:r>
          </w:p>
        </w:tc>
      </w:tr>
      <w:tr>
        <w:tblPrEx>
          <w:tblCellMar>
            <w:top w:w="0" w:type="dxa"/>
            <w:left w:w="0" w:type="dxa"/>
            <w:bottom w:w="0" w:type="dxa"/>
            <w:right w:w="0" w:type="dxa"/>
          </w:tblCellMar>
        </w:tblPrEx>
        <w:trPr>
          <w:trHeight w:val="599" w:hRule="atLeast"/>
          <w:jc w:val="center"/>
        </w:trPr>
        <w:tc>
          <w:tcPr>
            <w:tcW w:w="206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事业收入</w:t>
            </w:r>
          </w:p>
        </w:tc>
        <w:tc>
          <w:tcPr>
            <w:tcW w:w="1693" w:type="dxa"/>
            <w:tcBorders>
              <w:top w:val="single" w:color="auto" w:sz="8" w:space="0"/>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275.92</w:t>
            </w:r>
          </w:p>
        </w:tc>
        <w:tc>
          <w:tcPr>
            <w:tcW w:w="1820" w:type="dxa"/>
            <w:tcBorders>
              <w:top w:val="single" w:color="auto" w:sz="8" w:space="0"/>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318.93</w:t>
            </w:r>
          </w:p>
        </w:tc>
        <w:tc>
          <w:tcPr>
            <w:tcW w:w="2264" w:type="dxa"/>
            <w:tcBorders>
              <w:top w:val="single" w:color="auto" w:sz="8" w:space="0"/>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43.01</w:t>
            </w:r>
          </w:p>
        </w:tc>
      </w:tr>
    </w:tbl>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财政公用经费拨款略有增加，上级补助收入决算表</w:t>
      </w:r>
      <w:r>
        <w:rPr>
          <w:rFonts w:hint="eastAsia" w:ascii="仿宋" w:hAnsi="仿宋" w:eastAsia="仿宋" w:cs="黑体"/>
          <w:color w:val="000000" w:themeColor="text1"/>
          <w:kern w:val="0"/>
          <w:sz w:val="32"/>
          <w:szCs w:val="32"/>
        </w:rPr>
        <w:t>会计列支其他科目</w:t>
      </w:r>
      <w:r>
        <w:rPr>
          <w:rFonts w:hint="eastAsia" w:ascii="仿宋" w:hAnsi="仿宋" w:eastAsia="仿宋"/>
          <w:color w:val="000000" w:themeColor="text1"/>
          <w:sz w:val="32"/>
          <w:szCs w:val="32"/>
        </w:rPr>
        <w:t>。</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2.年度预算支出决算及结余</w:t>
      </w:r>
    </w:p>
    <w:tbl>
      <w:tblPr>
        <w:tblStyle w:val="10"/>
        <w:tblW w:w="7953" w:type="dxa"/>
        <w:tblInd w:w="185" w:type="dxa"/>
        <w:tblLayout w:type="fixed"/>
        <w:tblCellMar>
          <w:top w:w="0" w:type="dxa"/>
          <w:left w:w="0" w:type="dxa"/>
          <w:bottom w:w="0" w:type="dxa"/>
          <w:right w:w="0" w:type="dxa"/>
        </w:tblCellMar>
      </w:tblPr>
      <w:tblGrid>
        <w:gridCol w:w="1739"/>
        <w:gridCol w:w="2268"/>
        <w:gridCol w:w="1984"/>
        <w:gridCol w:w="1962"/>
      </w:tblGrid>
      <w:tr>
        <w:tblPrEx>
          <w:tblCellMar>
            <w:top w:w="0" w:type="dxa"/>
            <w:left w:w="0" w:type="dxa"/>
            <w:bottom w:w="0" w:type="dxa"/>
            <w:right w:w="0" w:type="dxa"/>
          </w:tblCellMar>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预算支出类别</w:t>
            </w:r>
          </w:p>
        </w:tc>
        <w:tc>
          <w:tcPr>
            <w:tcW w:w="226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预算金额</w:t>
            </w:r>
          </w:p>
        </w:tc>
        <w:tc>
          <w:tcPr>
            <w:tcW w:w="1984"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决算金额</w:t>
            </w:r>
          </w:p>
        </w:tc>
        <w:tc>
          <w:tcPr>
            <w:tcW w:w="1962"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增减金额</w:t>
            </w:r>
          </w:p>
        </w:tc>
      </w:tr>
      <w:tr>
        <w:tblPrEx>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基本支出</w:t>
            </w:r>
          </w:p>
        </w:tc>
        <w:tc>
          <w:tcPr>
            <w:tcW w:w="226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1519.95</w:t>
            </w:r>
          </w:p>
        </w:tc>
        <w:tc>
          <w:tcPr>
            <w:tcW w:w="198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1542.45</w:t>
            </w:r>
          </w:p>
        </w:tc>
        <w:tc>
          <w:tcPr>
            <w:tcW w:w="196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22.5</w:t>
            </w:r>
          </w:p>
        </w:tc>
      </w:tr>
      <w:tr>
        <w:tblPrEx>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项目支出</w:t>
            </w:r>
          </w:p>
        </w:tc>
        <w:tc>
          <w:tcPr>
            <w:tcW w:w="226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0</w:t>
            </w:r>
          </w:p>
        </w:tc>
        <w:tc>
          <w:tcPr>
            <w:tcW w:w="198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0</w:t>
            </w:r>
          </w:p>
        </w:tc>
        <w:tc>
          <w:tcPr>
            <w:tcW w:w="196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0</w:t>
            </w:r>
          </w:p>
        </w:tc>
      </w:tr>
      <w:tr>
        <w:tblPrEx>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226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198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196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r>
      <w:tr>
        <w:tblPrEx>
          <w:tblCellMar>
            <w:top w:w="0" w:type="dxa"/>
            <w:left w:w="0" w:type="dxa"/>
            <w:bottom w:w="0" w:type="dxa"/>
            <w:right w:w="0" w:type="dxa"/>
          </w:tblCellMar>
        </w:tblPrEx>
        <w:trPr>
          <w:trHeight w:val="400" w:hRule="atLeast"/>
        </w:trPr>
        <w:tc>
          <w:tcPr>
            <w:tcW w:w="1739"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小计</w:t>
            </w:r>
          </w:p>
        </w:tc>
        <w:tc>
          <w:tcPr>
            <w:tcW w:w="226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1519.95</w:t>
            </w:r>
          </w:p>
        </w:tc>
        <w:tc>
          <w:tcPr>
            <w:tcW w:w="198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1542.45</w:t>
            </w:r>
          </w:p>
        </w:tc>
        <w:tc>
          <w:tcPr>
            <w:tcW w:w="1962"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22.5</w:t>
            </w:r>
          </w:p>
        </w:tc>
      </w:tr>
    </w:tbl>
    <w:p>
      <w:pPr>
        <w:adjustRightInd w:val="0"/>
        <w:snapToGrid w:val="0"/>
        <w:spacing w:line="600" w:lineRule="exact"/>
        <w:ind w:left="480" w:hanging="480"/>
        <w:outlineLvl w:val="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部门整体支出管理及使用情况</w:t>
      </w:r>
    </w:p>
    <w:p>
      <w:pPr>
        <w:pStyle w:val="3"/>
        <w:widowControl/>
        <w:spacing w:before="0" w:beforeAutospacing="0" w:after="0" w:afterAutospacing="0" w:line="600" w:lineRule="exact"/>
        <w:jc w:val="both"/>
        <w:rPr>
          <w:rFonts w:hint="default" w:ascii="仿宋" w:hAnsi="仿宋" w:eastAsia="仿宋"/>
          <w:b w:val="0"/>
          <w:kern w:val="2"/>
          <w:sz w:val="32"/>
          <w:szCs w:val="32"/>
        </w:rPr>
      </w:pPr>
      <w:bookmarkStart w:id="0" w:name="_Toc419142208"/>
      <w:r>
        <w:rPr>
          <w:rFonts w:ascii="仿宋" w:hAnsi="仿宋" w:eastAsia="仿宋"/>
          <w:b w:val="0"/>
          <w:kern w:val="2"/>
          <w:sz w:val="32"/>
          <w:szCs w:val="32"/>
        </w:rPr>
        <w:t>（一）基本支出管理</w:t>
      </w:r>
      <w:bookmarkEnd w:id="0"/>
    </w:p>
    <w:p>
      <w:pPr>
        <w:pStyle w:val="4"/>
        <w:widowControl/>
        <w:spacing w:before="0" w:beforeAutospacing="0" w:after="0" w:afterAutospacing="0" w:line="600" w:lineRule="exact"/>
        <w:rPr>
          <w:rFonts w:hint="default" w:ascii="仿宋" w:hAnsi="仿宋" w:eastAsia="仿宋"/>
          <w:b w:val="0"/>
          <w:kern w:val="2"/>
          <w:sz w:val="32"/>
          <w:szCs w:val="32"/>
        </w:rPr>
      </w:pPr>
      <w:r>
        <w:rPr>
          <w:rFonts w:ascii="仿宋" w:hAnsi="仿宋" w:eastAsia="仿宋"/>
          <w:b w:val="0"/>
          <w:kern w:val="2"/>
          <w:sz w:val="32"/>
          <w:szCs w:val="32"/>
        </w:rPr>
        <w:t>1、基本支出总额使用和管理</w:t>
      </w:r>
    </w:p>
    <w:tbl>
      <w:tblPr>
        <w:tblStyle w:val="10"/>
        <w:tblW w:w="0" w:type="auto"/>
        <w:jc w:val="center"/>
        <w:tblLayout w:type="fixed"/>
        <w:tblCellMar>
          <w:top w:w="0" w:type="dxa"/>
          <w:left w:w="0" w:type="dxa"/>
          <w:bottom w:w="0" w:type="dxa"/>
          <w:right w:w="0" w:type="dxa"/>
        </w:tblCellMar>
      </w:tblPr>
      <w:tblGrid>
        <w:gridCol w:w="2392"/>
        <w:gridCol w:w="1666"/>
        <w:gridCol w:w="1604"/>
        <w:gridCol w:w="2438"/>
      </w:tblGrid>
      <w:tr>
        <w:tblPrEx>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宋体" w:hAnsi="宋体" w:eastAsia="仿宋" w:cs="宋体"/>
                <w:bCs/>
                <w:color w:val="000000"/>
                <w:kern w:val="0"/>
                <w:szCs w:val="21"/>
              </w:rPr>
              <w:t> </w:t>
            </w:r>
            <w:r>
              <w:rPr>
                <w:rFonts w:hint="eastAsia" w:ascii="仿宋" w:hAnsi="仿宋" w:eastAsia="仿宋" w:cs="宋体"/>
                <w:bCs/>
                <w:color w:val="000000"/>
                <w:kern w:val="0"/>
                <w:szCs w:val="21"/>
              </w:rPr>
              <w:t>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节约/超支金额</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工资福利支出</w:t>
            </w:r>
          </w:p>
        </w:tc>
        <w:tc>
          <w:tcPr>
            <w:tcW w:w="1666"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988.48</w:t>
            </w:r>
          </w:p>
        </w:tc>
        <w:tc>
          <w:tcPr>
            <w:tcW w:w="160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1010.97</w:t>
            </w:r>
          </w:p>
        </w:tc>
        <w:tc>
          <w:tcPr>
            <w:tcW w:w="243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22.49</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商品和服务支出</w:t>
            </w:r>
          </w:p>
        </w:tc>
        <w:tc>
          <w:tcPr>
            <w:tcW w:w="1666"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318.93</w:t>
            </w:r>
          </w:p>
        </w:tc>
        <w:tc>
          <w:tcPr>
            <w:tcW w:w="160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318.93</w:t>
            </w:r>
          </w:p>
        </w:tc>
        <w:tc>
          <w:tcPr>
            <w:tcW w:w="243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0</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对个人和家庭的补助</w:t>
            </w:r>
          </w:p>
        </w:tc>
        <w:tc>
          <w:tcPr>
            <w:tcW w:w="1666"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212.55</w:t>
            </w:r>
          </w:p>
        </w:tc>
        <w:tc>
          <w:tcPr>
            <w:tcW w:w="160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212.55</w:t>
            </w:r>
          </w:p>
        </w:tc>
        <w:tc>
          <w:tcPr>
            <w:tcW w:w="243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0</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1666"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160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243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r>
      <w:tr>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1519.95</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1542.45</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22.49</w:t>
            </w:r>
          </w:p>
        </w:tc>
      </w:tr>
    </w:tbl>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2、基本支出中各费用明细支出管理</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（1）工资福利支出</w:t>
      </w:r>
    </w:p>
    <w:tbl>
      <w:tblPr>
        <w:tblStyle w:val="10"/>
        <w:tblW w:w="0" w:type="auto"/>
        <w:jc w:val="center"/>
        <w:tblLayout w:type="fixed"/>
        <w:tblCellMar>
          <w:top w:w="0" w:type="dxa"/>
          <w:left w:w="0" w:type="dxa"/>
          <w:bottom w:w="0" w:type="dxa"/>
          <w:right w:w="0" w:type="dxa"/>
        </w:tblCellMar>
      </w:tblPr>
      <w:tblGrid>
        <w:gridCol w:w="2431"/>
        <w:gridCol w:w="1134"/>
        <w:gridCol w:w="1134"/>
        <w:gridCol w:w="1417"/>
        <w:gridCol w:w="1664"/>
      </w:tblGrid>
      <w:tr>
        <w:tblPrEx>
          <w:tblCellMar>
            <w:top w:w="0" w:type="dxa"/>
            <w:left w:w="0" w:type="dxa"/>
            <w:bottom w:w="0" w:type="dxa"/>
            <w:right w:w="0" w:type="dxa"/>
          </w:tblCellMar>
        </w:tblPrEx>
        <w:trPr>
          <w:trHeight w:val="888"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费用项目</w:t>
            </w:r>
          </w:p>
        </w:tc>
        <w:tc>
          <w:tcPr>
            <w:tcW w:w="113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预算金额</w:t>
            </w:r>
          </w:p>
        </w:tc>
        <w:tc>
          <w:tcPr>
            <w:tcW w:w="113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决算金额</w:t>
            </w:r>
          </w:p>
        </w:tc>
        <w:tc>
          <w:tcPr>
            <w:tcW w:w="1417"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节约/超支金额</w:t>
            </w:r>
          </w:p>
        </w:tc>
        <w:tc>
          <w:tcPr>
            <w:tcW w:w="166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节约/超支率</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基本工资</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377.82</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377.82</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津贴补贴</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80.98</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80.98</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奖金</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31.49</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31.49</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伙食补助费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绩效工资</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186.75</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186.75</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机关事业单位基本养老保险缴费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90.33</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90.33</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职业年金缴费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职工基本医疗保险缴费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22.9</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45.4</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22.5</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49.56</w:t>
            </w:r>
            <w:r>
              <w:rPr>
                <w:rFonts w:hint="eastAsia" w:ascii="仿宋" w:hAnsi="仿宋" w:eastAsia="仿宋" w:cs="宋体"/>
                <w:color w:val="010101"/>
                <w:kern w:val="0"/>
                <w:szCs w:val="21"/>
              </w:rPr>
              <w:t>%</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公务员医疗补助缴费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其他社会保障缴费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14.68</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14.68</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住房公积金</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71.53</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71.53</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医疗费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其他工资福利支出</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112</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112</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100%</w:t>
            </w:r>
          </w:p>
        </w:tc>
      </w:tr>
      <w:tr>
        <w:tblPrEx>
          <w:tblCellMar>
            <w:top w:w="0" w:type="dxa"/>
            <w:left w:w="0" w:type="dxa"/>
            <w:bottom w:w="0" w:type="dxa"/>
            <w:right w:w="0" w:type="dxa"/>
          </w:tblCellMar>
        </w:tblPrEx>
        <w:trPr>
          <w:trHeight w:val="411" w:hRule="atLeast"/>
          <w:jc w:val="center"/>
        </w:trPr>
        <w:tc>
          <w:tcPr>
            <w:tcW w:w="2431"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合计</w:t>
            </w:r>
          </w:p>
        </w:tc>
        <w:tc>
          <w:tcPr>
            <w:tcW w:w="113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876.48</w:t>
            </w:r>
          </w:p>
        </w:tc>
        <w:tc>
          <w:tcPr>
            <w:tcW w:w="113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1010.97</w:t>
            </w:r>
          </w:p>
        </w:tc>
        <w:tc>
          <w:tcPr>
            <w:tcW w:w="1417"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134.49</w:t>
            </w:r>
          </w:p>
        </w:tc>
        <w:tc>
          <w:tcPr>
            <w:tcW w:w="166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13.3</w:t>
            </w:r>
            <w:r>
              <w:rPr>
                <w:rFonts w:hint="eastAsia" w:ascii="仿宋" w:hAnsi="仿宋" w:eastAsia="仿宋" w:cs="宋体"/>
                <w:color w:val="010101"/>
                <w:kern w:val="0"/>
                <w:szCs w:val="21"/>
              </w:rPr>
              <w:t>%</w:t>
            </w:r>
          </w:p>
        </w:tc>
      </w:tr>
    </w:tbl>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（2）商品和服务支出</w:t>
      </w:r>
    </w:p>
    <w:tbl>
      <w:tblPr>
        <w:tblStyle w:val="10"/>
        <w:tblW w:w="0" w:type="auto"/>
        <w:jc w:val="center"/>
        <w:tblLayout w:type="fixed"/>
        <w:tblCellMar>
          <w:top w:w="0" w:type="dxa"/>
          <w:left w:w="0" w:type="dxa"/>
          <w:bottom w:w="0" w:type="dxa"/>
          <w:right w:w="0" w:type="dxa"/>
        </w:tblCellMar>
      </w:tblPr>
      <w:tblGrid>
        <w:gridCol w:w="2133"/>
        <w:gridCol w:w="1398"/>
        <w:gridCol w:w="1537"/>
        <w:gridCol w:w="1429"/>
        <w:gridCol w:w="1643"/>
      </w:tblGrid>
      <w:tr>
        <w:tblPrEx>
          <w:tblCellMar>
            <w:top w:w="0" w:type="dxa"/>
            <w:left w:w="0" w:type="dxa"/>
            <w:bottom w:w="0" w:type="dxa"/>
            <w:right w:w="0" w:type="dxa"/>
          </w:tblCellMar>
        </w:tblPrEx>
        <w:trPr>
          <w:trHeight w:val="343" w:hRule="atLeast"/>
          <w:tblHeader/>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支出项目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增减率</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办公费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32</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32</w:t>
            </w: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印刷费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8</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8</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咨询费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水费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23.4</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23.4</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电费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28</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28</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邮电费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4</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4</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取暖费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物业管理费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差旅费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5.8</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5.8</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因公出国（境）费用</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维修（护）费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44.08</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44.08</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租赁费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会议费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培训费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6</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6</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公务接待费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专用材料费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68.3</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68.3</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被装购置费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专用燃料费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劳务费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18.4</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18.4</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委托业务费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工会经费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17</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17</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福利费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公务用车运行维护费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其他交通费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9</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9</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税金及附加费用</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其他商品和服务支出</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54.94</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54.94</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合计</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318.93</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318.93</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bl>
    <w:p>
      <w:pPr>
        <w:adjustRightInd w:val="0"/>
        <w:snapToGrid w:val="0"/>
        <w:spacing w:line="600" w:lineRule="exact"/>
        <w:ind w:firstLine="640" w:firstLineChars="200"/>
        <w:rPr>
          <w:rFonts w:ascii="仿宋" w:hAnsi="仿宋" w:eastAsia="仿宋"/>
          <w:sz w:val="32"/>
          <w:szCs w:val="32"/>
        </w:rPr>
      </w:pP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（3）对个人和家庭的补助</w:t>
      </w:r>
    </w:p>
    <w:tbl>
      <w:tblPr>
        <w:tblStyle w:val="10"/>
        <w:tblW w:w="8364" w:type="dxa"/>
        <w:tblInd w:w="0" w:type="dxa"/>
        <w:tblLayout w:type="fixed"/>
        <w:tblCellMar>
          <w:top w:w="0" w:type="dxa"/>
          <w:left w:w="0" w:type="dxa"/>
          <w:bottom w:w="0" w:type="dxa"/>
          <w:right w:w="0" w:type="dxa"/>
        </w:tblCellMar>
      </w:tblPr>
      <w:tblGrid>
        <w:gridCol w:w="1816"/>
        <w:gridCol w:w="1538"/>
        <w:gridCol w:w="1560"/>
        <w:gridCol w:w="1875"/>
        <w:gridCol w:w="1575"/>
      </w:tblGrid>
      <w:tr>
        <w:tblPrEx>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支出项目</w:t>
            </w:r>
          </w:p>
        </w:tc>
        <w:tc>
          <w:tcPr>
            <w:tcW w:w="153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预算金额</w:t>
            </w:r>
          </w:p>
        </w:tc>
        <w:tc>
          <w:tcPr>
            <w:tcW w:w="156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决算金额</w:t>
            </w:r>
          </w:p>
        </w:tc>
        <w:tc>
          <w:tcPr>
            <w:tcW w:w="18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结余/超支金额</w:t>
            </w:r>
          </w:p>
        </w:tc>
        <w:tc>
          <w:tcPr>
            <w:tcW w:w="15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结余/超支率</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离休费</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退休费</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退职（役）费</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抚恤金</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生活补助</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12.55</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12.55</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救济费</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医疗费补助</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助学金</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200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200</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奖励金</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个人农业生产补贴</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其他对个人和家庭的补助支出</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51" w:hRule="atLeast"/>
        </w:trPr>
        <w:tc>
          <w:tcPr>
            <w:tcW w:w="1816"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合计</w:t>
            </w:r>
          </w:p>
        </w:tc>
        <w:tc>
          <w:tcPr>
            <w:tcW w:w="153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212.55</w:t>
            </w:r>
          </w:p>
        </w:tc>
        <w:tc>
          <w:tcPr>
            <w:tcW w:w="156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212.55</w:t>
            </w:r>
          </w:p>
        </w:tc>
        <w:tc>
          <w:tcPr>
            <w:tcW w:w="18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5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bl>
    <w:p>
      <w:pPr>
        <w:adjustRightInd w:val="0"/>
        <w:snapToGrid w:val="0"/>
        <w:spacing w:line="600" w:lineRule="exact"/>
        <w:ind w:firstLine="640" w:firstLineChars="200"/>
        <w:rPr>
          <w:rFonts w:ascii="仿宋" w:hAnsi="仿宋" w:eastAsia="仿宋"/>
          <w:sz w:val="32"/>
          <w:szCs w:val="32"/>
        </w:rPr>
      </w:pP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（二）“三公经费”支出使用和管理</w:t>
      </w:r>
    </w:p>
    <w:p>
      <w:pPr>
        <w:adjustRightInd w:val="0"/>
        <w:snapToGrid w:val="0"/>
        <w:spacing w:line="600" w:lineRule="exact"/>
        <w:ind w:left="480" w:hanging="480"/>
        <w:rPr>
          <w:rFonts w:ascii="仿宋" w:hAnsi="仿宋" w:eastAsia="仿宋"/>
          <w:sz w:val="32"/>
          <w:szCs w:val="32"/>
        </w:rPr>
      </w:pPr>
      <w:bookmarkStart w:id="1" w:name="_Toc419142213"/>
      <w:r>
        <w:rPr>
          <w:rFonts w:hint="eastAsia" w:ascii="仿宋" w:hAnsi="仿宋" w:eastAsia="仿宋"/>
          <w:sz w:val="32"/>
          <w:szCs w:val="32"/>
        </w:rPr>
        <w:t>1</w:t>
      </w:r>
      <w:bookmarkEnd w:id="1"/>
      <w:r>
        <w:rPr>
          <w:rFonts w:hint="eastAsia" w:ascii="仿宋" w:hAnsi="仿宋" w:eastAsia="仿宋"/>
          <w:sz w:val="32"/>
          <w:szCs w:val="32"/>
        </w:rPr>
        <w:t>、“三公经费”预算执行</w:t>
      </w:r>
    </w:p>
    <w:tbl>
      <w:tblPr>
        <w:tblStyle w:val="10"/>
        <w:tblW w:w="8436" w:type="dxa"/>
        <w:jc w:val="center"/>
        <w:tblLayout w:type="fixed"/>
        <w:tblCellMar>
          <w:top w:w="0" w:type="dxa"/>
          <w:left w:w="0" w:type="dxa"/>
          <w:bottom w:w="0" w:type="dxa"/>
          <w:right w:w="0" w:type="dxa"/>
        </w:tblCellMar>
      </w:tblPr>
      <w:tblGrid>
        <w:gridCol w:w="1632"/>
        <w:gridCol w:w="1065"/>
        <w:gridCol w:w="1125"/>
        <w:gridCol w:w="1005"/>
        <w:gridCol w:w="1170"/>
        <w:gridCol w:w="1149"/>
        <w:gridCol w:w="1290"/>
      </w:tblGrid>
      <w:tr>
        <w:tblPrEx>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费用项目</w:t>
            </w:r>
          </w:p>
        </w:tc>
        <w:tc>
          <w:tcPr>
            <w:tcW w:w="2190"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本年预算</w:t>
            </w:r>
          </w:p>
        </w:tc>
        <w:tc>
          <w:tcPr>
            <w:tcW w:w="2175"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本年决算</w:t>
            </w:r>
          </w:p>
        </w:tc>
        <w:tc>
          <w:tcPr>
            <w:tcW w:w="2439"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结余/超支</w:t>
            </w:r>
          </w:p>
        </w:tc>
      </w:tr>
      <w:tr>
        <w:tblPrEx>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基本支出</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项目支出</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基本支出</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项目支出</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基本支出</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项目支出</w:t>
            </w: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公务接待费</w:t>
            </w:r>
          </w:p>
        </w:tc>
        <w:tc>
          <w:tcPr>
            <w:tcW w:w="106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2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00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t>0</w:t>
            </w:r>
          </w:p>
        </w:tc>
        <w:tc>
          <w:tcPr>
            <w:tcW w:w="1170"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4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3</w:t>
            </w:r>
          </w:p>
        </w:tc>
        <w:tc>
          <w:tcPr>
            <w:tcW w:w="1290"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400" w:hRule="atLeast"/>
          <w:jc w:val="center"/>
        </w:trPr>
        <w:tc>
          <w:tcPr>
            <w:tcW w:w="1632"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公车运行维护费</w:t>
            </w:r>
          </w:p>
        </w:tc>
        <w:tc>
          <w:tcPr>
            <w:tcW w:w="106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2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00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70"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4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290"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430" w:hRule="atLeast"/>
          <w:jc w:val="center"/>
        </w:trPr>
        <w:tc>
          <w:tcPr>
            <w:tcW w:w="1632"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公务车购置费</w:t>
            </w:r>
          </w:p>
        </w:tc>
        <w:tc>
          <w:tcPr>
            <w:tcW w:w="106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2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00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70"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4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290"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因公出国费用</w:t>
            </w:r>
          </w:p>
        </w:tc>
        <w:tc>
          <w:tcPr>
            <w:tcW w:w="106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2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00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70"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4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290"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065"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125"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005"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170"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149"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290"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399" w:hRule="atLeast"/>
          <w:jc w:val="center"/>
        </w:trPr>
        <w:tc>
          <w:tcPr>
            <w:tcW w:w="1632"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合计</w:t>
            </w: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3</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3</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bl>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此表格无数据。</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2、“三公经费”与上年度比较</w:t>
      </w:r>
    </w:p>
    <w:tbl>
      <w:tblPr>
        <w:tblStyle w:val="10"/>
        <w:tblW w:w="0" w:type="auto"/>
        <w:jc w:val="center"/>
        <w:tblLayout w:type="fixed"/>
        <w:tblCellMar>
          <w:top w:w="0" w:type="dxa"/>
          <w:left w:w="0" w:type="dxa"/>
          <w:bottom w:w="0" w:type="dxa"/>
          <w:right w:w="0" w:type="dxa"/>
        </w:tblCellMar>
      </w:tblPr>
      <w:tblGrid>
        <w:gridCol w:w="1795"/>
        <w:gridCol w:w="1179"/>
        <w:gridCol w:w="1255"/>
        <w:gridCol w:w="1249"/>
        <w:gridCol w:w="2477"/>
      </w:tblGrid>
      <w:tr>
        <w:tblPrEx>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费用项目</w:t>
            </w:r>
          </w:p>
        </w:tc>
        <w:tc>
          <w:tcPr>
            <w:tcW w:w="117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本年金额</w:t>
            </w:r>
          </w:p>
        </w:tc>
        <w:tc>
          <w:tcPr>
            <w:tcW w:w="1255"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上年金额</w:t>
            </w:r>
          </w:p>
        </w:tc>
        <w:tc>
          <w:tcPr>
            <w:tcW w:w="124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增减额</w:t>
            </w:r>
          </w:p>
        </w:tc>
        <w:tc>
          <w:tcPr>
            <w:tcW w:w="2477"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增减率%</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公务接待费</w:t>
            </w:r>
          </w:p>
        </w:tc>
        <w:tc>
          <w:tcPr>
            <w:tcW w:w="1179"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0</w:t>
            </w:r>
          </w:p>
        </w:tc>
        <w:tc>
          <w:tcPr>
            <w:tcW w:w="1255"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249"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0</w:t>
            </w:r>
          </w:p>
        </w:tc>
        <w:tc>
          <w:tcPr>
            <w:tcW w:w="2477"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0</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公车运行维护费</w:t>
            </w:r>
          </w:p>
        </w:tc>
        <w:tc>
          <w:tcPr>
            <w:tcW w:w="117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125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124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2477"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公务车辆购置费</w:t>
            </w:r>
          </w:p>
        </w:tc>
        <w:tc>
          <w:tcPr>
            <w:tcW w:w="117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125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124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2477"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因公出国(境)费用</w:t>
            </w:r>
          </w:p>
        </w:tc>
        <w:tc>
          <w:tcPr>
            <w:tcW w:w="117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125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124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2477"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17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p>
        </w:tc>
        <w:tc>
          <w:tcPr>
            <w:tcW w:w="125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p>
        </w:tc>
        <w:tc>
          <w:tcPr>
            <w:tcW w:w="124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p>
        </w:tc>
        <w:tc>
          <w:tcPr>
            <w:tcW w:w="2477"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p>
        </w:tc>
      </w:tr>
      <w:tr>
        <w:tblPrEx>
          <w:tblCellMar>
            <w:top w:w="0" w:type="dxa"/>
            <w:left w:w="0" w:type="dxa"/>
            <w:bottom w:w="0" w:type="dxa"/>
            <w:right w:w="0" w:type="dxa"/>
          </w:tblCellMar>
        </w:tblPrEx>
        <w:trPr>
          <w:trHeight w:val="369" w:hRule="atLeast"/>
          <w:jc w:val="center"/>
        </w:trPr>
        <w:tc>
          <w:tcPr>
            <w:tcW w:w="1795"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149" w:hanging="149" w:hangingChars="71"/>
              <w:jc w:val="center"/>
              <w:rPr>
                <w:rFonts w:ascii="仿宋" w:hAnsi="仿宋" w:eastAsia="仿宋" w:cs="宋体"/>
                <w:color w:val="010101"/>
                <w:kern w:val="0"/>
                <w:szCs w:val="21"/>
              </w:rPr>
            </w:pPr>
            <w:r>
              <w:rPr>
                <w:rFonts w:hint="eastAsia" w:ascii="仿宋" w:hAnsi="仿宋" w:eastAsia="仿宋" w:cs="宋体"/>
                <w:color w:val="010101"/>
                <w:kern w:val="0"/>
                <w:szCs w:val="21"/>
              </w:rPr>
              <w:t>合计</w:t>
            </w:r>
          </w:p>
        </w:tc>
        <w:tc>
          <w:tcPr>
            <w:tcW w:w="1179" w:type="dxa"/>
            <w:tcBorders>
              <w:top w:val="nil"/>
              <w:left w:val="nil"/>
              <w:bottom w:val="single" w:color="000000" w:sz="8" w:space="0"/>
              <w:right w:val="single" w:color="000000" w:sz="8" w:space="0"/>
            </w:tcBorders>
            <w:shd w:val="clear" w:color="auto" w:fill="D9D9D9"/>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1255" w:type="dxa"/>
            <w:tcBorders>
              <w:top w:val="nil"/>
              <w:left w:val="nil"/>
              <w:bottom w:val="single" w:color="000000" w:sz="8" w:space="0"/>
              <w:right w:val="single" w:color="000000" w:sz="8" w:space="0"/>
            </w:tcBorders>
            <w:shd w:val="clear" w:color="auto" w:fill="D9D9D9"/>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1249" w:type="dxa"/>
            <w:tcBorders>
              <w:top w:val="nil"/>
              <w:left w:val="nil"/>
              <w:bottom w:val="single" w:color="000000" w:sz="8" w:space="0"/>
              <w:right w:val="single" w:color="000000" w:sz="8" w:space="0"/>
            </w:tcBorders>
            <w:shd w:val="clear" w:color="auto" w:fill="D9D9D9"/>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2477" w:type="dxa"/>
            <w:tcBorders>
              <w:top w:val="nil"/>
              <w:left w:val="nil"/>
              <w:bottom w:val="single" w:color="000000" w:sz="8" w:space="0"/>
              <w:right w:val="single" w:color="000000" w:sz="8" w:space="0"/>
            </w:tcBorders>
            <w:shd w:val="clear" w:color="auto" w:fill="D9D9D9"/>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r>
    </w:tbl>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此表格无数据。</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（三）专项支出管理(本单位无)</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1、专项资金基本情况及绩效目标</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无；</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2、专项资金预算执行</w:t>
      </w:r>
    </w:p>
    <w:p>
      <w:pPr>
        <w:adjustRightInd w:val="0"/>
        <w:snapToGrid w:val="0"/>
        <w:spacing w:line="600" w:lineRule="exact"/>
        <w:ind w:left="480" w:hanging="480"/>
        <w:rPr>
          <w:rFonts w:ascii="仿宋" w:hAnsi="仿宋" w:eastAsia="仿宋"/>
          <w:sz w:val="32"/>
          <w:szCs w:val="32"/>
        </w:rPr>
      </w:pPr>
    </w:p>
    <w:tbl>
      <w:tblPr>
        <w:tblStyle w:val="10"/>
        <w:tblW w:w="8960" w:type="dxa"/>
        <w:tblInd w:w="0" w:type="dxa"/>
        <w:tblLayout w:type="fixed"/>
        <w:tblCellMar>
          <w:top w:w="0" w:type="dxa"/>
          <w:left w:w="0" w:type="dxa"/>
          <w:bottom w:w="0" w:type="dxa"/>
          <w:right w:w="0" w:type="dxa"/>
        </w:tblCellMar>
      </w:tblPr>
      <w:tblGrid>
        <w:gridCol w:w="2704"/>
        <w:gridCol w:w="634"/>
        <w:gridCol w:w="542"/>
        <w:gridCol w:w="575"/>
        <w:gridCol w:w="670"/>
        <w:gridCol w:w="725"/>
        <w:gridCol w:w="1089"/>
        <w:gridCol w:w="2021"/>
      </w:tblGrid>
      <w:tr>
        <w:tblPrEx>
          <w:tblCellMar>
            <w:top w:w="0" w:type="dxa"/>
            <w:left w:w="0" w:type="dxa"/>
            <w:bottom w:w="0" w:type="dxa"/>
            <w:right w:w="0" w:type="dxa"/>
          </w:tblCellMar>
        </w:tblPrEx>
        <w:trPr>
          <w:trHeight w:val="415" w:hRule="atLeast"/>
        </w:trPr>
        <w:tc>
          <w:tcPr>
            <w:tcW w:w="2704" w:type="dxa"/>
            <w:vMerge w:val="restart"/>
            <w:tcBorders>
              <w:top w:val="single" w:color="000000" w:sz="12" w:space="0"/>
              <w:left w:val="single" w:color="000000" w:sz="12"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专项子目名称</w:t>
            </w:r>
          </w:p>
        </w:tc>
        <w:tc>
          <w:tcPr>
            <w:tcW w:w="2421" w:type="dxa"/>
            <w:gridSpan w:val="4"/>
            <w:tcBorders>
              <w:top w:val="single" w:color="000000" w:sz="12" w:space="0"/>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本年预算可用指标</w:t>
            </w:r>
          </w:p>
        </w:tc>
        <w:tc>
          <w:tcPr>
            <w:tcW w:w="725" w:type="dxa"/>
            <w:vMerge w:val="restart"/>
            <w:tcBorders>
              <w:top w:val="single" w:color="000000" w:sz="12" w:space="0"/>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本年实际支出</w:t>
            </w:r>
          </w:p>
        </w:tc>
        <w:tc>
          <w:tcPr>
            <w:tcW w:w="1089" w:type="dxa"/>
            <w:vMerge w:val="restart"/>
            <w:tcBorders>
              <w:top w:val="single" w:color="000000" w:sz="12" w:space="0"/>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本年结余</w:t>
            </w:r>
          </w:p>
        </w:tc>
        <w:tc>
          <w:tcPr>
            <w:tcW w:w="2021" w:type="dxa"/>
            <w:vMerge w:val="restart"/>
            <w:tcBorders>
              <w:top w:val="single" w:color="000000" w:sz="12" w:space="0"/>
              <w:left w:val="nil"/>
              <w:bottom w:val="single" w:color="000000" w:sz="8" w:space="0"/>
              <w:right w:val="single" w:color="000000" w:sz="12"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投入进度</w:t>
            </w:r>
          </w:p>
        </w:tc>
      </w:tr>
      <w:tr>
        <w:tblPrEx>
          <w:tblCellMar>
            <w:top w:w="0" w:type="dxa"/>
            <w:left w:w="0" w:type="dxa"/>
            <w:bottom w:w="0" w:type="dxa"/>
            <w:right w:w="0" w:type="dxa"/>
          </w:tblCellMar>
        </w:tblPrEx>
        <w:trPr>
          <w:trHeight w:val="756" w:hRule="atLeast"/>
        </w:trPr>
        <w:tc>
          <w:tcPr>
            <w:tcW w:w="2704" w:type="dxa"/>
            <w:vMerge w:val="continue"/>
            <w:tcBorders>
              <w:top w:val="single" w:color="000000" w:sz="12" w:space="0"/>
              <w:left w:val="single" w:color="000000" w:sz="12"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6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上年</w:t>
            </w:r>
          </w:p>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结余</w:t>
            </w:r>
          </w:p>
        </w:tc>
        <w:tc>
          <w:tcPr>
            <w:tcW w:w="54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年初</w:t>
            </w:r>
          </w:p>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预算</w:t>
            </w:r>
          </w:p>
        </w:tc>
        <w:tc>
          <w:tcPr>
            <w:tcW w:w="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本年</w:t>
            </w:r>
          </w:p>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追加</w:t>
            </w:r>
          </w:p>
        </w:tc>
        <w:tc>
          <w:tcPr>
            <w:tcW w:w="6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合计</w:t>
            </w:r>
          </w:p>
        </w:tc>
        <w:tc>
          <w:tcPr>
            <w:tcW w:w="725" w:type="dxa"/>
            <w:vMerge w:val="continue"/>
            <w:tcBorders>
              <w:top w:val="single" w:color="000000" w:sz="12" w:space="0"/>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089" w:type="dxa"/>
            <w:vMerge w:val="continue"/>
            <w:tcBorders>
              <w:top w:val="single" w:color="000000" w:sz="12" w:space="0"/>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2021" w:type="dxa"/>
            <w:vMerge w:val="continue"/>
            <w:tcBorders>
              <w:top w:val="single" w:color="000000" w:sz="12" w:space="0"/>
              <w:left w:val="nil"/>
              <w:bottom w:val="single" w:color="000000" w:sz="8" w:space="0"/>
              <w:right w:val="single" w:color="000000" w:sz="12"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6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54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6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7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089"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2021" w:type="dxa"/>
            <w:tcBorders>
              <w:top w:val="nil"/>
              <w:left w:val="nil"/>
              <w:bottom w:val="single" w:color="000000" w:sz="8" w:space="0"/>
              <w:right w:val="single" w:color="000000" w:sz="12"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6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54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6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7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089"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2021" w:type="dxa"/>
            <w:tcBorders>
              <w:top w:val="nil"/>
              <w:left w:val="nil"/>
              <w:bottom w:val="single" w:color="000000" w:sz="8" w:space="0"/>
              <w:right w:val="single" w:color="000000" w:sz="12"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6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54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6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7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089"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2021" w:type="dxa"/>
            <w:tcBorders>
              <w:top w:val="nil"/>
              <w:left w:val="nil"/>
              <w:bottom w:val="single" w:color="000000" w:sz="8" w:space="0"/>
              <w:right w:val="single" w:color="000000" w:sz="12"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6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54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6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7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089"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2021" w:type="dxa"/>
            <w:tcBorders>
              <w:top w:val="nil"/>
              <w:left w:val="nil"/>
              <w:bottom w:val="single" w:color="000000" w:sz="8" w:space="0"/>
              <w:right w:val="single" w:color="000000" w:sz="12"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40" w:hRule="atLeast"/>
        </w:trPr>
        <w:tc>
          <w:tcPr>
            <w:tcW w:w="2704" w:type="dxa"/>
            <w:tcBorders>
              <w:top w:val="nil"/>
              <w:left w:val="single" w:color="000000" w:sz="12" w:space="0"/>
              <w:bottom w:val="single" w:color="000000" w:sz="12"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合</w:t>
            </w:r>
            <w:r>
              <w:rPr>
                <w:rFonts w:hint="eastAsia" w:ascii="宋体" w:hAnsi="宋体" w:eastAsia="仿宋" w:cs="宋体"/>
                <w:color w:val="010101"/>
                <w:kern w:val="0"/>
                <w:szCs w:val="21"/>
              </w:rPr>
              <w:t> </w:t>
            </w:r>
            <w:r>
              <w:rPr>
                <w:rFonts w:hint="eastAsia" w:ascii="仿宋" w:hAnsi="仿宋" w:eastAsia="仿宋" w:cs="宋体"/>
                <w:color w:val="010101"/>
                <w:kern w:val="0"/>
                <w:szCs w:val="21"/>
              </w:rPr>
              <w:t>计</w:t>
            </w:r>
          </w:p>
        </w:tc>
        <w:tc>
          <w:tcPr>
            <w:tcW w:w="634" w:type="dxa"/>
            <w:tcBorders>
              <w:top w:val="nil"/>
              <w:left w:val="nil"/>
              <w:bottom w:val="single" w:color="000000" w:sz="12"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542" w:type="dxa"/>
            <w:tcBorders>
              <w:top w:val="nil"/>
              <w:left w:val="nil"/>
              <w:bottom w:val="single" w:color="000000" w:sz="12"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575" w:type="dxa"/>
            <w:tcBorders>
              <w:top w:val="nil"/>
              <w:left w:val="nil"/>
              <w:bottom w:val="single" w:color="000000" w:sz="12"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670" w:type="dxa"/>
            <w:tcBorders>
              <w:top w:val="nil"/>
              <w:left w:val="nil"/>
              <w:bottom w:val="single" w:color="000000" w:sz="12"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725" w:type="dxa"/>
            <w:tcBorders>
              <w:top w:val="nil"/>
              <w:left w:val="nil"/>
              <w:bottom w:val="single" w:color="000000" w:sz="12"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089" w:type="dxa"/>
            <w:tcBorders>
              <w:top w:val="nil"/>
              <w:left w:val="nil"/>
              <w:bottom w:val="single" w:color="000000" w:sz="12"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2021" w:type="dxa"/>
            <w:tcBorders>
              <w:top w:val="nil"/>
              <w:left w:val="nil"/>
              <w:bottom w:val="single" w:color="000000" w:sz="12" w:space="0"/>
              <w:right w:val="single" w:color="000000" w:sz="12"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bl>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此表格无数据。</w:t>
      </w:r>
    </w:p>
    <w:p>
      <w:pPr>
        <w:adjustRightInd w:val="0"/>
        <w:snapToGrid w:val="0"/>
        <w:spacing w:line="600" w:lineRule="exact"/>
        <w:ind w:left="210" w:leftChars="100" w:firstLine="320" w:firstLineChars="100"/>
        <w:rPr>
          <w:rFonts w:ascii="仿宋" w:hAnsi="仿宋" w:eastAsia="仿宋"/>
          <w:sz w:val="32"/>
          <w:szCs w:val="32"/>
        </w:rPr>
      </w:pPr>
      <w:r>
        <w:rPr>
          <w:rFonts w:hint="eastAsia" w:ascii="仿宋" w:hAnsi="仿宋" w:eastAsia="仿宋"/>
          <w:sz w:val="32"/>
          <w:szCs w:val="32"/>
        </w:rPr>
        <w:t>3、专项资金的管理</w:t>
      </w:r>
    </w:p>
    <w:p>
      <w:pPr>
        <w:adjustRightInd w:val="0"/>
        <w:snapToGrid w:val="0"/>
        <w:spacing w:line="600" w:lineRule="exact"/>
        <w:ind w:left="479" w:leftChars="228" w:firstLine="160" w:firstLineChars="50"/>
        <w:rPr>
          <w:rFonts w:ascii="仿宋" w:hAnsi="仿宋" w:eastAsia="仿宋"/>
          <w:sz w:val="32"/>
          <w:szCs w:val="32"/>
        </w:rPr>
      </w:pPr>
      <w:r>
        <w:rPr>
          <w:rFonts w:hint="eastAsia" w:ascii="仿宋" w:hAnsi="仿宋" w:eastAsia="仿宋"/>
          <w:sz w:val="32"/>
          <w:szCs w:val="32"/>
        </w:rPr>
        <w:t>无；</w:t>
      </w:r>
    </w:p>
    <w:p>
      <w:pPr>
        <w:pStyle w:val="2"/>
        <w:widowControl/>
        <w:spacing w:before="0" w:beforeAutospacing="0" w:after="0" w:afterAutospacing="0" w:line="600" w:lineRule="exact"/>
        <w:jc w:val="both"/>
        <w:rPr>
          <w:rFonts w:hint="default" w:ascii="仿宋" w:hAnsi="仿宋" w:eastAsia="仿宋" w:cs="黑体"/>
          <w:b w:val="0"/>
          <w:color w:val="C00000"/>
          <w:sz w:val="32"/>
          <w:szCs w:val="32"/>
        </w:rPr>
      </w:pPr>
      <w:r>
        <w:rPr>
          <w:rFonts w:ascii="仿宋" w:hAnsi="仿宋" w:eastAsia="仿宋" w:cs="黑体"/>
          <w:b w:val="0"/>
          <w:sz w:val="32"/>
          <w:szCs w:val="32"/>
        </w:rPr>
        <w:t>四、部门整体支出绩效评价</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通过对部门整体支出情况的概述和实际支出情况的分析，部门整体支出绩效目标管理情况评价如下：</w:t>
      </w:r>
    </w:p>
    <w:p>
      <w:pPr>
        <w:adjustRightInd w:val="0"/>
        <w:snapToGrid w:val="0"/>
        <w:spacing w:line="600" w:lineRule="exact"/>
        <w:ind w:left="480" w:hanging="480"/>
        <w:rPr>
          <w:rFonts w:ascii="仿宋" w:hAnsi="仿宋" w:eastAsia="仿宋"/>
          <w:sz w:val="32"/>
          <w:szCs w:val="32"/>
        </w:rPr>
      </w:pPr>
      <w:bookmarkStart w:id="2" w:name="_Toc419142222"/>
      <w:r>
        <w:rPr>
          <w:rFonts w:hint="eastAsia" w:ascii="仿宋" w:hAnsi="仿宋" w:eastAsia="仿宋"/>
          <w:sz w:val="32"/>
          <w:szCs w:val="32"/>
        </w:rPr>
        <w:t>（一）经济性评价</w:t>
      </w:r>
      <w:bookmarkEnd w:id="2"/>
    </w:p>
    <w:p>
      <w:pPr>
        <w:adjustRightInd w:val="0"/>
        <w:snapToGrid w:val="0"/>
        <w:spacing w:line="600" w:lineRule="exact"/>
        <w:ind w:left="141" w:leftChars="67" w:firstLine="707" w:firstLineChars="221"/>
        <w:rPr>
          <w:rFonts w:ascii="仿宋" w:hAnsi="仿宋" w:eastAsia="仿宋"/>
          <w:sz w:val="32"/>
          <w:szCs w:val="32"/>
        </w:rPr>
      </w:pPr>
      <w:r>
        <w:rPr>
          <w:rFonts w:hint="eastAsia" w:ascii="仿宋" w:hAnsi="仿宋" w:eastAsia="仿宋"/>
          <w:sz w:val="32"/>
          <w:szCs w:val="32"/>
        </w:rPr>
        <w:t>供养人员控制在预算编制以内；“三公”经费支出总额控制在预算。预算执行方面。支出总额控制在预算总额以内；三公经费总体控制较好，较上年下降。预算管理方面，制度执行总体较为有效，仍需进一步强化。资金使用管理需进一步加强。总体执行较好。</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（二）行政效能评价</w:t>
      </w:r>
    </w:p>
    <w:p>
      <w:pPr>
        <w:pStyle w:val="9"/>
        <w:spacing w:beforeLines="50" w:beforeAutospacing="0" w:after="0" w:afterAutospacing="0" w:line="502" w:lineRule="atLeast"/>
        <w:ind w:left="142" w:firstLine="709"/>
        <w:rPr>
          <w:rFonts w:ascii="仿宋" w:hAnsi="仿宋" w:eastAsia="仿宋"/>
          <w:kern w:val="2"/>
          <w:sz w:val="32"/>
          <w:szCs w:val="32"/>
        </w:rPr>
      </w:pPr>
      <w:r>
        <w:rPr>
          <w:rFonts w:hint="eastAsia" w:ascii="仿宋" w:hAnsi="仿宋" w:eastAsia="仿宋"/>
          <w:kern w:val="2"/>
          <w:sz w:val="32"/>
          <w:szCs w:val="32"/>
        </w:rPr>
        <w:t>1.高度重视预算绩效工作。成立为以校长为组长，其他领导为副组长，办公室及财务室人员为成员的预算绩效工作领导小组，进一步强化财政预算支出绩效管理。</w:t>
      </w:r>
    </w:p>
    <w:p>
      <w:pPr>
        <w:pStyle w:val="9"/>
        <w:spacing w:beforeLines="50" w:beforeAutospacing="0" w:after="0" w:afterAutospacing="0" w:line="502" w:lineRule="atLeast"/>
        <w:ind w:left="142" w:firstLine="709"/>
        <w:rPr>
          <w:rFonts w:ascii="仿宋" w:hAnsi="仿宋" w:eastAsia="仿宋"/>
          <w:kern w:val="2"/>
          <w:sz w:val="32"/>
          <w:szCs w:val="32"/>
        </w:rPr>
      </w:pPr>
      <w:r>
        <w:rPr>
          <w:rFonts w:hint="eastAsia" w:ascii="仿宋" w:hAnsi="仿宋" w:eastAsia="仿宋"/>
          <w:kern w:val="2"/>
          <w:sz w:val="32"/>
          <w:szCs w:val="32"/>
        </w:rPr>
        <w:t>2.加强对财政预算资金管理方面制度的培训，不断提高业务工作能力。</w:t>
      </w:r>
    </w:p>
    <w:p>
      <w:pPr>
        <w:pStyle w:val="9"/>
        <w:spacing w:beforeLines="50" w:beforeAutospacing="0" w:after="0" w:afterAutospacing="0" w:line="502" w:lineRule="atLeast"/>
        <w:ind w:left="142" w:firstLine="709"/>
        <w:rPr>
          <w:rFonts w:ascii="仿宋" w:hAnsi="仿宋" w:eastAsia="仿宋"/>
          <w:kern w:val="2"/>
          <w:sz w:val="32"/>
          <w:szCs w:val="32"/>
        </w:rPr>
      </w:pPr>
      <w:r>
        <w:rPr>
          <w:rFonts w:hint="eastAsia" w:ascii="仿宋" w:hAnsi="仿宋" w:eastAsia="仿宋"/>
          <w:kern w:val="2"/>
          <w:sz w:val="32"/>
          <w:szCs w:val="32"/>
        </w:rPr>
        <w:t>3.建立了单位整体支出管理方面的内控制度，并不断进行完善和修订。财务管理制度、票据管理办法、财务会审制度、固定资产管理制度等办法，对招待费、租赁车辆等支出进行了有效管控。</w:t>
      </w:r>
    </w:p>
    <w:p>
      <w:pPr>
        <w:adjustRightInd w:val="0"/>
        <w:snapToGrid w:val="0"/>
        <w:spacing w:line="600" w:lineRule="exact"/>
        <w:ind w:left="141" w:leftChars="67" w:firstLine="707" w:firstLineChars="221"/>
        <w:rPr>
          <w:rFonts w:ascii="仿宋" w:hAnsi="仿宋" w:eastAsia="仿宋"/>
          <w:sz w:val="32"/>
          <w:szCs w:val="32"/>
        </w:rPr>
      </w:pPr>
      <w:r>
        <w:rPr>
          <w:rFonts w:hint="eastAsia" w:ascii="仿宋" w:hAnsi="仿宋" w:eastAsia="仿宋"/>
          <w:sz w:val="32"/>
          <w:szCs w:val="32"/>
        </w:rPr>
        <w:t>4、严格控制执行，特别是三公经费的预算控制。加强对租赁车辆的管理，严格招待费用审核审批程度，“三公”经费较好地控制在预算范围之内。</w:t>
      </w:r>
    </w:p>
    <w:p>
      <w:pPr>
        <w:adjustRightInd w:val="0"/>
        <w:snapToGrid w:val="0"/>
        <w:spacing w:line="600" w:lineRule="exact"/>
        <w:ind w:left="143" w:leftChars="68"/>
        <w:rPr>
          <w:rFonts w:ascii="仿宋" w:hAnsi="仿宋" w:eastAsia="仿宋"/>
          <w:sz w:val="32"/>
          <w:szCs w:val="32"/>
        </w:rPr>
      </w:pPr>
      <w:r>
        <w:rPr>
          <w:rFonts w:hint="eastAsia" w:ascii="仿宋" w:hAnsi="仿宋" w:eastAsia="仿宋"/>
          <w:sz w:val="32"/>
          <w:szCs w:val="32"/>
        </w:rPr>
        <w:t>（三）项目产出及实现的社会效益，部门履行职责对社会发展所带来的直接或间接影响。</w:t>
      </w:r>
    </w:p>
    <w:p>
      <w:pPr>
        <w:adjustRightInd w:val="0"/>
        <w:snapToGrid w:val="0"/>
        <w:spacing w:line="600" w:lineRule="exact"/>
        <w:ind w:left="143" w:leftChars="68" w:firstLine="707" w:firstLineChars="221"/>
        <w:rPr>
          <w:rFonts w:ascii="仿宋" w:hAnsi="仿宋" w:eastAsia="仿宋"/>
          <w:sz w:val="32"/>
          <w:szCs w:val="32"/>
        </w:rPr>
      </w:pPr>
      <w:r>
        <w:rPr>
          <w:rFonts w:hint="eastAsia" w:ascii="仿宋" w:hAnsi="仿宋" w:eastAsia="仿宋"/>
          <w:sz w:val="32"/>
          <w:szCs w:val="32"/>
        </w:rPr>
        <w:t>2020年高考，二中在农村高中学校中，在无优质生涯的情况下，仍然考取了优异的成绩，社会认可程序有所增加。</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可持续性分析</w:t>
      </w:r>
      <w:r>
        <w:rPr>
          <w:rFonts w:hint="eastAsia" w:ascii="仿宋" w:hAnsi="仿宋" w:eastAsia="仿宋"/>
          <w:sz w:val="32"/>
          <w:szCs w:val="32"/>
        </w:rPr>
        <w:t>，</w:t>
      </w:r>
    </w:p>
    <w:p>
      <w:pPr>
        <w:adjustRightInd w:val="0"/>
        <w:snapToGrid w:val="0"/>
        <w:spacing w:line="600" w:lineRule="exact"/>
        <w:ind w:left="1" w:firstLine="848" w:firstLineChars="265"/>
        <w:rPr>
          <w:rFonts w:ascii="仿宋" w:hAnsi="仿宋" w:eastAsia="仿宋"/>
          <w:sz w:val="32"/>
          <w:szCs w:val="32"/>
        </w:rPr>
      </w:pPr>
      <w:r>
        <w:rPr>
          <w:rFonts w:hint="eastAsia" w:ascii="仿宋" w:hAnsi="仿宋" w:eastAsia="仿宋"/>
          <w:sz w:val="32"/>
          <w:szCs w:val="32"/>
        </w:rPr>
        <w:t>针对本校生源不足，优质生源稀缺的情况，我校组织人员深入分析，力争筑巢引优，努力提升教育、后勤双保障。为教育百年大计孜孜不倦不懈奋斗，为教育的可持续发展奉献每一份力量。</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（五）社会公众满意度</w:t>
      </w:r>
    </w:p>
    <w:p>
      <w:pPr>
        <w:adjustRightInd w:val="0"/>
        <w:snapToGrid w:val="0"/>
        <w:spacing w:line="600" w:lineRule="exact"/>
        <w:ind w:left="141" w:leftChars="67" w:firstLine="707" w:firstLineChars="221"/>
        <w:rPr>
          <w:rFonts w:ascii="仿宋" w:hAnsi="仿宋" w:eastAsia="仿宋"/>
          <w:sz w:val="32"/>
          <w:szCs w:val="32"/>
        </w:rPr>
      </w:pPr>
      <w:r>
        <w:rPr>
          <w:rFonts w:hint="eastAsia" w:ascii="仿宋" w:hAnsi="仿宋" w:eastAsia="仿宋"/>
          <w:sz w:val="32"/>
          <w:szCs w:val="32"/>
        </w:rPr>
        <w:t>2020年，在上级的正确领导下，认真贯彻落实党的精神和政府决策部署，勤奋工作，创先争优，圆满完成各项工作任务。群众满意度高。</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（六）部门整体绩效得分</w:t>
      </w:r>
    </w:p>
    <w:p>
      <w:pPr>
        <w:adjustRightInd w:val="0"/>
        <w:snapToGrid w:val="0"/>
        <w:spacing w:line="600" w:lineRule="exact"/>
        <w:ind w:left="143" w:leftChars="68" w:firstLine="707" w:firstLineChars="221"/>
        <w:rPr>
          <w:rFonts w:ascii="仿宋" w:hAnsi="仿宋" w:eastAsia="仿宋"/>
          <w:sz w:val="32"/>
          <w:szCs w:val="32"/>
        </w:rPr>
      </w:pPr>
      <w:r>
        <w:rPr>
          <w:rFonts w:hint="eastAsia" w:ascii="仿宋" w:hAnsi="仿宋" w:eastAsia="仿宋"/>
          <w:sz w:val="32"/>
          <w:szCs w:val="32"/>
        </w:rPr>
        <w:t>根据部门整体支出绩效评价指标体系，本单位2020年度评价得分为9</w:t>
      </w:r>
      <w:r>
        <w:rPr>
          <w:rFonts w:ascii="仿宋" w:hAnsi="仿宋" w:eastAsia="仿宋"/>
          <w:sz w:val="32"/>
          <w:szCs w:val="32"/>
        </w:rPr>
        <w:t>5</w:t>
      </w:r>
      <w:r>
        <w:rPr>
          <w:rFonts w:hint="eastAsia" w:ascii="仿宋" w:hAnsi="仿宋" w:eastAsia="仿宋"/>
          <w:sz w:val="32"/>
          <w:szCs w:val="32"/>
        </w:rPr>
        <w:t>.5分</w:t>
      </w:r>
    </w:p>
    <w:p>
      <w:pPr>
        <w:adjustRightInd w:val="0"/>
        <w:snapToGrid w:val="0"/>
        <w:spacing w:line="600" w:lineRule="exact"/>
        <w:ind w:left="480" w:hanging="480"/>
        <w:outlineLvl w:val="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存在的主要问题</w:t>
      </w:r>
    </w:p>
    <w:p>
      <w:pPr>
        <w:adjustRightInd w:val="0"/>
        <w:snapToGrid w:val="0"/>
        <w:spacing w:line="600" w:lineRule="exact"/>
        <w:ind w:left="141" w:leftChars="67" w:firstLine="707" w:firstLineChars="221"/>
        <w:outlineLvl w:val="0"/>
        <w:rPr>
          <w:rFonts w:ascii="仿宋" w:hAnsi="仿宋" w:eastAsia="仿宋"/>
          <w:sz w:val="32"/>
          <w:szCs w:val="32"/>
        </w:rPr>
      </w:pPr>
      <w:r>
        <w:rPr>
          <w:rFonts w:hint="eastAsia" w:ascii="仿宋" w:hAnsi="仿宋" w:eastAsia="仿宋"/>
          <w:sz w:val="32"/>
          <w:szCs w:val="32"/>
        </w:rPr>
        <w:t>缺少专业人员处理专项工作。</w:t>
      </w:r>
    </w:p>
    <w:p>
      <w:pPr>
        <w:adjustRightInd w:val="0"/>
        <w:snapToGrid w:val="0"/>
        <w:spacing w:line="600" w:lineRule="exact"/>
        <w:ind w:left="480" w:hanging="480"/>
        <w:outlineLvl w:val="0"/>
        <w:rPr>
          <w:rFonts w:ascii="仿宋" w:hAnsi="仿宋" w:eastAsia="仿宋"/>
          <w:sz w:val="32"/>
          <w:szCs w:val="32"/>
        </w:rPr>
      </w:pPr>
      <w:r>
        <w:rPr>
          <w:rFonts w:hint="eastAsia" w:ascii="仿宋" w:hAnsi="仿宋" w:eastAsia="仿宋"/>
          <w:sz w:val="32"/>
          <w:szCs w:val="32"/>
        </w:rPr>
        <w:t>六、改进意见及建议</w:t>
      </w:r>
    </w:p>
    <w:p>
      <w:pPr>
        <w:widowControl/>
        <w:spacing w:beforeLines="50" w:line="502" w:lineRule="atLeast"/>
        <w:ind w:left="1" w:firstLine="848" w:firstLineChars="265"/>
        <w:jc w:val="left"/>
        <w:rPr>
          <w:rFonts w:ascii="仿宋" w:hAnsi="仿宋" w:eastAsia="仿宋"/>
          <w:sz w:val="32"/>
          <w:szCs w:val="32"/>
        </w:rPr>
      </w:pPr>
      <w:r>
        <w:rPr>
          <w:rFonts w:hint="eastAsia" w:ascii="仿宋" w:hAnsi="仿宋" w:eastAsia="仿宋"/>
          <w:sz w:val="32"/>
          <w:szCs w:val="32"/>
        </w:rPr>
        <w:t>（一）后续工作计划。</w:t>
      </w:r>
    </w:p>
    <w:p>
      <w:pPr>
        <w:widowControl/>
        <w:spacing w:beforeLines="50" w:line="502" w:lineRule="atLeast"/>
        <w:ind w:firstLine="848" w:firstLineChars="265"/>
        <w:jc w:val="left"/>
        <w:rPr>
          <w:rFonts w:ascii="仿宋" w:hAnsi="仿宋" w:eastAsia="仿宋"/>
          <w:sz w:val="32"/>
          <w:szCs w:val="32"/>
        </w:rPr>
      </w:pPr>
      <w:r>
        <w:rPr>
          <w:rFonts w:hint="eastAsia" w:ascii="仿宋" w:hAnsi="仿宋" w:eastAsia="仿宋"/>
          <w:sz w:val="32"/>
          <w:szCs w:val="32"/>
        </w:rPr>
        <w:t>进一步加强财政预算绩效管理。严格按照部门预算要求，牢固树立“成本效益”观念，进一步加强预算管理，规范预算执行，不断优化预算支出结构，实话资金跟踪问效制度。</w:t>
      </w:r>
    </w:p>
    <w:p>
      <w:pPr>
        <w:widowControl/>
        <w:spacing w:beforeLines="50" w:line="502" w:lineRule="atLeast"/>
        <w:ind w:firstLine="848" w:firstLineChars="265"/>
        <w:jc w:val="left"/>
        <w:rPr>
          <w:rFonts w:ascii="仿宋" w:hAnsi="仿宋" w:eastAsia="仿宋"/>
          <w:sz w:val="32"/>
          <w:szCs w:val="32"/>
        </w:rPr>
      </w:pPr>
      <w:r>
        <w:rPr>
          <w:rFonts w:hint="eastAsia" w:ascii="仿宋" w:hAnsi="仿宋" w:eastAsia="仿宋"/>
          <w:sz w:val="32"/>
          <w:szCs w:val="32"/>
        </w:rPr>
        <w:t>（二）主要经验做法、存在的问题和建议。主要包括资金安排、使用过程中的经验、做法、存在的问题、改进措施和有关建议等。</w:t>
      </w:r>
    </w:p>
    <w:p>
      <w:pPr>
        <w:widowControl/>
        <w:spacing w:beforeLines="50" w:line="502" w:lineRule="atLeast"/>
        <w:ind w:firstLine="848" w:firstLineChars="265"/>
        <w:jc w:val="left"/>
        <w:rPr>
          <w:rFonts w:ascii="仿宋" w:hAnsi="仿宋" w:eastAsia="仿宋"/>
          <w:sz w:val="32"/>
          <w:szCs w:val="32"/>
        </w:rPr>
      </w:pPr>
      <w:r>
        <w:rPr>
          <w:rFonts w:hint="eastAsia" w:ascii="仿宋" w:hAnsi="仿宋" w:eastAsia="仿宋"/>
          <w:sz w:val="32"/>
          <w:szCs w:val="32"/>
        </w:rPr>
        <w:t>1、是加强政策学习，组织单位人员认真学习《预算法》等相关法规、制度，提高单位领导对全面预算管理的重视程度，增强财务人员的预算意识，科学编制部门预算。</w:t>
      </w:r>
    </w:p>
    <w:p>
      <w:pPr>
        <w:adjustRightInd w:val="0"/>
        <w:snapToGrid w:val="0"/>
        <w:ind w:left="1" w:firstLine="848" w:firstLineChars="265"/>
        <w:rPr>
          <w:rFonts w:ascii="仿宋" w:hAnsi="仿宋" w:eastAsia="仿宋"/>
          <w:sz w:val="32"/>
          <w:szCs w:val="32"/>
        </w:rPr>
      </w:pPr>
      <w:r>
        <w:rPr>
          <w:rFonts w:hint="eastAsia" w:ascii="仿宋" w:hAnsi="仿宋" w:eastAsia="仿宋"/>
          <w:sz w:val="32"/>
          <w:szCs w:val="32"/>
        </w:rPr>
        <w:t>2、加快预算执行进度。部门预算批复后，应结合单位实际情况进行预算执行进度分析，科学合理安排支出，降低预算支出的波动幅度。严格执行项目支出预算，积极组织项目的实施，通过加强对项目支出预算执行的管理，提高财政资金使用绩效。</w:t>
      </w:r>
    </w:p>
    <w:p>
      <w:pPr>
        <w:adjustRightInd w:val="0"/>
        <w:snapToGrid w:val="0"/>
        <w:spacing w:line="600" w:lineRule="exact"/>
        <w:ind w:left="480" w:hanging="480"/>
        <w:rPr>
          <w:rFonts w:ascii="仿宋" w:hAnsi="仿宋" w:eastAsia="仿宋"/>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spacing w:line="600" w:lineRule="exact"/>
        <w:ind w:left="540" w:hanging="540"/>
        <w:jc w:val="center"/>
        <w:rPr>
          <w:rFonts w:eastAsia="方正小标宋_GBK"/>
          <w:spacing w:val="-8"/>
          <w:sz w:val="28"/>
          <w:szCs w:val="28"/>
        </w:rPr>
      </w:pPr>
      <w:r>
        <w:rPr>
          <w:rFonts w:eastAsia="方正小标宋_GBK"/>
          <w:sz w:val="36"/>
          <w:szCs w:val="36"/>
        </w:rPr>
        <w:t>20</w:t>
      </w:r>
      <w:r>
        <w:rPr>
          <w:rFonts w:hint="eastAsia" w:eastAsia="方正小标宋_GBK"/>
          <w:sz w:val="36"/>
          <w:szCs w:val="36"/>
        </w:rPr>
        <w:t>20年度部门整体支出</w:t>
      </w:r>
      <w:r>
        <w:rPr>
          <w:rFonts w:eastAsia="方正小标宋_GBK"/>
          <w:spacing w:val="-8"/>
          <w:sz w:val="36"/>
          <w:szCs w:val="36"/>
        </w:rPr>
        <w:t>绩效评价指标评分表</w:t>
      </w:r>
    </w:p>
    <w:p>
      <w:pPr>
        <w:spacing w:line="600" w:lineRule="exact"/>
        <w:ind w:left="396" w:hanging="396"/>
        <w:rPr>
          <w:rFonts w:ascii="楷体_GB2312" w:eastAsia="楷体_GB2312"/>
          <w:spacing w:val="-8"/>
          <w:sz w:val="28"/>
          <w:szCs w:val="28"/>
        </w:rPr>
      </w:pPr>
      <w:r>
        <w:rPr>
          <w:rFonts w:hint="eastAsia" w:ascii="楷体_GB2312" w:eastAsia="楷体_GB2312"/>
          <w:spacing w:val="-8"/>
          <w:sz w:val="28"/>
          <w:szCs w:val="28"/>
        </w:rPr>
        <w:t>填报单位（盖章）：</w:t>
      </w:r>
    </w:p>
    <w:tbl>
      <w:tblPr>
        <w:tblStyle w:val="10"/>
        <w:tblW w:w="5000" w:type="pct"/>
        <w:jc w:val="center"/>
        <w:tblLayout w:type="autofit"/>
        <w:tblCellMar>
          <w:top w:w="0" w:type="dxa"/>
          <w:left w:w="0" w:type="dxa"/>
          <w:bottom w:w="0" w:type="dxa"/>
          <w:right w:w="0" w:type="dxa"/>
        </w:tblCellMar>
      </w:tblPr>
      <w:tblGrid>
        <w:gridCol w:w="497"/>
        <w:gridCol w:w="506"/>
        <w:gridCol w:w="755"/>
        <w:gridCol w:w="3910"/>
        <w:gridCol w:w="4266"/>
        <w:gridCol w:w="552"/>
      </w:tblGrid>
      <w:tr>
        <w:tblPrEx>
          <w:tblCellMar>
            <w:top w:w="0" w:type="dxa"/>
            <w:left w:w="0" w:type="dxa"/>
            <w:bottom w:w="0" w:type="dxa"/>
            <w:right w:w="0" w:type="dxa"/>
          </w:tblCellMar>
        </w:tblPrEx>
        <w:trPr>
          <w:trHeight w:val="641" w:hRule="atLeast"/>
          <w:tblHeader/>
          <w:jc w:val="center"/>
        </w:trPr>
        <w:tc>
          <w:tcPr>
            <w:tcW w:w="242" w:type="pct"/>
            <w:tcBorders>
              <w:top w:val="single" w:color="auto" w:sz="4" w:space="0"/>
              <w:left w:val="single" w:color="auto" w:sz="8" w:space="0"/>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一级</w:t>
            </w:r>
            <w:r>
              <w:rPr>
                <w:rFonts w:hint="eastAsia" w:ascii="宋体" w:hAnsi="宋体" w:cs="宋体"/>
                <w:color w:val="000000"/>
                <w:sz w:val="21"/>
                <w:szCs w:val="21"/>
              </w:rPr>
              <w:br w:type="textWrapping"/>
            </w:r>
            <w:r>
              <w:rPr>
                <w:rFonts w:hint="eastAsia" w:ascii="宋体" w:hAnsi="宋体" w:cs="宋体"/>
                <w:color w:val="000000"/>
                <w:sz w:val="21"/>
                <w:szCs w:val="21"/>
              </w:rPr>
              <w:t>指标</w:t>
            </w:r>
          </w:p>
        </w:tc>
        <w:tc>
          <w:tcPr>
            <w:tcW w:w="246" w:type="pct"/>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二级指标</w:t>
            </w:r>
          </w:p>
        </w:tc>
        <w:tc>
          <w:tcPr>
            <w:tcW w:w="336" w:type="pct"/>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三级指标</w:t>
            </w:r>
          </w:p>
        </w:tc>
        <w:tc>
          <w:tcPr>
            <w:tcW w:w="1869" w:type="pct"/>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指标解释</w:t>
            </w:r>
          </w:p>
        </w:tc>
        <w:tc>
          <w:tcPr>
            <w:tcW w:w="2039" w:type="pct"/>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指标说明</w:t>
            </w:r>
          </w:p>
        </w:tc>
        <w:tc>
          <w:tcPr>
            <w:tcW w:w="269" w:type="pct"/>
            <w:tcBorders>
              <w:top w:val="single" w:color="auto" w:sz="4" w:space="0"/>
              <w:left w:val="nil"/>
              <w:bottom w:val="single" w:color="auto" w:sz="8" w:space="0"/>
              <w:right w:val="single" w:color="auto" w:sz="8" w:space="0"/>
            </w:tcBorders>
            <w:vAlign w:val="center"/>
          </w:tcPr>
          <w:p>
            <w:pPr>
              <w:pStyle w:val="9"/>
              <w:widowControl/>
              <w:spacing w:before="0" w:beforeAutospacing="0" w:after="0" w:afterAutospacing="0" w:line="600" w:lineRule="exact"/>
              <w:jc w:val="center"/>
            </w:pPr>
            <w:r>
              <w:rPr>
                <w:rFonts w:hint="eastAsia" w:ascii="宋体" w:hAnsi="宋体" w:cs="宋体"/>
                <w:color w:val="000000"/>
                <w:sz w:val="21"/>
                <w:szCs w:val="21"/>
              </w:rPr>
              <w:t>自评分</w:t>
            </w:r>
          </w:p>
        </w:tc>
      </w:tr>
      <w:tr>
        <w:tblPrEx>
          <w:tblCellMar>
            <w:top w:w="0" w:type="dxa"/>
            <w:left w:w="0" w:type="dxa"/>
            <w:bottom w:w="0" w:type="dxa"/>
            <w:right w:w="0" w:type="dxa"/>
          </w:tblCellMar>
        </w:tblPrEx>
        <w:trPr>
          <w:trHeight w:val="1001" w:hRule="atLeast"/>
          <w:jc w:val="center"/>
        </w:trPr>
        <w:tc>
          <w:tcPr>
            <w:tcW w:w="242" w:type="pct"/>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投入(20分)</w:t>
            </w:r>
          </w:p>
        </w:tc>
        <w:tc>
          <w:tcPr>
            <w:tcW w:w="246" w:type="pct"/>
            <w:vMerge w:val="restar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目标</w:t>
            </w:r>
            <w:r>
              <w:rPr>
                <w:rFonts w:hint="eastAsia" w:ascii="宋体" w:hAnsi="宋体" w:cs="宋体"/>
                <w:color w:val="000000"/>
                <w:sz w:val="21"/>
                <w:szCs w:val="21"/>
              </w:rPr>
              <w:br w:type="textWrapping"/>
            </w:r>
            <w:r>
              <w:rPr>
                <w:rFonts w:hint="eastAsia" w:ascii="宋体" w:hAnsi="宋体" w:cs="宋体"/>
                <w:color w:val="000000"/>
                <w:sz w:val="21"/>
                <w:szCs w:val="21"/>
              </w:rPr>
              <w:t>设定</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（5分）</w:t>
            </w: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绩效目标合理性</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部门所设立的整体绩效目标依据是否充分，是否符合客观实际，用以反映和考核部门整体绩效目标与部门履职、年度工作任务的相符性情况。</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①符合国家法律法规、国民经济和社会发展总体规划计1分；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②符合部门“三定”方案确定的职责计0.5分；</w:t>
            </w:r>
          </w:p>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③是否符合部门制定的中长期实施规划计0.5分。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2</w:t>
            </w:r>
          </w:p>
        </w:tc>
      </w:tr>
      <w:tr>
        <w:tblPrEx>
          <w:tblCellMar>
            <w:top w:w="0" w:type="dxa"/>
            <w:left w:w="0" w:type="dxa"/>
            <w:bottom w:w="0" w:type="dxa"/>
            <w:right w:w="0" w:type="dxa"/>
          </w:tblCellMar>
        </w:tblPrEx>
        <w:trPr>
          <w:trHeight w:val="1091"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绩效指标明确性</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（3分）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部门依据整体绩效目标所设定的绩效指标是否清晰、细化、可衡量，用以反映和考核部门整体绩效目标的明细化情况。</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①将部门整体的绩效目标细化分解为具体的工作任务计1分；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②通过清晰、可衡量的指标值予以体现计0.5分；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③与部门年度的任务数或计划数相对应计0.5分；</w:t>
            </w:r>
          </w:p>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④与本年度部门预算资金相匹配计1分。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2</w:t>
            </w:r>
          </w:p>
        </w:tc>
      </w:tr>
      <w:tr>
        <w:tblPrEx>
          <w:tblCellMar>
            <w:top w:w="0" w:type="dxa"/>
            <w:left w:w="0" w:type="dxa"/>
            <w:bottom w:w="0" w:type="dxa"/>
            <w:right w:w="0" w:type="dxa"/>
          </w:tblCellMar>
        </w:tblPrEx>
        <w:trPr>
          <w:trHeight w:val="1225"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restar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预算</w:t>
            </w:r>
            <w:r>
              <w:rPr>
                <w:rFonts w:hint="eastAsia" w:ascii="宋体" w:hAnsi="宋体" w:cs="宋体"/>
                <w:color w:val="000000"/>
                <w:sz w:val="21"/>
                <w:szCs w:val="21"/>
              </w:rPr>
              <w:br w:type="textWrapping"/>
            </w:r>
            <w:r>
              <w:rPr>
                <w:rFonts w:hint="eastAsia" w:ascii="宋体" w:hAnsi="宋体" w:cs="宋体"/>
                <w:color w:val="000000"/>
                <w:sz w:val="21"/>
                <w:szCs w:val="21"/>
              </w:rPr>
              <w:t>配置（15分）</w:t>
            </w: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在职人员控制率</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（5分）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部门本年度实际在职人员数与编制数的比率，用以反映和考核部门对人员成本的控制程度。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1232"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“三公经费”变动率（5分）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部门本年度“三公经费”预算数与上年度“三公经费”预算数的变动比率，用以反映和考核部门对控制重点行政成本的努力程度。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1543"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重点支出安排率</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（5分）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部门本年度预算安排的重点项目支出与部门项目总支出的比率，用以反映和考核部门对履行主要职责或完成重点任务的保障程度。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971" w:hRule="atLeast"/>
          <w:jc w:val="center"/>
        </w:trPr>
        <w:tc>
          <w:tcPr>
            <w:tcW w:w="242" w:type="pct"/>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过程</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(40分)</w:t>
            </w:r>
          </w:p>
        </w:tc>
        <w:tc>
          <w:tcPr>
            <w:tcW w:w="246" w:type="pct"/>
            <w:vMerge w:val="restar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预算</w:t>
            </w:r>
            <w:r>
              <w:rPr>
                <w:rFonts w:hint="eastAsia" w:ascii="宋体" w:hAnsi="宋体" w:cs="宋体"/>
                <w:color w:val="000000"/>
                <w:sz w:val="21"/>
                <w:szCs w:val="21"/>
              </w:rPr>
              <w:br w:type="textWrapping"/>
            </w:r>
            <w:r>
              <w:rPr>
                <w:rFonts w:hint="eastAsia" w:ascii="宋体" w:hAnsi="宋体" w:cs="宋体"/>
                <w:color w:val="000000"/>
                <w:sz w:val="21"/>
                <w:szCs w:val="21"/>
              </w:rPr>
              <w:t>执行</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(23分)</w:t>
            </w: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预算</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完成率</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（4分）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部门本年度预算完成数与预算数的比率，用以反映和考核部门预算完成程度。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1493"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预算</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调整率</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部门本年度预算调整数与预算数的比率，用以反映和考核部门预算的调整程度。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2</w:t>
            </w:r>
          </w:p>
        </w:tc>
      </w:tr>
      <w:tr>
        <w:tblPrEx>
          <w:tblCellMar>
            <w:top w:w="0" w:type="dxa"/>
            <w:left w:w="0" w:type="dxa"/>
            <w:bottom w:w="0" w:type="dxa"/>
            <w:right w:w="0" w:type="dxa"/>
          </w:tblCellMar>
        </w:tblPrEx>
        <w:trPr>
          <w:trHeight w:val="1762"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支付</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进度率</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部门实际支付进度与既定支付进度的比率，用以反映和考核部门预算执行的及时性和均衡性程度。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2</w:t>
            </w:r>
          </w:p>
        </w:tc>
      </w:tr>
      <w:tr>
        <w:tblPrEx>
          <w:tblCellMar>
            <w:top w:w="0" w:type="dxa"/>
            <w:left w:w="0" w:type="dxa"/>
            <w:bottom w:w="0" w:type="dxa"/>
            <w:right w:w="0" w:type="dxa"/>
          </w:tblCellMar>
        </w:tblPrEx>
        <w:trPr>
          <w:trHeight w:val="1225"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结转结余控制率</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（4分）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部门本年度结转结余总额与上年结转结余总额增减比例，用以反映和考核部门对存量资金的实际控制程度。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932"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公用经费</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控制率</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（4分）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部门本年度实际支出的公用经费总额与预算安排的公用经费总额的比率，用以反映和考核部门对机构运转成本的实际控制程度。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公用经费控制率=（实际支出公用经费总额/预算安排公用经费总额）×100%。为100%的计4分，每超过1个百分点扣0.1分，扣完为止。</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875"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“三公经费”控制率（3分）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部门本年度“三公经费”实际支出数与预算安排数的比率，用以反映和考核部门对“三公经费”的实际控制程度。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“三公经费”控制率=（“三公经费”实际支出数/“三公经费”预算安排数）×100%。为100%的计3分，每超过1个百分点扣0.5分，扣完为止。</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3</w:t>
            </w:r>
          </w:p>
        </w:tc>
      </w:tr>
      <w:tr>
        <w:tblPrEx>
          <w:tblCellMar>
            <w:top w:w="0" w:type="dxa"/>
            <w:left w:w="0" w:type="dxa"/>
            <w:bottom w:w="0" w:type="dxa"/>
            <w:right w:w="0" w:type="dxa"/>
          </w:tblCellMar>
        </w:tblPrEx>
        <w:trPr>
          <w:trHeight w:val="1277"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政府采购</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执行率</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（4分）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部门本年度实际政府采购金额与年初政府采购预算的比率，用以反映和考核部门政府采购预算执行情况。</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t>4</w:t>
            </w:r>
          </w:p>
        </w:tc>
      </w:tr>
      <w:tr>
        <w:tblPrEx>
          <w:tblCellMar>
            <w:top w:w="0" w:type="dxa"/>
            <w:left w:w="0" w:type="dxa"/>
            <w:bottom w:w="0" w:type="dxa"/>
            <w:right w:w="0" w:type="dxa"/>
          </w:tblCellMar>
        </w:tblPrEx>
        <w:trPr>
          <w:trHeight w:val="948"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restar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预算</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管理</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(12分)</w:t>
            </w: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管理制度</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健全性</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部门为加强预算管理、规范财务行为而制定的管理制度是否健全完整，用以反映和考核部门预算管理制度对完成主要职责或促进事业发展的保障情况。</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已制定或具有预算资金管理办法、内部财务管理制度、会计核算制度等管理制度计1分；相关管理制度合法、合规、完整计0.5分；相关管理制度得到有效执行计0.5分。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2</w:t>
            </w:r>
          </w:p>
        </w:tc>
      </w:tr>
      <w:tr>
        <w:tblPrEx>
          <w:tblCellMar>
            <w:top w:w="0" w:type="dxa"/>
            <w:left w:w="0" w:type="dxa"/>
            <w:bottom w:w="0" w:type="dxa"/>
            <w:right w:w="0" w:type="dxa"/>
          </w:tblCellMar>
        </w:tblPrEx>
        <w:trPr>
          <w:trHeight w:val="1598"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资金使用</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合规性</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（5分）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部门使用预算资金是否符合相关的预算财务管理制度的规定，用以反映和考核部门预算资金的规范运行情况。</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①符合国家财经法规和财务管理制度规定以及有关专项资金管理办法的规定计1分；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②资金的拨付有完整的审批程序和手续计1分；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③项目的重大开支经过评估论证计1分；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④符合部门预算批复的用途计1分；</w:t>
            </w:r>
          </w:p>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⑤不存在截留、挤占、挪用、虚列支出等情况计1分。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1253"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预决算信</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息公开性（2分）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部门是否按照政府信息公开有关规定公开相关预决算信息，用以反映和考核部门预决算管理的公开透明情况。</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①按规定内容公开预决算信息计1分；</w:t>
            </w:r>
          </w:p>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②按规定时限公开预决算信息计1分。预决算信息是指与部门预算、执行、决算、监督、绩效等管理相关的信息。</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2</w:t>
            </w:r>
          </w:p>
        </w:tc>
      </w:tr>
      <w:tr>
        <w:tblPrEx>
          <w:tblCellMar>
            <w:top w:w="0" w:type="dxa"/>
            <w:left w:w="0" w:type="dxa"/>
            <w:bottom w:w="0" w:type="dxa"/>
            <w:right w:w="0" w:type="dxa"/>
          </w:tblCellMar>
        </w:tblPrEx>
        <w:trPr>
          <w:trHeight w:val="930"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基础信息</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完善性</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（3分）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部门基础信息是否完善，用以反映和考核基础信息对预算管理工作的支撑情况。</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①基础数据信息和会计信息资料真实计1分；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②基础数据信息和会计信息资料完整计1分；</w:t>
            </w:r>
          </w:p>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③基础数据信息和会计信息资料准确计1分。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3</w:t>
            </w:r>
          </w:p>
        </w:tc>
      </w:tr>
      <w:tr>
        <w:tblPrEx>
          <w:tblCellMar>
            <w:top w:w="0" w:type="dxa"/>
            <w:left w:w="0" w:type="dxa"/>
            <w:bottom w:w="0" w:type="dxa"/>
            <w:right w:w="0" w:type="dxa"/>
          </w:tblCellMar>
        </w:tblPrEx>
        <w:trPr>
          <w:trHeight w:val="964"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restar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资产</w:t>
            </w:r>
            <w:r>
              <w:rPr>
                <w:rFonts w:hint="eastAsia" w:ascii="宋体" w:hAnsi="宋体" w:cs="宋体"/>
                <w:color w:val="000000"/>
                <w:sz w:val="21"/>
                <w:szCs w:val="21"/>
              </w:rPr>
              <w:br w:type="textWrapping"/>
            </w:r>
            <w:r>
              <w:rPr>
                <w:rFonts w:hint="eastAsia" w:ascii="宋体" w:hAnsi="宋体" w:cs="宋体"/>
                <w:color w:val="000000"/>
                <w:sz w:val="21"/>
                <w:szCs w:val="21"/>
              </w:rPr>
              <w:t>管理</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（5分）</w:t>
            </w: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管理制度</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健全性</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部门为加强资产管理、规范资产管理行为而制定的管理制度是否健全完整，用以反映和考核部门资产管理制度对完成主要职责或促进社会发展的保障情况。</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①制定或具有资产管理制度计1分；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②相关资金管理制度合法、合规、完整计0.5分；</w:t>
            </w:r>
          </w:p>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③相关资产管理制度得到有效执行计0.5分。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2</w:t>
            </w:r>
          </w:p>
        </w:tc>
      </w:tr>
      <w:tr>
        <w:tblPrEx>
          <w:tblCellMar>
            <w:top w:w="0" w:type="dxa"/>
            <w:left w:w="0" w:type="dxa"/>
            <w:bottom w:w="0" w:type="dxa"/>
            <w:right w:w="0" w:type="dxa"/>
          </w:tblCellMar>
        </w:tblPrEx>
        <w:trPr>
          <w:trHeight w:val="1559"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资产管理</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安全性</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761"/>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部门的资产是否保存完整、使用合规、配置合理、处置规范、收入及时足额上缴，用以反映和考核部门资产安全运行情况。</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①资产保存完整计0.4分；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②资产配置合理计0.4分；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③资产处置规范计0.4分；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④资产账务管理合规、帐实相符计0.4分；</w:t>
            </w:r>
          </w:p>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⑤资产有偿使用及处置收入及时足额上缴计0.4分。</w:t>
            </w:r>
          </w:p>
        </w:tc>
        <w:tc>
          <w:tcPr>
            <w:tcW w:w="269" w:type="pct"/>
            <w:tcBorders>
              <w:top w:val="nil"/>
              <w:left w:val="nil"/>
              <w:bottom w:val="single" w:color="auto" w:sz="8" w:space="0"/>
              <w:right w:val="single" w:color="auto" w:sz="8" w:space="0"/>
            </w:tcBorders>
            <w:vAlign w:val="center"/>
          </w:tcPr>
          <w:p>
            <w:pPr>
              <w:pStyle w:val="9"/>
              <w:widowControl/>
              <w:tabs>
                <w:tab w:val="left" w:pos="761"/>
                <w:tab w:val="left" w:pos="2604"/>
              </w:tabs>
              <w:spacing w:before="0" w:beforeAutospacing="0" w:after="0" w:afterAutospacing="0" w:line="600" w:lineRule="exact"/>
              <w:jc w:val="center"/>
            </w:pPr>
            <w:r>
              <w:rPr>
                <w:rFonts w:hint="eastAsia"/>
              </w:rPr>
              <w:t>1.5</w:t>
            </w:r>
          </w:p>
        </w:tc>
      </w:tr>
      <w:tr>
        <w:tblPrEx>
          <w:tblCellMar>
            <w:top w:w="0" w:type="dxa"/>
            <w:left w:w="0" w:type="dxa"/>
            <w:bottom w:w="0" w:type="dxa"/>
            <w:right w:w="0" w:type="dxa"/>
          </w:tblCellMar>
        </w:tblPrEx>
        <w:trPr>
          <w:trHeight w:val="1054"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固定资产</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利用率</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（1分）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部门实际在用固定资产总额与所有固定资产总额的比率，用以反映和考核部门固定资产使用效率程度。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固定资产利用率=（实际在用固定资产总额/所有固定资产总额）×100%。利用率为100%的计1分，每降1个百分点扣0.1分，扣完为止。</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1</w:t>
            </w:r>
          </w:p>
        </w:tc>
      </w:tr>
      <w:tr>
        <w:tblPrEx>
          <w:tblCellMar>
            <w:top w:w="0" w:type="dxa"/>
            <w:left w:w="0" w:type="dxa"/>
            <w:bottom w:w="0" w:type="dxa"/>
            <w:right w:w="0" w:type="dxa"/>
          </w:tblCellMar>
        </w:tblPrEx>
        <w:trPr>
          <w:trHeight w:val="890" w:hRule="atLeast"/>
          <w:jc w:val="center"/>
        </w:trPr>
        <w:tc>
          <w:tcPr>
            <w:tcW w:w="242" w:type="pct"/>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产出</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(20分)</w:t>
            </w:r>
          </w:p>
        </w:tc>
        <w:tc>
          <w:tcPr>
            <w:tcW w:w="246" w:type="pct"/>
            <w:vMerge w:val="restar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职责</w:t>
            </w:r>
            <w:r>
              <w:rPr>
                <w:rFonts w:hint="eastAsia" w:ascii="宋体" w:hAnsi="宋体" w:cs="宋体"/>
                <w:color w:val="000000"/>
                <w:sz w:val="21"/>
                <w:szCs w:val="21"/>
              </w:rPr>
              <w:br w:type="textWrapping"/>
            </w:r>
            <w:r>
              <w:rPr>
                <w:rFonts w:hint="eastAsia" w:ascii="宋体" w:hAnsi="宋体" w:cs="宋体"/>
                <w:color w:val="000000"/>
                <w:sz w:val="21"/>
                <w:szCs w:val="21"/>
              </w:rPr>
              <w:t>履行</w:t>
            </w: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实际完成率（5分）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部门履行职责而实际完成工作数与计划工作数的比率，用以反映和考核部门履职工作任务目标的实现程度。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实际完成率得分=完成县委县政府绩效考核得分或上级主管部门考核指标得分/指标分值*5分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860"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完成及时率（4分）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部门在规定时限内及时完成的实际工作数与计划工作数的比率,用以反映和考核部门履职时效目标的实现程度。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210" w:afterAutospacing="0" w:line="600" w:lineRule="exact"/>
              <w:jc w:val="both"/>
              <w:rPr>
                <w:rFonts w:ascii="宋体" w:hAnsi="宋体" w:cs="宋体"/>
                <w:sz w:val="21"/>
                <w:szCs w:val="21"/>
              </w:rPr>
            </w:pPr>
            <w:r>
              <w:rPr>
                <w:rFonts w:hint="eastAsia" w:ascii="宋体" w:hAnsi="宋体" w:cs="宋体"/>
                <w:color w:val="000000"/>
                <w:sz w:val="21"/>
                <w:szCs w:val="21"/>
              </w:rPr>
              <w:t>完成及时率=（及时完成实际工作数/计划工作数）×100%。1-4季度各得1分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800"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质量达标率（5分）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达到质量标准（绩效标准值）的实际工作数与计划工作数的比率,用以反映和考核部门履职质量目标的实现程度。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质量达标率=（质量达标实际工作数/计划工作数）×100%。实际得分=达标率*5分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1054"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重点工作</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办结率</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（6分）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部门年度重点工作实际完成数与交办或下达数的比率，用以反映部门对重点工作的办理落实程度。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重点工作办结率=（重点工作实际完成数/交办或下达数）×100%。实际得分=办结率*6分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p>
        </w:tc>
      </w:tr>
      <w:tr>
        <w:tblPrEx>
          <w:tblCellMar>
            <w:top w:w="0" w:type="dxa"/>
            <w:left w:w="0" w:type="dxa"/>
            <w:bottom w:w="0" w:type="dxa"/>
            <w:right w:w="0" w:type="dxa"/>
          </w:tblCellMar>
        </w:tblPrEx>
        <w:trPr>
          <w:trHeight w:val="641" w:hRule="atLeast"/>
          <w:jc w:val="center"/>
        </w:trPr>
        <w:tc>
          <w:tcPr>
            <w:tcW w:w="242" w:type="pct"/>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效果</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(20分)</w:t>
            </w:r>
          </w:p>
        </w:tc>
        <w:tc>
          <w:tcPr>
            <w:tcW w:w="246" w:type="pct"/>
            <w:vMerge w:val="restar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履职</w:t>
            </w:r>
            <w:r>
              <w:rPr>
                <w:rFonts w:hint="eastAsia" w:ascii="宋体" w:hAnsi="宋体" w:cs="宋体"/>
                <w:color w:val="000000"/>
                <w:sz w:val="21"/>
                <w:szCs w:val="21"/>
              </w:rPr>
              <w:br w:type="textWrapping"/>
            </w:r>
            <w:r>
              <w:rPr>
                <w:rFonts w:hint="eastAsia" w:ascii="宋体" w:hAnsi="宋体" w:cs="宋体"/>
                <w:color w:val="000000"/>
                <w:sz w:val="21"/>
                <w:szCs w:val="21"/>
              </w:rPr>
              <w:t>效益(20分)</w:t>
            </w: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经济效益（5分）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部门履行职责对经济发展所带来的直接或间接影响。</w:t>
            </w:r>
          </w:p>
        </w:tc>
        <w:tc>
          <w:tcPr>
            <w:tcW w:w="2039" w:type="pct"/>
            <w:tcBorders>
              <w:top w:val="nil"/>
              <w:left w:val="nil"/>
              <w:bottom w:val="single" w:color="auto" w:sz="4"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按经济效益实现程度计算得分（5分）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3</w:t>
            </w:r>
          </w:p>
        </w:tc>
      </w:tr>
      <w:tr>
        <w:tblPrEx>
          <w:tblCellMar>
            <w:top w:w="0" w:type="dxa"/>
            <w:left w:w="0" w:type="dxa"/>
            <w:bottom w:w="0" w:type="dxa"/>
            <w:right w:w="0" w:type="dxa"/>
          </w:tblCellMar>
        </w:tblPrEx>
        <w:trPr>
          <w:trHeight w:val="641"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社会效益（5分）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部门履行职责对社会发展所带来的直接或间接影响。</w:t>
            </w:r>
          </w:p>
        </w:tc>
        <w:tc>
          <w:tcPr>
            <w:tcW w:w="2039" w:type="pct"/>
            <w:tcBorders>
              <w:top w:val="single" w:color="auto" w:sz="4" w:space="0"/>
              <w:left w:val="nil"/>
              <w:bottom w:val="single" w:color="auto" w:sz="4" w:space="0"/>
              <w:right w:val="single" w:color="auto" w:sz="8" w:space="0"/>
            </w:tcBorders>
            <w:tcMar>
              <w:top w:w="10" w:type="dxa"/>
              <w:left w:w="10" w:type="dxa"/>
              <w:right w:w="10" w:type="dxa"/>
            </w:tcMar>
            <w:vAlign w:val="center"/>
          </w:tcPr>
          <w:p>
            <w:pPr>
              <w:spacing w:line="600" w:lineRule="exact"/>
              <w:ind w:left="315" w:hanging="315"/>
              <w:rPr>
                <w:rFonts w:ascii="宋体" w:hAnsi="宋体" w:cs="宋体"/>
                <w:color w:val="000000"/>
                <w:sz w:val="15"/>
                <w:szCs w:val="15"/>
              </w:rPr>
            </w:pPr>
            <w:r>
              <w:rPr>
                <w:rFonts w:hint="eastAsia" w:ascii="宋体" w:hAnsi="宋体" w:cs="宋体"/>
                <w:color w:val="000000"/>
                <w:szCs w:val="21"/>
              </w:rPr>
              <w:t>按社会效益实现程度计算得分（5分）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641"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315" w:hanging="315"/>
              <w:jc w:val="center"/>
              <w:rPr>
                <w:rFonts w:ascii="宋体" w:hAnsi="宋体" w:cs="宋体"/>
                <w:color w:val="000000"/>
                <w:kern w:val="0"/>
                <w:szCs w:val="21"/>
              </w:rPr>
            </w:pPr>
            <w:r>
              <w:rPr>
                <w:rFonts w:hint="eastAsia" w:ascii="宋体" w:hAnsi="宋体" w:cs="宋体"/>
                <w:color w:val="000000"/>
                <w:kern w:val="0"/>
                <w:szCs w:val="21"/>
              </w:rPr>
              <w:t>生态效益</w:t>
            </w:r>
          </w:p>
          <w:p>
            <w:pPr>
              <w:spacing w:line="600" w:lineRule="exact"/>
              <w:ind w:left="315" w:hanging="315"/>
              <w:jc w:val="center"/>
              <w:rPr>
                <w:rFonts w:ascii="宋体" w:hAnsi="宋体" w:cs="宋体"/>
                <w:color w:val="000000"/>
                <w:kern w:val="0"/>
                <w:szCs w:val="21"/>
              </w:rPr>
            </w:pPr>
            <w:r>
              <w:rPr>
                <w:rFonts w:hint="eastAsia" w:ascii="宋体" w:hAnsi="宋体" w:cs="宋体"/>
                <w:color w:val="000000"/>
                <w:kern w:val="0"/>
                <w:szCs w:val="21"/>
              </w:rPr>
              <w:t>（5分）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部门履行职责对生态环境所带来的直接或间接影响。</w:t>
            </w:r>
          </w:p>
        </w:tc>
        <w:tc>
          <w:tcPr>
            <w:tcW w:w="2039" w:type="pct"/>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对生态环境影响较好的计5分；一般3分；效果不明显0分。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1253"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社会公众</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或服务对</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象满意度（5分）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社会公众或部门的服务对象对部门履职效果的满意程度。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sz w:val="18"/>
                <w:szCs w:val="18"/>
              </w:rPr>
              <w:t>90%</w:t>
            </w:r>
            <w:r>
              <w:rPr>
                <w:rFonts w:hint="eastAsia" w:ascii="宋体" w:hAnsi="宋体" w:cs="宋体"/>
                <w:color w:val="000000"/>
                <w:sz w:val="21"/>
                <w:szCs w:val="21"/>
              </w:rPr>
              <w:t>（含）以上计5分；80%（含）-90%，计4分；70%（含）-80%，计3分；60%（含）-70%，计2分；低于60%计0分。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605" w:hRule="atLeast"/>
          <w:jc w:val="center"/>
        </w:trPr>
        <w:tc>
          <w:tcPr>
            <w:tcW w:w="242" w:type="pct"/>
            <w:tcBorders>
              <w:top w:val="nil"/>
              <w:left w:val="single" w:color="auto" w:sz="8" w:space="0"/>
              <w:bottom w:val="nil"/>
              <w:right w:val="single" w:color="auto" w:sz="8" w:space="0"/>
            </w:tcBorders>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总分</w:t>
            </w:r>
          </w:p>
        </w:tc>
        <w:tc>
          <w:tcPr>
            <w:tcW w:w="246" w:type="pct"/>
            <w:tcBorders>
              <w:top w:val="nil"/>
              <w:left w:val="nil"/>
              <w:bottom w:val="nil"/>
              <w:right w:val="single" w:color="auto" w:sz="8" w:space="0"/>
            </w:tcBorders>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100</w:t>
            </w:r>
          </w:p>
        </w:tc>
        <w:tc>
          <w:tcPr>
            <w:tcW w:w="336" w:type="pct"/>
            <w:tcBorders>
              <w:top w:val="nil"/>
              <w:left w:val="nil"/>
              <w:bottom w:val="nil"/>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100　</w:t>
            </w:r>
          </w:p>
        </w:tc>
        <w:tc>
          <w:tcPr>
            <w:tcW w:w="1869" w:type="pct"/>
            <w:tcBorders>
              <w:top w:val="nil"/>
              <w:left w:val="nil"/>
              <w:bottom w:val="nil"/>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 </w:t>
            </w:r>
          </w:p>
        </w:tc>
        <w:tc>
          <w:tcPr>
            <w:tcW w:w="2039" w:type="pct"/>
            <w:tcBorders>
              <w:top w:val="nil"/>
              <w:left w:val="nil"/>
              <w:bottom w:val="nil"/>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 </w:t>
            </w:r>
          </w:p>
        </w:tc>
        <w:tc>
          <w:tcPr>
            <w:tcW w:w="269" w:type="pct"/>
            <w:tcBorders>
              <w:top w:val="nil"/>
              <w:left w:val="nil"/>
              <w:bottom w:val="nil"/>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9</w:t>
            </w:r>
            <w:r>
              <w:t>5</w:t>
            </w:r>
            <w:r>
              <w:rPr>
                <w:rFonts w:hint="eastAsia"/>
              </w:rPr>
              <w:t>.5</w:t>
            </w:r>
          </w:p>
        </w:tc>
      </w:tr>
      <w:tr>
        <w:tblPrEx>
          <w:tblCellMar>
            <w:top w:w="0" w:type="dxa"/>
            <w:left w:w="0" w:type="dxa"/>
            <w:bottom w:w="0" w:type="dxa"/>
            <w:right w:w="0" w:type="dxa"/>
          </w:tblCellMar>
        </w:tblPrEx>
        <w:trPr>
          <w:trHeight w:val="605" w:hRule="atLeast"/>
          <w:jc w:val="center"/>
        </w:trPr>
        <w:tc>
          <w:tcPr>
            <w:tcW w:w="242" w:type="pct"/>
            <w:tcBorders>
              <w:top w:val="nil"/>
              <w:left w:val="single" w:color="auto" w:sz="8" w:space="0"/>
              <w:bottom w:val="single" w:color="auto" w:sz="8" w:space="0"/>
              <w:right w:val="single" w:color="auto" w:sz="8" w:space="0"/>
            </w:tcBorders>
            <w:vAlign w:val="center"/>
          </w:tcPr>
          <w:p>
            <w:pPr>
              <w:pStyle w:val="9"/>
              <w:widowControl/>
              <w:spacing w:before="0" w:beforeAutospacing="0" w:after="0" w:afterAutospacing="0" w:line="600" w:lineRule="exact"/>
              <w:rPr>
                <w:rFonts w:ascii="宋体" w:hAnsi="宋体" w:cs="宋体"/>
                <w:color w:val="000000"/>
                <w:sz w:val="21"/>
                <w:szCs w:val="21"/>
              </w:rPr>
            </w:pPr>
          </w:p>
        </w:tc>
        <w:tc>
          <w:tcPr>
            <w:tcW w:w="246" w:type="pct"/>
            <w:tcBorders>
              <w:top w:val="nil"/>
              <w:left w:val="nil"/>
              <w:bottom w:val="single" w:color="auto" w:sz="8" w:space="0"/>
              <w:right w:val="single" w:color="auto" w:sz="8" w:space="0"/>
            </w:tcBorders>
            <w:vAlign w:val="center"/>
          </w:tcPr>
          <w:p>
            <w:pPr>
              <w:pStyle w:val="9"/>
              <w:widowControl/>
              <w:spacing w:before="0" w:beforeAutospacing="0" w:after="0" w:afterAutospacing="0" w:line="600" w:lineRule="exact"/>
              <w:jc w:val="center"/>
              <w:rPr>
                <w:rFonts w:ascii="宋体" w:hAnsi="宋体" w:cs="宋体"/>
                <w:color w:val="000000"/>
                <w:sz w:val="21"/>
                <w:szCs w:val="21"/>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color w:val="000000"/>
                <w:sz w:val="21"/>
                <w:szCs w:val="21"/>
              </w:rPr>
            </w:pP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color w:val="000000"/>
                <w:sz w:val="21"/>
                <w:szCs w:val="21"/>
              </w:rPr>
            </w:pP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p>
        </w:tc>
      </w:tr>
    </w:tbl>
    <w:p>
      <w:pPr>
        <w:ind w:firstLine="640" w:firstLineChars="200"/>
        <w:jc w:val="left"/>
        <w:rPr>
          <w:rFonts w:cs="黑体" w:asciiTheme="minorEastAsia" w:hAnsiTheme="minorEastAsia"/>
          <w:color w:val="000000"/>
          <w:kern w:val="0"/>
          <w:sz w:val="32"/>
          <w:szCs w:val="32"/>
        </w:rPr>
      </w:pP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70" w:hanging="270"/>
      <w:jc w:val="center"/>
    </w:pPr>
    <w:r>
      <w:fldChar w:fldCharType="begin"/>
    </w:r>
    <w:r>
      <w:instrText xml:space="preserve"> PAGE   \* MERGEFORMAT </w:instrText>
    </w:r>
    <w:r>
      <w:fldChar w:fldCharType="separate"/>
    </w:r>
    <w:r>
      <w:rPr>
        <w:lang w:val="zh-CN"/>
      </w:rPr>
      <w:t>1</w:t>
    </w:r>
    <w:r>
      <w:rPr>
        <w:lang w:val="zh-CN"/>
      </w:rPr>
      <w:fldChar w:fldCharType="end"/>
    </w:r>
  </w:p>
  <w:p>
    <w:pPr>
      <w:pStyle w:val="7"/>
      <w:ind w:left="270" w:hanging="2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70" w:hanging="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70" w:hanging="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left="270" w:hanging="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70" w:hanging="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70" w:hanging="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mNjRjZGViZWVhMzdmNzhlYmU5MTM3MGM4YjYwNWMifQ=="/>
  </w:docVars>
  <w:rsids>
    <w:rsidRoot w:val="00032C16"/>
    <w:rsid w:val="00032C16"/>
    <w:rsid w:val="000A3E5E"/>
    <w:rsid w:val="001E1FD5"/>
    <w:rsid w:val="00585B2D"/>
    <w:rsid w:val="0061511C"/>
    <w:rsid w:val="006D4C26"/>
    <w:rsid w:val="007B55FA"/>
    <w:rsid w:val="008D7188"/>
    <w:rsid w:val="00A0536B"/>
    <w:rsid w:val="00C2725E"/>
    <w:rsid w:val="00C81C4A"/>
    <w:rsid w:val="00E8743E"/>
    <w:rsid w:val="00FB4E7F"/>
    <w:rsid w:val="141A1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paragraph" w:styleId="4">
    <w:name w:val="heading 3"/>
    <w:basedOn w:val="1"/>
    <w:next w:val="1"/>
    <w:link w:val="14"/>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5"/>
    <w:semiHidden/>
    <w:unhideWhenUsed/>
    <w:qFormat/>
    <w:uiPriority w:val="99"/>
    <w:pPr>
      <w:spacing w:line="320" w:lineRule="exact"/>
      <w:ind w:left="100" w:leftChars="2500" w:hanging="150" w:hangingChars="150"/>
    </w:pPr>
    <w:rPr>
      <w:rFonts w:ascii="Calibri" w:hAnsi="Calibri" w:eastAsia="宋体" w:cs="Times New Roman"/>
    </w:rPr>
  </w:style>
  <w:style w:type="paragraph" w:styleId="6">
    <w:name w:val="Balloon Text"/>
    <w:basedOn w:val="1"/>
    <w:link w:val="16"/>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customStyle="1" w:styleId="12">
    <w:name w:val="标题 1 Char"/>
    <w:basedOn w:val="11"/>
    <w:link w:val="2"/>
    <w:qFormat/>
    <w:uiPriority w:val="0"/>
    <w:rPr>
      <w:rFonts w:ascii="宋体" w:hAnsi="宋体" w:eastAsia="宋体" w:cs="Times New Roman"/>
      <w:b/>
      <w:kern w:val="44"/>
      <w:sz w:val="48"/>
      <w:szCs w:val="48"/>
    </w:rPr>
  </w:style>
  <w:style w:type="character" w:customStyle="1" w:styleId="13">
    <w:name w:val="标题 2 Char"/>
    <w:basedOn w:val="11"/>
    <w:link w:val="3"/>
    <w:qFormat/>
    <w:uiPriority w:val="0"/>
    <w:rPr>
      <w:rFonts w:ascii="宋体" w:hAnsi="宋体" w:eastAsia="宋体" w:cs="Times New Roman"/>
      <w:b/>
      <w:kern w:val="0"/>
      <w:sz w:val="36"/>
      <w:szCs w:val="36"/>
    </w:rPr>
  </w:style>
  <w:style w:type="character" w:customStyle="1" w:styleId="14">
    <w:name w:val="标题 3 Char"/>
    <w:basedOn w:val="11"/>
    <w:link w:val="4"/>
    <w:qFormat/>
    <w:uiPriority w:val="0"/>
    <w:rPr>
      <w:rFonts w:ascii="宋体" w:hAnsi="宋体" w:eastAsia="宋体" w:cs="Times New Roman"/>
      <w:b/>
      <w:kern w:val="0"/>
      <w:sz w:val="27"/>
      <w:szCs w:val="27"/>
    </w:rPr>
  </w:style>
  <w:style w:type="character" w:customStyle="1" w:styleId="15">
    <w:name w:val="日期 Char"/>
    <w:basedOn w:val="11"/>
    <w:link w:val="5"/>
    <w:semiHidden/>
    <w:qFormat/>
    <w:uiPriority w:val="99"/>
    <w:rPr>
      <w:rFonts w:ascii="Calibri" w:hAnsi="Calibri" w:eastAsia="宋体" w:cs="Times New Roman"/>
    </w:rPr>
  </w:style>
  <w:style w:type="character" w:customStyle="1" w:styleId="16">
    <w:name w:val="批注框文本 Char"/>
    <w:basedOn w:val="11"/>
    <w:link w:val="6"/>
    <w:semiHidden/>
    <w:qFormat/>
    <w:uiPriority w:val="99"/>
    <w:rPr>
      <w:sz w:val="18"/>
      <w:szCs w:val="18"/>
    </w:rPr>
  </w:style>
  <w:style w:type="character" w:customStyle="1" w:styleId="17">
    <w:name w:val="页脚 Char"/>
    <w:basedOn w:val="11"/>
    <w:link w:val="7"/>
    <w:qFormat/>
    <w:uiPriority w:val="99"/>
    <w:rPr>
      <w:sz w:val="18"/>
      <w:szCs w:val="18"/>
    </w:rPr>
  </w:style>
  <w:style w:type="character" w:customStyle="1" w:styleId="18">
    <w:name w:val="页眉 Char"/>
    <w:basedOn w:val="11"/>
    <w:link w:val="8"/>
    <w:qFormat/>
    <w:uiPriority w:val="99"/>
    <w:rPr>
      <w:sz w:val="18"/>
      <w:szCs w:val="18"/>
    </w:rPr>
  </w:style>
  <w:style w:type="paragraph" w:customStyle="1" w:styleId="1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9018</Words>
  <Characters>9631</Characters>
  <Lines>75</Lines>
  <Paragraphs>21</Paragraphs>
  <TotalTime>1</TotalTime>
  <ScaleCrop>false</ScaleCrop>
  <LinksUpToDate>false</LinksUpToDate>
  <CharactersWithSpaces>9644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2021-11-02T02:21:00Z</dcterms:created>
  <dc:creator>微软用户</dc:creator>
  <cp:lastModifiedBy>朱亚林</cp:lastModifiedBy>
  <dcterms:modified xsi:type="dcterms:W3CDTF">2022-10-11T06:49:12Z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C6FF5E65E2BD4E36967803908F52CE6E</vt:lpwstr>
  </property>
</Properties>
</file>