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540" w:hanging="540"/>
        <w:jc w:val="center"/>
        <w:rPr>
          <w:rFonts w:eastAsia="方正小标宋_GBK"/>
          <w:spacing w:val="-8"/>
          <w:sz w:val="28"/>
          <w:szCs w:val="28"/>
        </w:rPr>
      </w:pPr>
      <w:r>
        <w:rPr>
          <w:rFonts w:eastAsia="方正小标宋_GBK"/>
          <w:sz w:val="36"/>
          <w:szCs w:val="36"/>
        </w:rPr>
        <w:t>20</w:t>
      </w:r>
      <w:r>
        <w:rPr>
          <w:rFonts w:hint="eastAsia" w:eastAsia="方正小标宋_GBK"/>
          <w:sz w:val="36"/>
          <w:szCs w:val="36"/>
          <w:lang w:val="en-US" w:eastAsia="zh-CN"/>
        </w:rPr>
        <w:t>20</w:t>
      </w:r>
      <w:r>
        <w:rPr>
          <w:rFonts w:hint="eastAsia" w:eastAsia="方正小标宋_GBK"/>
          <w:sz w:val="36"/>
          <w:szCs w:val="36"/>
        </w:rPr>
        <w:t>年度部门整体支出</w:t>
      </w:r>
      <w:r>
        <w:rPr>
          <w:rFonts w:eastAsia="方正小标宋_GBK"/>
          <w:spacing w:val="-8"/>
          <w:sz w:val="36"/>
          <w:szCs w:val="36"/>
        </w:rPr>
        <w:t>绩效评价指标评分表</w:t>
      </w:r>
    </w:p>
    <w:p>
      <w:pPr>
        <w:spacing w:line="600" w:lineRule="exact"/>
        <w:ind w:left="396" w:hanging="396"/>
        <w:rPr>
          <w:rFonts w:hint="eastAsia" w:ascii="楷体_GB2312" w:eastAsia="楷体_GB2312"/>
          <w:spacing w:val="-8"/>
          <w:sz w:val="28"/>
          <w:szCs w:val="28"/>
          <w:lang w:val="en-US" w:eastAsia="zh-CN"/>
        </w:rPr>
      </w:pPr>
      <w:r>
        <w:rPr>
          <w:rFonts w:hint="eastAsia" w:ascii="楷体_GB2312" w:eastAsia="楷体_GB2312"/>
          <w:spacing w:val="-8"/>
          <w:sz w:val="28"/>
          <w:szCs w:val="28"/>
        </w:rPr>
        <w:t>填报单位（盖章）：</w:t>
      </w:r>
      <w:r>
        <w:rPr>
          <w:rFonts w:hint="eastAsia" w:ascii="楷体_GB2312" w:eastAsia="楷体_GB2312"/>
          <w:spacing w:val="-8"/>
          <w:sz w:val="28"/>
          <w:szCs w:val="28"/>
          <w:lang w:val="en-US" w:eastAsia="zh-CN"/>
        </w:rPr>
        <w:t>新邵县自然资源行政执法大队</w:t>
      </w:r>
    </w:p>
    <w:tbl>
      <w:tblPr>
        <w:tblStyle w:val="8"/>
        <w:tblW w:w="14287" w:type="dxa"/>
        <w:jc w:val="center"/>
        <w:tblLayout w:type="fixed"/>
        <w:tblCellMar>
          <w:top w:w="0" w:type="dxa"/>
          <w:left w:w="0" w:type="dxa"/>
          <w:bottom w:w="0" w:type="dxa"/>
          <w:right w:w="0" w:type="dxa"/>
        </w:tblCellMar>
      </w:tblPr>
      <w:tblGrid>
        <w:gridCol w:w="690"/>
        <w:gridCol w:w="704"/>
        <w:gridCol w:w="960"/>
        <w:gridCol w:w="4783"/>
        <w:gridCol w:w="6382"/>
        <w:gridCol w:w="768"/>
      </w:tblGrid>
      <w:tr>
        <w:tblPrEx>
          <w:tblCellMar>
            <w:top w:w="0" w:type="dxa"/>
            <w:left w:w="0" w:type="dxa"/>
            <w:bottom w:w="0" w:type="dxa"/>
            <w:right w:w="0" w:type="dxa"/>
          </w:tblCellMar>
        </w:tblPrEx>
        <w:trPr>
          <w:trHeight w:val="644" w:hRule="atLeast"/>
          <w:tblHeader/>
          <w:jc w:val="center"/>
        </w:trPr>
        <w:tc>
          <w:tcPr>
            <w:tcW w:w="690" w:type="dxa"/>
            <w:tcBorders>
              <w:top w:val="single" w:color="auto" w:sz="4" w:space="0"/>
              <w:left w:val="single" w:color="auto" w:sz="8" w:space="0"/>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hint="eastAsia" w:ascii="宋体" w:hAnsi="宋体" w:eastAsia="宋体" w:cs="宋体"/>
                <w:sz w:val="21"/>
                <w:szCs w:val="21"/>
                <w:lang w:eastAsia="zh-CN"/>
              </w:rPr>
            </w:pPr>
            <w:r>
              <w:rPr>
                <w:rFonts w:hint="eastAsia" w:ascii="宋体" w:hAnsi="宋体" w:cs="宋体"/>
                <w:sz w:val="21"/>
                <w:szCs w:val="21"/>
              </w:rPr>
              <w:t>一级</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指标</w:t>
            </w:r>
          </w:p>
        </w:tc>
        <w:tc>
          <w:tcPr>
            <w:tcW w:w="704" w:type="dxa"/>
            <w:tcBorders>
              <w:top w:val="single" w:color="auto" w:sz="4" w:space="0"/>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二级指标</w:t>
            </w:r>
          </w:p>
        </w:tc>
        <w:tc>
          <w:tcPr>
            <w:tcW w:w="960" w:type="dxa"/>
            <w:tcBorders>
              <w:top w:val="single" w:color="auto" w:sz="4" w:space="0"/>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三级指标</w:t>
            </w:r>
          </w:p>
        </w:tc>
        <w:tc>
          <w:tcPr>
            <w:tcW w:w="4783" w:type="dxa"/>
            <w:tcBorders>
              <w:top w:val="single" w:color="auto" w:sz="4" w:space="0"/>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指标解释</w:t>
            </w:r>
          </w:p>
        </w:tc>
        <w:tc>
          <w:tcPr>
            <w:tcW w:w="6382" w:type="dxa"/>
            <w:tcBorders>
              <w:top w:val="single" w:color="auto" w:sz="4" w:space="0"/>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指标说明</w:t>
            </w:r>
          </w:p>
        </w:tc>
        <w:tc>
          <w:tcPr>
            <w:tcW w:w="768" w:type="dxa"/>
            <w:tcBorders>
              <w:top w:val="single" w:color="auto" w:sz="4" w:space="0"/>
              <w:left w:val="nil"/>
              <w:bottom w:val="single" w:color="auto" w:sz="8" w:space="0"/>
              <w:right w:val="single" w:color="auto" w:sz="8" w:space="0"/>
            </w:tcBorders>
            <w:vAlign w:val="center"/>
          </w:tcPr>
          <w:p>
            <w:pPr>
              <w:pStyle w:val="7"/>
              <w:spacing w:before="0" w:beforeAutospacing="0" w:after="0" w:afterAutospacing="0" w:line="300" w:lineRule="exact"/>
              <w:jc w:val="center"/>
            </w:pPr>
            <w:r>
              <w:rPr>
                <w:rFonts w:hint="eastAsia" w:ascii="宋体" w:hAnsi="宋体" w:cs="宋体"/>
                <w:sz w:val="21"/>
                <w:szCs w:val="21"/>
              </w:rPr>
              <w:t>自评分</w:t>
            </w:r>
          </w:p>
        </w:tc>
      </w:tr>
      <w:tr>
        <w:tblPrEx>
          <w:tblCellMar>
            <w:top w:w="0" w:type="dxa"/>
            <w:left w:w="0" w:type="dxa"/>
            <w:bottom w:w="0" w:type="dxa"/>
            <w:right w:w="0" w:type="dxa"/>
          </w:tblCellMar>
        </w:tblPrEx>
        <w:trPr>
          <w:trHeight w:val="1006" w:hRule="atLeast"/>
          <w:jc w:val="center"/>
        </w:trPr>
        <w:tc>
          <w:tcPr>
            <w:tcW w:w="690" w:type="dxa"/>
            <w:vMerge w:val="restart"/>
            <w:tcBorders>
              <w:top w:val="nil"/>
              <w:left w:val="single" w:color="auto" w:sz="8" w:space="0"/>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投入(20分)</w:t>
            </w:r>
          </w:p>
        </w:tc>
        <w:tc>
          <w:tcPr>
            <w:tcW w:w="704" w:type="dxa"/>
            <w:vMerge w:val="restart"/>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hint="eastAsia" w:ascii="宋体" w:hAnsi="宋体" w:eastAsia="宋体" w:cs="宋体"/>
                <w:sz w:val="21"/>
                <w:szCs w:val="21"/>
                <w:lang w:eastAsia="zh-CN"/>
              </w:rPr>
            </w:pPr>
            <w:r>
              <w:rPr>
                <w:rFonts w:hint="eastAsia" w:ascii="宋体" w:hAnsi="宋体" w:cs="宋体"/>
                <w:sz w:val="21"/>
                <w:szCs w:val="21"/>
              </w:rPr>
              <w:t>目标</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设定</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（5分）</w:t>
            </w: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绩效目标合理性</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（2分）</w:t>
            </w:r>
          </w:p>
        </w:tc>
        <w:tc>
          <w:tcPr>
            <w:tcW w:w="4783" w:type="dxa"/>
            <w:tcBorders>
              <w:top w:val="nil"/>
              <w:left w:val="nil"/>
              <w:bottom w:val="single" w:color="auto" w:sz="8"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部门所设立的整体绩效目标依据是否充分，是否符合客观实际，用以反映和考核部门整体绩效目标与部门履职、年度工作任务的相符性情况。</w:t>
            </w:r>
          </w:p>
        </w:tc>
        <w:tc>
          <w:tcPr>
            <w:tcW w:w="6382"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①符合国家法律法规、国民经济和社会发展总体规划计1分；</w:t>
            </w:r>
          </w:p>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②</w:t>
            </w:r>
            <w:bookmarkStart w:id="0" w:name="_GoBack"/>
            <w:bookmarkEnd w:id="0"/>
            <w:r>
              <w:rPr>
                <w:rFonts w:hint="eastAsia" w:ascii="宋体" w:hAnsi="宋体" w:cs="宋体"/>
                <w:sz w:val="21"/>
                <w:szCs w:val="21"/>
              </w:rPr>
              <w:t>符合部门“三定”方案确定的职责计0.5分；</w:t>
            </w:r>
          </w:p>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③是否符合部门制定的中长期实施规划计0.5分。</w:t>
            </w:r>
          </w:p>
        </w:tc>
        <w:tc>
          <w:tcPr>
            <w:tcW w:w="768" w:type="dxa"/>
            <w:tcBorders>
              <w:top w:val="nil"/>
              <w:left w:val="nil"/>
              <w:bottom w:val="single" w:color="auto" w:sz="8" w:space="0"/>
              <w:right w:val="single" w:color="auto" w:sz="8" w:space="0"/>
            </w:tcBorders>
            <w:vAlign w:val="center"/>
          </w:tcPr>
          <w:p>
            <w:pPr>
              <w:pStyle w:val="7"/>
              <w:tabs>
                <w:tab w:val="left" w:pos="2604"/>
              </w:tabs>
              <w:spacing w:before="0" w:beforeAutospacing="0" w:after="0" w:afterAutospacing="0" w:line="300" w:lineRule="exact"/>
              <w:jc w:val="center"/>
            </w:pPr>
            <w:r>
              <w:rPr>
                <w:rFonts w:hint="eastAsia"/>
              </w:rPr>
              <w:t>2</w:t>
            </w:r>
          </w:p>
        </w:tc>
      </w:tr>
      <w:tr>
        <w:tblPrEx>
          <w:tblCellMar>
            <w:top w:w="0" w:type="dxa"/>
            <w:left w:w="0" w:type="dxa"/>
            <w:bottom w:w="0" w:type="dxa"/>
            <w:right w:w="0" w:type="dxa"/>
          </w:tblCellMar>
        </w:tblPrEx>
        <w:trPr>
          <w:trHeight w:val="1096"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绩效指标明确性</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（3分）</w:t>
            </w:r>
          </w:p>
        </w:tc>
        <w:tc>
          <w:tcPr>
            <w:tcW w:w="4783" w:type="dxa"/>
            <w:tcBorders>
              <w:top w:val="nil"/>
              <w:left w:val="nil"/>
              <w:bottom w:val="single" w:color="auto" w:sz="8"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部门依据整体绩效目标所设定的绩效指标是否清晰、细化、可衡量，用以反映和考核部门整体绩效目标的明细化情况。</w:t>
            </w:r>
          </w:p>
        </w:tc>
        <w:tc>
          <w:tcPr>
            <w:tcW w:w="6382"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①将部门整体的绩效目标细化分解为具体的工作任务计1分；</w:t>
            </w:r>
          </w:p>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②通过清晰、可衡量的指标值予以体现计0.5分；</w:t>
            </w:r>
          </w:p>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③与部门年度的任务数或计划数相对应计0.5分；</w:t>
            </w:r>
          </w:p>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④与本年度部门预算资金相匹配计1分。</w:t>
            </w:r>
          </w:p>
        </w:tc>
        <w:tc>
          <w:tcPr>
            <w:tcW w:w="768" w:type="dxa"/>
            <w:tcBorders>
              <w:top w:val="nil"/>
              <w:left w:val="nil"/>
              <w:bottom w:val="single" w:color="auto" w:sz="8" w:space="0"/>
              <w:right w:val="single" w:color="auto" w:sz="8" w:space="0"/>
            </w:tcBorders>
            <w:vAlign w:val="center"/>
          </w:tcPr>
          <w:p>
            <w:pPr>
              <w:pStyle w:val="7"/>
              <w:tabs>
                <w:tab w:val="left" w:pos="2604"/>
              </w:tabs>
              <w:spacing w:before="0" w:beforeAutospacing="0" w:after="0" w:afterAutospacing="0" w:line="300" w:lineRule="exact"/>
              <w:jc w:val="center"/>
            </w:pPr>
            <w:r>
              <w:rPr>
                <w:rFonts w:hint="eastAsia"/>
              </w:rPr>
              <w:t>3</w:t>
            </w:r>
          </w:p>
        </w:tc>
      </w:tr>
      <w:tr>
        <w:tblPrEx>
          <w:tblCellMar>
            <w:top w:w="0" w:type="dxa"/>
            <w:left w:w="0" w:type="dxa"/>
            <w:bottom w:w="0" w:type="dxa"/>
            <w:right w:w="0" w:type="dxa"/>
          </w:tblCellMar>
        </w:tblPrEx>
        <w:trPr>
          <w:trHeight w:val="1231"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704" w:type="dxa"/>
            <w:vMerge w:val="restart"/>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hint="eastAsia" w:ascii="宋体" w:hAnsi="宋体" w:eastAsia="宋体" w:cs="宋体"/>
                <w:sz w:val="21"/>
                <w:szCs w:val="21"/>
                <w:lang w:eastAsia="zh-CN"/>
              </w:rPr>
            </w:pPr>
            <w:r>
              <w:rPr>
                <w:rFonts w:hint="eastAsia" w:ascii="宋体" w:hAnsi="宋体" w:cs="宋体"/>
                <w:sz w:val="21"/>
                <w:szCs w:val="21"/>
              </w:rPr>
              <w:t>预算</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配置（15分）</w:t>
            </w: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在职人员控制率</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（5分）</w:t>
            </w:r>
          </w:p>
        </w:tc>
        <w:tc>
          <w:tcPr>
            <w:tcW w:w="4783" w:type="dxa"/>
            <w:tcBorders>
              <w:top w:val="nil"/>
              <w:left w:val="nil"/>
              <w:bottom w:val="single" w:color="auto" w:sz="8"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部门本年度实际在职人员数与编制数的比率，用以反映和考核部门对人员成本的控制程度。</w:t>
            </w:r>
          </w:p>
        </w:tc>
        <w:tc>
          <w:tcPr>
            <w:tcW w:w="6382"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c>
          <w:tcPr>
            <w:tcW w:w="768" w:type="dxa"/>
            <w:tcBorders>
              <w:top w:val="nil"/>
              <w:left w:val="nil"/>
              <w:bottom w:val="single" w:color="auto" w:sz="8" w:space="0"/>
              <w:right w:val="single" w:color="auto" w:sz="8" w:space="0"/>
            </w:tcBorders>
            <w:vAlign w:val="center"/>
          </w:tcPr>
          <w:p>
            <w:pPr>
              <w:pStyle w:val="7"/>
              <w:tabs>
                <w:tab w:val="left" w:pos="2604"/>
              </w:tabs>
              <w:spacing w:before="0" w:beforeAutospacing="0" w:after="0" w:afterAutospacing="0" w:line="300" w:lineRule="exact"/>
              <w:jc w:val="center"/>
              <w:rPr>
                <w:rFonts w:hint="eastAsia" w:eastAsia="宋体"/>
                <w:lang w:eastAsia="zh-CN"/>
              </w:rPr>
            </w:pPr>
            <w:r>
              <w:rPr>
                <w:rFonts w:hint="eastAsia"/>
                <w:lang w:val="en-US" w:eastAsia="zh-CN"/>
              </w:rPr>
              <w:t>4</w:t>
            </w:r>
          </w:p>
        </w:tc>
      </w:tr>
      <w:tr>
        <w:tblPrEx>
          <w:tblCellMar>
            <w:top w:w="0" w:type="dxa"/>
            <w:left w:w="0" w:type="dxa"/>
            <w:bottom w:w="0" w:type="dxa"/>
            <w:right w:w="0" w:type="dxa"/>
          </w:tblCellMar>
        </w:tblPrEx>
        <w:trPr>
          <w:trHeight w:val="1238"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“三公经费”变动率（5分）</w:t>
            </w:r>
          </w:p>
        </w:tc>
        <w:tc>
          <w:tcPr>
            <w:tcW w:w="4783" w:type="dxa"/>
            <w:tcBorders>
              <w:top w:val="nil"/>
              <w:left w:val="nil"/>
              <w:bottom w:val="single" w:color="auto" w:sz="8"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部门本年度“三公经费”预算数与上年度“三公经费”预算数的变动比率，用以反映和考核部门对控制重点行政成本的努力程度。</w:t>
            </w:r>
          </w:p>
        </w:tc>
        <w:tc>
          <w:tcPr>
            <w:tcW w:w="6382"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c>
          <w:tcPr>
            <w:tcW w:w="768" w:type="dxa"/>
            <w:tcBorders>
              <w:top w:val="nil"/>
              <w:left w:val="nil"/>
              <w:bottom w:val="single" w:color="auto" w:sz="8" w:space="0"/>
              <w:right w:val="single" w:color="auto" w:sz="8" w:space="0"/>
            </w:tcBorders>
            <w:vAlign w:val="center"/>
          </w:tcPr>
          <w:p>
            <w:pPr>
              <w:pStyle w:val="7"/>
              <w:tabs>
                <w:tab w:val="left" w:pos="2604"/>
              </w:tabs>
              <w:spacing w:before="0" w:beforeAutospacing="0" w:after="0" w:afterAutospacing="0" w:line="300" w:lineRule="exact"/>
              <w:jc w:val="center"/>
              <w:rPr>
                <w:rFonts w:hint="default" w:eastAsia="宋体"/>
                <w:lang w:val="en-US" w:eastAsia="zh-CN"/>
              </w:rPr>
            </w:pPr>
            <w:r>
              <w:rPr>
                <w:rFonts w:hint="eastAsia"/>
                <w:lang w:val="en-US" w:eastAsia="zh-CN"/>
              </w:rPr>
              <w:t>4</w:t>
            </w:r>
          </w:p>
        </w:tc>
      </w:tr>
      <w:tr>
        <w:tblPrEx>
          <w:tblCellMar>
            <w:top w:w="0" w:type="dxa"/>
            <w:left w:w="0" w:type="dxa"/>
            <w:bottom w:w="0" w:type="dxa"/>
            <w:right w:w="0" w:type="dxa"/>
          </w:tblCellMar>
        </w:tblPrEx>
        <w:trPr>
          <w:trHeight w:val="1550"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重点支出安排率</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（5分）</w:t>
            </w:r>
          </w:p>
        </w:tc>
        <w:tc>
          <w:tcPr>
            <w:tcW w:w="4783" w:type="dxa"/>
            <w:tcBorders>
              <w:top w:val="nil"/>
              <w:left w:val="nil"/>
              <w:bottom w:val="single" w:color="auto" w:sz="8"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部门本年度预算安排的重点项目支出与部门项目总支出的比率，用以反映和考核部门对履行主要职责或完成重点任务的保障程度。</w:t>
            </w:r>
          </w:p>
        </w:tc>
        <w:tc>
          <w:tcPr>
            <w:tcW w:w="6382"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c>
          <w:tcPr>
            <w:tcW w:w="768" w:type="dxa"/>
            <w:tcBorders>
              <w:top w:val="nil"/>
              <w:left w:val="nil"/>
              <w:bottom w:val="single" w:color="auto" w:sz="8" w:space="0"/>
              <w:right w:val="single" w:color="auto" w:sz="8" w:space="0"/>
            </w:tcBorders>
            <w:vAlign w:val="center"/>
          </w:tcPr>
          <w:p>
            <w:pPr>
              <w:pStyle w:val="7"/>
              <w:tabs>
                <w:tab w:val="left" w:pos="2604"/>
              </w:tabs>
              <w:spacing w:before="0" w:beforeAutospacing="0" w:after="0" w:afterAutospacing="0" w:line="300" w:lineRule="exact"/>
              <w:jc w:val="center"/>
              <w:rPr>
                <w:rFonts w:hint="eastAsia" w:eastAsia="宋体"/>
                <w:lang w:eastAsia="zh-CN"/>
              </w:rPr>
            </w:pPr>
            <w:r>
              <w:rPr>
                <w:rFonts w:hint="eastAsia"/>
                <w:lang w:val="en-US" w:eastAsia="zh-CN"/>
              </w:rPr>
              <w:t>3</w:t>
            </w:r>
          </w:p>
        </w:tc>
      </w:tr>
      <w:tr>
        <w:tblPrEx>
          <w:tblCellMar>
            <w:top w:w="0" w:type="dxa"/>
            <w:left w:w="0" w:type="dxa"/>
            <w:bottom w:w="0" w:type="dxa"/>
            <w:right w:w="0" w:type="dxa"/>
          </w:tblCellMar>
        </w:tblPrEx>
        <w:trPr>
          <w:trHeight w:val="976" w:hRule="atLeast"/>
          <w:jc w:val="center"/>
        </w:trPr>
        <w:tc>
          <w:tcPr>
            <w:tcW w:w="690" w:type="dxa"/>
            <w:vMerge w:val="restart"/>
            <w:tcBorders>
              <w:top w:val="nil"/>
              <w:left w:val="single" w:color="auto" w:sz="8" w:space="0"/>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过程</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(40分)</w:t>
            </w:r>
          </w:p>
        </w:tc>
        <w:tc>
          <w:tcPr>
            <w:tcW w:w="704" w:type="dxa"/>
            <w:vMerge w:val="restart"/>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hint="eastAsia" w:ascii="宋体" w:hAnsi="宋体" w:eastAsia="宋体" w:cs="宋体"/>
                <w:sz w:val="21"/>
                <w:szCs w:val="21"/>
                <w:lang w:eastAsia="zh-CN"/>
              </w:rPr>
            </w:pPr>
            <w:r>
              <w:rPr>
                <w:rFonts w:hint="eastAsia" w:ascii="宋体" w:hAnsi="宋体" w:cs="宋体"/>
                <w:sz w:val="21"/>
                <w:szCs w:val="21"/>
              </w:rPr>
              <w:t>预算</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执行</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(23分)</w:t>
            </w: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预算</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完成率</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（4分）</w:t>
            </w:r>
          </w:p>
        </w:tc>
        <w:tc>
          <w:tcPr>
            <w:tcW w:w="4783" w:type="dxa"/>
            <w:tcBorders>
              <w:top w:val="nil"/>
              <w:left w:val="nil"/>
              <w:bottom w:val="single" w:color="auto" w:sz="8"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部门本年度预算完成数与预算数的比率，用以反映和考核部门预算完成程度。</w:t>
            </w:r>
          </w:p>
        </w:tc>
        <w:tc>
          <w:tcPr>
            <w:tcW w:w="6382"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预算完成率=（预算完成数/预算数）×100%。完成年初预算计4分，未完成年初预算按比例扣减，预算完成数：部门本年度实际完成的预算数。预算数：财政部门批复的本年度部门预算数。</w:t>
            </w:r>
          </w:p>
        </w:tc>
        <w:tc>
          <w:tcPr>
            <w:tcW w:w="768" w:type="dxa"/>
            <w:tcBorders>
              <w:top w:val="nil"/>
              <w:left w:val="nil"/>
              <w:bottom w:val="single" w:color="auto" w:sz="8" w:space="0"/>
              <w:right w:val="single" w:color="auto" w:sz="8" w:space="0"/>
            </w:tcBorders>
            <w:vAlign w:val="center"/>
          </w:tcPr>
          <w:p>
            <w:pPr>
              <w:pStyle w:val="7"/>
              <w:tabs>
                <w:tab w:val="left" w:pos="2604"/>
              </w:tabs>
              <w:spacing w:before="0" w:beforeAutospacing="0" w:after="0" w:afterAutospacing="0" w:line="300" w:lineRule="exact"/>
              <w:jc w:val="center"/>
              <w:rPr>
                <w:rFonts w:hint="eastAsia" w:eastAsia="宋体"/>
                <w:lang w:eastAsia="zh-CN"/>
              </w:rPr>
            </w:pPr>
            <w:r>
              <w:rPr>
                <w:rFonts w:hint="eastAsia"/>
                <w:lang w:val="en-US" w:eastAsia="zh-CN"/>
              </w:rPr>
              <w:t>3</w:t>
            </w:r>
          </w:p>
        </w:tc>
      </w:tr>
      <w:tr>
        <w:tblPrEx>
          <w:tblCellMar>
            <w:top w:w="0" w:type="dxa"/>
            <w:left w:w="0" w:type="dxa"/>
            <w:bottom w:w="0" w:type="dxa"/>
            <w:right w:w="0" w:type="dxa"/>
          </w:tblCellMar>
        </w:tblPrEx>
        <w:trPr>
          <w:trHeight w:val="1500"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预算</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调整率</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（2分）</w:t>
            </w:r>
          </w:p>
        </w:tc>
        <w:tc>
          <w:tcPr>
            <w:tcW w:w="4783" w:type="dxa"/>
            <w:tcBorders>
              <w:top w:val="nil"/>
              <w:left w:val="nil"/>
              <w:bottom w:val="single" w:color="auto" w:sz="8"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部门本年度预算调整数与预算数的比率，用以反映和考核部门预算的调整程度。</w:t>
            </w:r>
          </w:p>
        </w:tc>
        <w:tc>
          <w:tcPr>
            <w:tcW w:w="6382"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c>
          <w:tcPr>
            <w:tcW w:w="768" w:type="dxa"/>
            <w:tcBorders>
              <w:top w:val="nil"/>
              <w:left w:val="nil"/>
              <w:bottom w:val="single" w:color="auto" w:sz="8" w:space="0"/>
              <w:right w:val="single" w:color="auto" w:sz="8" w:space="0"/>
            </w:tcBorders>
            <w:vAlign w:val="center"/>
          </w:tcPr>
          <w:p>
            <w:pPr>
              <w:pStyle w:val="7"/>
              <w:tabs>
                <w:tab w:val="left" w:pos="2604"/>
              </w:tabs>
              <w:spacing w:before="0" w:beforeAutospacing="0" w:after="0" w:afterAutospacing="0" w:line="300" w:lineRule="exact"/>
              <w:jc w:val="center"/>
            </w:pPr>
            <w:r>
              <w:rPr>
                <w:rFonts w:hint="eastAsia"/>
              </w:rPr>
              <w:t>2</w:t>
            </w:r>
          </w:p>
        </w:tc>
      </w:tr>
      <w:tr>
        <w:tblPrEx>
          <w:tblCellMar>
            <w:top w:w="0" w:type="dxa"/>
            <w:left w:w="0" w:type="dxa"/>
            <w:bottom w:w="0" w:type="dxa"/>
            <w:right w:w="0" w:type="dxa"/>
          </w:tblCellMar>
        </w:tblPrEx>
        <w:trPr>
          <w:trHeight w:val="1770"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支付</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进度率</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（2分）</w:t>
            </w:r>
          </w:p>
        </w:tc>
        <w:tc>
          <w:tcPr>
            <w:tcW w:w="4783" w:type="dxa"/>
            <w:tcBorders>
              <w:top w:val="nil"/>
              <w:left w:val="nil"/>
              <w:bottom w:val="single" w:color="auto" w:sz="8"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部门实际支付进度与既定支付进度的比率，用以反映和考核部门预算执行的及时性和均衡性程度。</w:t>
            </w:r>
          </w:p>
        </w:tc>
        <w:tc>
          <w:tcPr>
            <w:tcW w:w="6382"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c>
          <w:tcPr>
            <w:tcW w:w="768" w:type="dxa"/>
            <w:tcBorders>
              <w:top w:val="nil"/>
              <w:left w:val="nil"/>
              <w:bottom w:val="single" w:color="auto" w:sz="8" w:space="0"/>
              <w:right w:val="single" w:color="auto" w:sz="8" w:space="0"/>
            </w:tcBorders>
            <w:vAlign w:val="center"/>
          </w:tcPr>
          <w:p>
            <w:pPr>
              <w:pStyle w:val="7"/>
              <w:tabs>
                <w:tab w:val="left" w:pos="2604"/>
              </w:tabs>
              <w:spacing w:before="0" w:beforeAutospacing="0" w:after="0" w:afterAutospacing="0" w:line="300" w:lineRule="exact"/>
              <w:jc w:val="center"/>
            </w:pPr>
            <w:r>
              <w:rPr>
                <w:rFonts w:hint="eastAsia"/>
              </w:rPr>
              <w:t>2</w:t>
            </w:r>
          </w:p>
        </w:tc>
      </w:tr>
      <w:tr>
        <w:tblPrEx>
          <w:tblCellMar>
            <w:top w:w="0" w:type="dxa"/>
            <w:left w:w="0" w:type="dxa"/>
            <w:bottom w:w="0" w:type="dxa"/>
            <w:right w:w="0" w:type="dxa"/>
          </w:tblCellMar>
        </w:tblPrEx>
        <w:trPr>
          <w:trHeight w:val="1231"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结转结余控制率</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（4分）</w:t>
            </w:r>
          </w:p>
        </w:tc>
        <w:tc>
          <w:tcPr>
            <w:tcW w:w="4783" w:type="dxa"/>
            <w:tcBorders>
              <w:top w:val="nil"/>
              <w:left w:val="nil"/>
              <w:bottom w:val="single" w:color="auto" w:sz="8"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部门本年度结转结余总额与上年结转结余总额增减比例，用以反映和考核部门对存量资金的实际控制程度。</w:t>
            </w:r>
          </w:p>
        </w:tc>
        <w:tc>
          <w:tcPr>
            <w:tcW w:w="6382"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c>
          <w:tcPr>
            <w:tcW w:w="768" w:type="dxa"/>
            <w:tcBorders>
              <w:top w:val="nil"/>
              <w:left w:val="nil"/>
              <w:bottom w:val="single" w:color="auto" w:sz="8" w:space="0"/>
              <w:right w:val="single" w:color="auto" w:sz="8" w:space="0"/>
            </w:tcBorders>
            <w:vAlign w:val="center"/>
          </w:tcPr>
          <w:p>
            <w:pPr>
              <w:pStyle w:val="7"/>
              <w:tabs>
                <w:tab w:val="left" w:pos="2604"/>
              </w:tabs>
              <w:spacing w:before="0" w:beforeAutospacing="0" w:after="0" w:afterAutospacing="0" w:line="300" w:lineRule="exact"/>
              <w:jc w:val="center"/>
              <w:rPr>
                <w:rFonts w:hint="eastAsia" w:eastAsia="宋体"/>
                <w:lang w:eastAsia="zh-CN"/>
              </w:rPr>
            </w:pPr>
            <w:r>
              <w:rPr>
                <w:rFonts w:hint="eastAsia"/>
                <w:lang w:val="en-US" w:eastAsia="zh-CN"/>
              </w:rPr>
              <w:t>3</w:t>
            </w:r>
          </w:p>
        </w:tc>
      </w:tr>
      <w:tr>
        <w:tblPrEx>
          <w:tblCellMar>
            <w:top w:w="0" w:type="dxa"/>
            <w:left w:w="0" w:type="dxa"/>
            <w:bottom w:w="0" w:type="dxa"/>
            <w:right w:w="0" w:type="dxa"/>
          </w:tblCellMar>
        </w:tblPrEx>
        <w:trPr>
          <w:trHeight w:val="936"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公用经费</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控制率</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（4分）</w:t>
            </w:r>
          </w:p>
        </w:tc>
        <w:tc>
          <w:tcPr>
            <w:tcW w:w="4783" w:type="dxa"/>
            <w:tcBorders>
              <w:top w:val="nil"/>
              <w:left w:val="nil"/>
              <w:bottom w:val="single" w:color="auto" w:sz="8"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部门本年度实际支出的公用经费总额与预算安排的公用经费总额的比率，用以反映和考核部门对机构运转成本的实际控制程度。</w:t>
            </w:r>
          </w:p>
        </w:tc>
        <w:tc>
          <w:tcPr>
            <w:tcW w:w="6382"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公用经费控制率=（实际支出公用经费总额/预算安排公用经费总额）×100%。为100%的计4分，每超过1个百分点扣0.1分，扣完为止。</w:t>
            </w:r>
          </w:p>
        </w:tc>
        <w:tc>
          <w:tcPr>
            <w:tcW w:w="768" w:type="dxa"/>
            <w:tcBorders>
              <w:top w:val="nil"/>
              <w:left w:val="nil"/>
              <w:bottom w:val="single" w:color="auto" w:sz="8" w:space="0"/>
              <w:right w:val="single" w:color="auto" w:sz="8" w:space="0"/>
            </w:tcBorders>
            <w:vAlign w:val="center"/>
          </w:tcPr>
          <w:p>
            <w:pPr>
              <w:pStyle w:val="7"/>
              <w:tabs>
                <w:tab w:val="left" w:pos="2604"/>
              </w:tabs>
              <w:spacing w:before="0" w:beforeAutospacing="0" w:after="0" w:afterAutospacing="0" w:line="300" w:lineRule="exact"/>
              <w:jc w:val="center"/>
            </w:pPr>
            <w:r>
              <w:rPr>
                <w:rFonts w:hint="eastAsia"/>
              </w:rPr>
              <w:t>4</w:t>
            </w:r>
          </w:p>
        </w:tc>
      </w:tr>
      <w:tr>
        <w:tblPrEx>
          <w:tblCellMar>
            <w:top w:w="0" w:type="dxa"/>
            <w:left w:w="0" w:type="dxa"/>
            <w:bottom w:w="0" w:type="dxa"/>
            <w:right w:w="0" w:type="dxa"/>
          </w:tblCellMar>
        </w:tblPrEx>
        <w:trPr>
          <w:trHeight w:val="879"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“三公经费”控制率（3分）</w:t>
            </w:r>
          </w:p>
        </w:tc>
        <w:tc>
          <w:tcPr>
            <w:tcW w:w="4783" w:type="dxa"/>
            <w:tcBorders>
              <w:top w:val="nil"/>
              <w:left w:val="nil"/>
              <w:bottom w:val="single" w:color="auto" w:sz="8"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部门本年度“三公经费”实际支出数与预算安排数的比率，用以反映和考核部门对“三公经费”的实际控制程度。</w:t>
            </w:r>
          </w:p>
        </w:tc>
        <w:tc>
          <w:tcPr>
            <w:tcW w:w="6382"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“三公经费”控制率=（“三公经费”实际支出数/“三公经费”预算安排数）×100%。为100%的计3分，每超过1个百分点扣0.5分，扣完为止。</w:t>
            </w:r>
          </w:p>
        </w:tc>
        <w:tc>
          <w:tcPr>
            <w:tcW w:w="768" w:type="dxa"/>
            <w:tcBorders>
              <w:top w:val="nil"/>
              <w:left w:val="nil"/>
              <w:bottom w:val="single" w:color="auto" w:sz="8" w:space="0"/>
              <w:right w:val="single" w:color="auto" w:sz="8" w:space="0"/>
            </w:tcBorders>
            <w:vAlign w:val="center"/>
          </w:tcPr>
          <w:p>
            <w:pPr>
              <w:pStyle w:val="7"/>
              <w:tabs>
                <w:tab w:val="left" w:pos="2604"/>
              </w:tabs>
              <w:spacing w:before="0" w:beforeAutospacing="0" w:after="0" w:afterAutospacing="0" w:line="300" w:lineRule="exact"/>
              <w:jc w:val="center"/>
            </w:pPr>
            <w:r>
              <w:rPr>
                <w:rFonts w:hint="eastAsia"/>
              </w:rPr>
              <w:t>3</w:t>
            </w:r>
          </w:p>
        </w:tc>
      </w:tr>
      <w:tr>
        <w:tblPrEx>
          <w:tblCellMar>
            <w:top w:w="0" w:type="dxa"/>
            <w:left w:w="0" w:type="dxa"/>
            <w:bottom w:w="0" w:type="dxa"/>
            <w:right w:w="0" w:type="dxa"/>
          </w:tblCellMar>
        </w:tblPrEx>
        <w:trPr>
          <w:trHeight w:val="1283"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政府采购</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执行率</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（4分）</w:t>
            </w:r>
          </w:p>
        </w:tc>
        <w:tc>
          <w:tcPr>
            <w:tcW w:w="4783" w:type="dxa"/>
            <w:tcBorders>
              <w:top w:val="nil"/>
              <w:left w:val="nil"/>
              <w:bottom w:val="single" w:color="auto" w:sz="8"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部门本年度实际政府采购金额与年初政府采购预算的比率，用以反映和考核部门政府采购预算执行情况。</w:t>
            </w:r>
          </w:p>
        </w:tc>
        <w:tc>
          <w:tcPr>
            <w:tcW w:w="6382"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c>
          <w:tcPr>
            <w:tcW w:w="768" w:type="dxa"/>
            <w:tcBorders>
              <w:top w:val="nil"/>
              <w:left w:val="nil"/>
              <w:bottom w:val="single" w:color="auto" w:sz="8" w:space="0"/>
              <w:right w:val="single" w:color="auto" w:sz="8" w:space="0"/>
            </w:tcBorders>
            <w:vAlign w:val="center"/>
          </w:tcPr>
          <w:p>
            <w:pPr>
              <w:pStyle w:val="7"/>
              <w:tabs>
                <w:tab w:val="left" w:pos="2604"/>
              </w:tabs>
              <w:spacing w:before="0" w:beforeAutospacing="0" w:after="0" w:afterAutospacing="0" w:line="300" w:lineRule="exact"/>
              <w:jc w:val="center"/>
            </w:pPr>
            <w:r>
              <w:rPr>
                <w:rFonts w:hint="eastAsia"/>
              </w:rPr>
              <w:t>4</w:t>
            </w:r>
          </w:p>
        </w:tc>
      </w:tr>
      <w:tr>
        <w:tblPrEx>
          <w:tblCellMar>
            <w:top w:w="0" w:type="dxa"/>
            <w:left w:w="0" w:type="dxa"/>
            <w:bottom w:w="0" w:type="dxa"/>
            <w:right w:w="0" w:type="dxa"/>
          </w:tblCellMar>
        </w:tblPrEx>
        <w:trPr>
          <w:trHeight w:val="952"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704" w:type="dxa"/>
            <w:vMerge w:val="restart"/>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预算</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管理</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(12分)</w:t>
            </w: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管理制度</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健全性</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（2分）</w:t>
            </w:r>
          </w:p>
        </w:tc>
        <w:tc>
          <w:tcPr>
            <w:tcW w:w="4783" w:type="dxa"/>
            <w:tcBorders>
              <w:top w:val="nil"/>
              <w:left w:val="nil"/>
              <w:bottom w:val="single" w:color="auto" w:sz="8"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部门为加强预算管理、规范财务行为而制定的管理制度是否健全完整，用以反映和考核部门预算管理制度对完成主要职责或促进事业发展的保障情况。</w:t>
            </w:r>
          </w:p>
        </w:tc>
        <w:tc>
          <w:tcPr>
            <w:tcW w:w="6382"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已制定或具有预算资金管理办法、内部财务管理制度、会计核算制度等管理制度计1分；相关管理制度合法、合规、完整计0.5分；相关管理制度得到有效执行计0.5分。</w:t>
            </w:r>
          </w:p>
        </w:tc>
        <w:tc>
          <w:tcPr>
            <w:tcW w:w="768" w:type="dxa"/>
            <w:tcBorders>
              <w:top w:val="nil"/>
              <w:left w:val="nil"/>
              <w:bottom w:val="single" w:color="auto" w:sz="8" w:space="0"/>
              <w:right w:val="single" w:color="auto" w:sz="8" w:space="0"/>
            </w:tcBorders>
            <w:vAlign w:val="center"/>
          </w:tcPr>
          <w:p>
            <w:pPr>
              <w:pStyle w:val="7"/>
              <w:tabs>
                <w:tab w:val="left" w:pos="2604"/>
              </w:tabs>
              <w:spacing w:before="0" w:beforeAutospacing="0" w:after="0" w:afterAutospacing="0" w:line="300" w:lineRule="exact"/>
              <w:jc w:val="center"/>
            </w:pPr>
            <w:r>
              <w:rPr>
                <w:rFonts w:hint="eastAsia"/>
              </w:rPr>
              <w:t>2</w:t>
            </w:r>
          </w:p>
        </w:tc>
      </w:tr>
      <w:tr>
        <w:tblPrEx>
          <w:tblCellMar>
            <w:top w:w="0" w:type="dxa"/>
            <w:left w:w="0" w:type="dxa"/>
            <w:bottom w:w="0" w:type="dxa"/>
            <w:right w:w="0" w:type="dxa"/>
          </w:tblCellMar>
        </w:tblPrEx>
        <w:trPr>
          <w:trHeight w:val="1605"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资金使用</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合规性</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（5分）</w:t>
            </w:r>
          </w:p>
        </w:tc>
        <w:tc>
          <w:tcPr>
            <w:tcW w:w="4783" w:type="dxa"/>
            <w:tcBorders>
              <w:top w:val="nil"/>
              <w:left w:val="nil"/>
              <w:bottom w:val="single" w:color="auto" w:sz="8"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部门使用预算资金是否符合相关的预算财务管理制度的规定，用以反映和考核部门预算资金的规范运行情况。</w:t>
            </w:r>
          </w:p>
        </w:tc>
        <w:tc>
          <w:tcPr>
            <w:tcW w:w="6382"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①符合国家财经法规和财务管理制度规定以及有关专项资金管理办法的规定计1分；</w:t>
            </w:r>
          </w:p>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②资金的拨付有完整的审批程序和手续计1分；</w:t>
            </w:r>
          </w:p>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③项目的重大开支经过评估论证计1分；</w:t>
            </w:r>
          </w:p>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④符合部门预算批复的用途计1分；</w:t>
            </w:r>
          </w:p>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⑤不存在截留、挤占、挪用、虚列支出等情况计1分。</w:t>
            </w:r>
          </w:p>
        </w:tc>
        <w:tc>
          <w:tcPr>
            <w:tcW w:w="768" w:type="dxa"/>
            <w:tcBorders>
              <w:top w:val="nil"/>
              <w:left w:val="nil"/>
              <w:bottom w:val="single" w:color="auto" w:sz="8" w:space="0"/>
              <w:right w:val="single" w:color="auto" w:sz="8" w:space="0"/>
            </w:tcBorders>
            <w:vAlign w:val="center"/>
          </w:tcPr>
          <w:p>
            <w:pPr>
              <w:pStyle w:val="7"/>
              <w:tabs>
                <w:tab w:val="left" w:pos="2604"/>
              </w:tabs>
              <w:spacing w:before="0" w:beforeAutospacing="0" w:after="0" w:afterAutospacing="0" w:line="300" w:lineRule="exact"/>
              <w:jc w:val="center"/>
            </w:pPr>
            <w:r>
              <w:rPr>
                <w:rFonts w:hint="eastAsia"/>
              </w:rPr>
              <w:t>5</w:t>
            </w:r>
          </w:p>
        </w:tc>
      </w:tr>
      <w:tr>
        <w:tblPrEx>
          <w:tblCellMar>
            <w:top w:w="0" w:type="dxa"/>
            <w:left w:w="0" w:type="dxa"/>
            <w:bottom w:w="0" w:type="dxa"/>
            <w:right w:w="0" w:type="dxa"/>
          </w:tblCellMar>
        </w:tblPrEx>
        <w:trPr>
          <w:trHeight w:val="1259"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预决算信</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息公开性（2分）</w:t>
            </w:r>
          </w:p>
        </w:tc>
        <w:tc>
          <w:tcPr>
            <w:tcW w:w="4783" w:type="dxa"/>
            <w:tcBorders>
              <w:top w:val="nil"/>
              <w:left w:val="nil"/>
              <w:bottom w:val="single" w:color="auto" w:sz="8"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部门是否按照政府信息公开有关规定公开相关预决算信息，用以反映和考核部门预决算管理的公开透明情况。</w:t>
            </w:r>
          </w:p>
        </w:tc>
        <w:tc>
          <w:tcPr>
            <w:tcW w:w="6382"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①按规定内容公开预决算信息计1分；</w:t>
            </w:r>
          </w:p>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②按规定时限公开预决算信息计1分。预决算信息是指与部门预算、执行、决算、监督、绩效等管理相关的信息。</w:t>
            </w:r>
          </w:p>
        </w:tc>
        <w:tc>
          <w:tcPr>
            <w:tcW w:w="768" w:type="dxa"/>
            <w:tcBorders>
              <w:top w:val="nil"/>
              <w:left w:val="nil"/>
              <w:bottom w:val="single" w:color="auto" w:sz="8" w:space="0"/>
              <w:right w:val="single" w:color="auto" w:sz="8" w:space="0"/>
            </w:tcBorders>
            <w:vAlign w:val="center"/>
          </w:tcPr>
          <w:p>
            <w:pPr>
              <w:pStyle w:val="7"/>
              <w:tabs>
                <w:tab w:val="left" w:pos="2604"/>
              </w:tabs>
              <w:spacing w:before="0" w:beforeAutospacing="0" w:after="0" w:afterAutospacing="0" w:line="300" w:lineRule="exact"/>
              <w:jc w:val="center"/>
            </w:pPr>
            <w:r>
              <w:rPr>
                <w:rFonts w:hint="eastAsia"/>
              </w:rPr>
              <w:t>2</w:t>
            </w:r>
          </w:p>
        </w:tc>
      </w:tr>
      <w:tr>
        <w:tblPrEx>
          <w:tblCellMar>
            <w:top w:w="0" w:type="dxa"/>
            <w:left w:w="0" w:type="dxa"/>
            <w:bottom w:w="0" w:type="dxa"/>
            <w:right w:w="0" w:type="dxa"/>
          </w:tblCellMar>
        </w:tblPrEx>
        <w:trPr>
          <w:trHeight w:val="934"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基础信息</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完善性</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（3分）</w:t>
            </w:r>
          </w:p>
        </w:tc>
        <w:tc>
          <w:tcPr>
            <w:tcW w:w="4783" w:type="dxa"/>
            <w:tcBorders>
              <w:top w:val="nil"/>
              <w:left w:val="nil"/>
              <w:bottom w:val="single" w:color="auto" w:sz="8"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部门基础信息是否完善，用以反映和考核基础信息对预算管理工作的支撑情况。</w:t>
            </w:r>
          </w:p>
        </w:tc>
        <w:tc>
          <w:tcPr>
            <w:tcW w:w="6382"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①基础数据信息和会计信息资料真实计1分；</w:t>
            </w:r>
          </w:p>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②基础数据信息和会计信息资料完整计1分；</w:t>
            </w:r>
          </w:p>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③基础数据信息和会计信息资料准确计1分。</w:t>
            </w:r>
          </w:p>
        </w:tc>
        <w:tc>
          <w:tcPr>
            <w:tcW w:w="768" w:type="dxa"/>
            <w:tcBorders>
              <w:top w:val="nil"/>
              <w:left w:val="nil"/>
              <w:bottom w:val="single" w:color="auto" w:sz="8" w:space="0"/>
              <w:right w:val="single" w:color="auto" w:sz="8" w:space="0"/>
            </w:tcBorders>
            <w:vAlign w:val="center"/>
          </w:tcPr>
          <w:p>
            <w:pPr>
              <w:pStyle w:val="7"/>
              <w:tabs>
                <w:tab w:val="left" w:pos="2604"/>
              </w:tabs>
              <w:spacing w:before="0" w:beforeAutospacing="0" w:after="0" w:afterAutospacing="0" w:line="300" w:lineRule="exact"/>
              <w:jc w:val="center"/>
            </w:pPr>
            <w:r>
              <w:rPr>
                <w:rFonts w:hint="eastAsia"/>
              </w:rPr>
              <w:t>3</w:t>
            </w:r>
          </w:p>
        </w:tc>
      </w:tr>
      <w:tr>
        <w:tblPrEx>
          <w:tblCellMar>
            <w:top w:w="0" w:type="dxa"/>
            <w:left w:w="0" w:type="dxa"/>
            <w:bottom w:w="0" w:type="dxa"/>
            <w:right w:w="0" w:type="dxa"/>
          </w:tblCellMar>
        </w:tblPrEx>
        <w:trPr>
          <w:trHeight w:val="968"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704" w:type="dxa"/>
            <w:vMerge w:val="restart"/>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hint="eastAsia" w:ascii="宋体" w:hAnsi="宋体" w:eastAsia="宋体" w:cs="宋体"/>
                <w:sz w:val="21"/>
                <w:szCs w:val="21"/>
                <w:lang w:eastAsia="zh-CN"/>
              </w:rPr>
            </w:pPr>
            <w:r>
              <w:rPr>
                <w:rFonts w:hint="eastAsia" w:ascii="宋体" w:hAnsi="宋体" w:cs="宋体"/>
                <w:sz w:val="21"/>
                <w:szCs w:val="21"/>
              </w:rPr>
              <w:t>资产</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管理</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（5分）</w:t>
            </w: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管理制度</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健全性</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（2分）</w:t>
            </w:r>
          </w:p>
        </w:tc>
        <w:tc>
          <w:tcPr>
            <w:tcW w:w="4783" w:type="dxa"/>
            <w:tcBorders>
              <w:top w:val="nil"/>
              <w:left w:val="nil"/>
              <w:bottom w:val="single" w:color="auto" w:sz="8"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部门为加强资产管理、规范资产管理行为而制定的管理制度是否健全完整，用以反映和考核部门资产管理制度对完成主要职责或促进社会发展的保障情况。</w:t>
            </w:r>
          </w:p>
        </w:tc>
        <w:tc>
          <w:tcPr>
            <w:tcW w:w="6382"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①制定或具有资产管理制度计1分；</w:t>
            </w:r>
          </w:p>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②相关资金管理制度合法、合规、完整计0.5分；</w:t>
            </w:r>
          </w:p>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③相关资产管理制度得到有效执行计0.5分。</w:t>
            </w:r>
          </w:p>
        </w:tc>
        <w:tc>
          <w:tcPr>
            <w:tcW w:w="768" w:type="dxa"/>
            <w:tcBorders>
              <w:top w:val="nil"/>
              <w:left w:val="nil"/>
              <w:bottom w:val="single" w:color="auto" w:sz="8" w:space="0"/>
              <w:right w:val="single" w:color="auto" w:sz="8" w:space="0"/>
            </w:tcBorders>
            <w:vAlign w:val="center"/>
          </w:tcPr>
          <w:p>
            <w:pPr>
              <w:pStyle w:val="7"/>
              <w:tabs>
                <w:tab w:val="left" w:pos="2604"/>
              </w:tabs>
              <w:spacing w:before="0" w:beforeAutospacing="0" w:after="0" w:afterAutospacing="0" w:line="300" w:lineRule="exact"/>
              <w:jc w:val="center"/>
            </w:pPr>
            <w:r>
              <w:rPr>
                <w:rFonts w:hint="eastAsia"/>
              </w:rPr>
              <w:t>2</w:t>
            </w:r>
          </w:p>
        </w:tc>
      </w:tr>
      <w:tr>
        <w:tblPrEx>
          <w:tblCellMar>
            <w:top w:w="0" w:type="dxa"/>
            <w:left w:w="0" w:type="dxa"/>
            <w:bottom w:w="0" w:type="dxa"/>
            <w:right w:w="0" w:type="dxa"/>
          </w:tblCellMar>
        </w:tblPrEx>
        <w:trPr>
          <w:trHeight w:val="1566"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资产管理</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安全性</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（2分）</w:t>
            </w:r>
          </w:p>
        </w:tc>
        <w:tc>
          <w:tcPr>
            <w:tcW w:w="4783" w:type="dxa"/>
            <w:tcBorders>
              <w:top w:val="nil"/>
              <w:left w:val="nil"/>
              <w:bottom w:val="single" w:color="auto" w:sz="8" w:space="0"/>
              <w:right w:val="single" w:color="auto" w:sz="8" w:space="0"/>
            </w:tcBorders>
            <w:tcMar>
              <w:top w:w="10" w:type="dxa"/>
              <w:left w:w="10" w:type="dxa"/>
              <w:right w:w="10" w:type="dxa"/>
            </w:tcMar>
            <w:vAlign w:val="center"/>
          </w:tcPr>
          <w:p>
            <w:pPr>
              <w:pStyle w:val="7"/>
              <w:tabs>
                <w:tab w:val="left" w:pos="761"/>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部门的资产是否保存完整、使用合规、配置合理、处置规范、收入及时足额上缴，用以反映和考核部门资产安全运行情况。</w:t>
            </w:r>
          </w:p>
        </w:tc>
        <w:tc>
          <w:tcPr>
            <w:tcW w:w="6382"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①资产保存完整计0.4分；</w:t>
            </w:r>
          </w:p>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②资产配置合理计0.4分；</w:t>
            </w:r>
          </w:p>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③资产处置规范计0.4分；</w:t>
            </w:r>
          </w:p>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④资产账务管理合规、</w:t>
            </w:r>
            <w:r>
              <w:rPr>
                <w:rFonts w:hint="eastAsia" w:ascii="宋体" w:hAnsi="宋体" w:cs="宋体"/>
                <w:sz w:val="21"/>
                <w:szCs w:val="21"/>
                <w:lang w:eastAsia="zh-CN"/>
              </w:rPr>
              <w:t>账实相符</w:t>
            </w:r>
            <w:r>
              <w:rPr>
                <w:rFonts w:hint="eastAsia" w:ascii="宋体" w:hAnsi="宋体" w:cs="宋体"/>
                <w:sz w:val="21"/>
                <w:szCs w:val="21"/>
              </w:rPr>
              <w:t>计0.4分；</w:t>
            </w:r>
          </w:p>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⑤资产有偿使用及处置收入及时足额上缴计0.4分。</w:t>
            </w:r>
          </w:p>
        </w:tc>
        <w:tc>
          <w:tcPr>
            <w:tcW w:w="768" w:type="dxa"/>
            <w:tcBorders>
              <w:top w:val="nil"/>
              <w:left w:val="nil"/>
              <w:bottom w:val="single" w:color="auto" w:sz="8" w:space="0"/>
              <w:right w:val="single" w:color="auto" w:sz="8" w:space="0"/>
            </w:tcBorders>
            <w:vAlign w:val="center"/>
          </w:tcPr>
          <w:p>
            <w:pPr>
              <w:pStyle w:val="7"/>
              <w:tabs>
                <w:tab w:val="left" w:pos="761"/>
                <w:tab w:val="left" w:pos="2604"/>
              </w:tabs>
              <w:spacing w:before="0" w:beforeAutospacing="0" w:after="0" w:afterAutospacing="0" w:line="300" w:lineRule="exact"/>
              <w:jc w:val="center"/>
            </w:pPr>
            <w:r>
              <w:rPr>
                <w:rFonts w:hint="eastAsia"/>
              </w:rPr>
              <w:t>2</w:t>
            </w:r>
          </w:p>
        </w:tc>
      </w:tr>
      <w:tr>
        <w:tblPrEx>
          <w:tblCellMar>
            <w:top w:w="0" w:type="dxa"/>
            <w:left w:w="0" w:type="dxa"/>
            <w:bottom w:w="0" w:type="dxa"/>
            <w:right w:w="0" w:type="dxa"/>
          </w:tblCellMar>
        </w:tblPrEx>
        <w:trPr>
          <w:trHeight w:val="1059"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固定资产</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利用率</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（1分）</w:t>
            </w:r>
          </w:p>
        </w:tc>
        <w:tc>
          <w:tcPr>
            <w:tcW w:w="4783" w:type="dxa"/>
            <w:tcBorders>
              <w:top w:val="nil"/>
              <w:left w:val="nil"/>
              <w:bottom w:val="single" w:color="auto" w:sz="8"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部门实际在用固定资产总额与所有固定资产总额的比率，用以反映和考核部门固定资产使用效率程度。</w:t>
            </w:r>
          </w:p>
        </w:tc>
        <w:tc>
          <w:tcPr>
            <w:tcW w:w="6382"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固定资产利用率=（实际在用固定资产总额/所有固定资产总额）×100%。利用率为100%的计1分，每降1个百分点扣0.1分，扣完为止。</w:t>
            </w:r>
          </w:p>
        </w:tc>
        <w:tc>
          <w:tcPr>
            <w:tcW w:w="768" w:type="dxa"/>
            <w:tcBorders>
              <w:top w:val="nil"/>
              <w:left w:val="nil"/>
              <w:bottom w:val="single" w:color="auto" w:sz="8" w:space="0"/>
              <w:right w:val="single" w:color="auto" w:sz="8" w:space="0"/>
            </w:tcBorders>
            <w:vAlign w:val="center"/>
          </w:tcPr>
          <w:p>
            <w:pPr>
              <w:pStyle w:val="7"/>
              <w:tabs>
                <w:tab w:val="left" w:pos="2604"/>
              </w:tabs>
              <w:spacing w:before="0" w:beforeAutospacing="0" w:after="0" w:afterAutospacing="0" w:line="300" w:lineRule="exact"/>
              <w:jc w:val="center"/>
            </w:pPr>
            <w:r>
              <w:rPr>
                <w:rFonts w:hint="eastAsia"/>
              </w:rPr>
              <w:t>1</w:t>
            </w:r>
          </w:p>
        </w:tc>
      </w:tr>
      <w:tr>
        <w:tblPrEx>
          <w:tblCellMar>
            <w:top w:w="0" w:type="dxa"/>
            <w:left w:w="0" w:type="dxa"/>
            <w:bottom w:w="0" w:type="dxa"/>
            <w:right w:w="0" w:type="dxa"/>
          </w:tblCellMar>
        </w:tblPrEx>
        <w:trPr>
          <w:trHeight w:val="894" w:hRule="atLeast"/>
          <w:jc w:val="center"/>
        </w:trPr>
        <w:tc>
          <w:tcPr>
            <w:tcW w:w="690" w:type="dxa"/>
            <w:vMerge w:val="restart"/>
            <w:tcBorders>
              <w:top w:val="nil"/>
              <w:left w:val="single" w:color="auto" w:sz="8" w:space="0"/>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产出</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(20分)</w:t>
            </w:r>
          </w:p>
        </w:tc>
        <w:tc>
          <w:tcPr>
            <w:tcW w:w="704" w:type="dxa"/>
            <w:vMerge w:val="restart"/>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hint="eastAsia" w:ascii="宋体" w:hAnsi="宋体" w:eastAsia="宋体" w:cs="宋体"/>
                <w:sz w:val="21"/>
                <w:szCs w:val="21"/>
                <w:lang w:eastAsia="zh-CN"/>
              </w:rPr>
            </w:pPr>
            <w:r>
              <w:rPr>
                <w:rFonts w:hint="eastAsia" w:ascii="宋体" w:hAnsi="宋体" w:cs="宋体"/>
                <w:sz w:val="21"/>
                <w:szCs w:val="21"/>
              </w:rPr>
              <w:t>职责</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履行</w:t>
            </w: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实际完成率（5分）</w:t>
            </w:r>
          </w:p>
        </w:tc>
        <w:tc>
          <w:tcPr>
            <w:tcW w:w="4783" w:type="dxa"/>
            <w:tcBorders>
              <w:top w:val="nil"/>
              <w:left w:val="nil"/>
              <w:bottom w:val="single" w:color="auto" w:sz="8"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部门履行职责而实际完成工作数与计划工作数的比率，用以反映和考核部门履职工作任务目标的实现程度。</w:t>
            </w:r>
          </w:p>
        </w:tc>
        <w:tc>
          <w:tcPr>
            <w:tcW w:w="6382"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实际完成率得分=完成县委县政府绩效考核得分或上级主管部门考核指标得分/指标分值*5分</w:t>
            </w:r>
          </w:p>
        </w:tc>
        <w:tc>
          <w:tcPr>
            <w:tcW w:w="768" w:type="dxa"/>
            <w:tcBorders>
              <w:top w:val="nil"/>
              <w:left w:val="nil"/>
              <w:bottom w:val="single" w:color="auto" w:sz="8" w:space="0"/>
              <w:right w:val="single" w:color="auto" w:sz="8" w:space="0"/>
            </w:tcBorders>
            <w:vAlign w:val="center"/>
          </w:tcPr>
          <w:p>
            <w:pPr>
              <w:pStyle w:val="7"/>
              <w:tabs>
                <w:tab w:val="left" w:pos="2604"/>
              </w:tabs>
              <w:spacing w:before="0" w:beforeAutospacing="0" w:after="0" w:afterAutospacing="0" w:line="300" w:lineRule="exact"/>
              <w:jc w:val="center"/>
            </w:pPr>
            <w:r>
              <w:rPr>
                <w:rFonts w:hint="eastAsia"/>
              </w:rPr>
              <w:t>5</w:t>
            </w:r>
          </w:p>
        </w:tc>
      </w:tr>
      <w:tr>
        <w:tblPrEx>
          <w:tblCellMar>
            <w:top w:w="0" w:type="dxa"/>
            <w:left w:w="0" w:type="dxa"/>
            <w:bottom w:w="0" w:type="dxa"/>
            <w:right w:w="0" w:type="dxa"/>
          </w:tblCellMar>
        </w:tblPrEx>
        <w:trPr>
          <w:trHeight w:val="864"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完成及时率（4分）</w:t>
            </w:r>
          </w:p>
        </w:tc>
        <w:tc>
          <w:tcPr>
            <w:tcW w:w="4783" w:type="dxa"/>
            <w:tcBorders>
              <w:top w:val="nil"/>
              <w:left w:val="nil"/>
              <w:bottom w:val="single" w:color="auto" w:sz="8"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部门在规定时限内及时完成的实际工作数与计划工作数的比率,用以反映和考核部门履职时效目标的实现程度。</w:t>
            </w:r>
          </w:p>
        </w:tc>
        <w:tc>
          <w:tcPr>
            <w:tcW w:w="6382"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210" w:afterAutospacing="0" w:line="300" w:lineRule="exact"/>
              <w:jc w:val="both"/>
              <w:rPr>
                <w:rFonts w:ascii="宋体" w:hAnsi="宋体" w:cs="宋体"/>
                <w:sz w:val="21"/>
                <w:szCs w:val="21"/>
              </w:rPr>
            </w:pPr>
            <w:r>
              <w:rPr>
                <w:rFonts w:hint="eastAsia" w:ascii="宋体" w:hAnsi="宋体" w:cs="宋体"/>
                <w:sz w:val="21"/>
                <w:szCs w:val="21"/>
              </w:rPr>
              <w:t>完成及时率=（及时完成实际工作数/计划工作数）×100%。1-4季度各得1分</w:t>
            </w:r>
          </w:p>
        </w:tc>
        <w:tc>
          <w:tcPr>
            <w:tcW w:w="768" w:type="dxa"/>
            <w:tcBorders>
              <w:top w:val="nil"/>
              <w:left w:val="nil"/>
              <w:bottom w:val="single" w:color="auto" w:sz="8" w:space="0"/>
              <w:right w:val="single" w:color="auto" w:sz="8" w:space="0"/>
            </w:tcBorders>
            <w:vAlign w:val="center"/>
          </w:tcPr>
          <w:p>
            <w:pPr>
              <w:pStyle w:val="7"/>
              <w:tabs>
                <w:tab w:val="left" w:pos="2604"/>
              </w:tabs>
              <w:spacing w:before="0" w:beforeAutospacing="0" w:after="0" w:afterAutospacing="0" w:line="300" w:lineRule="exact"/>
              <w:jc w:val="center"/>
            </w:pPr>
            <w:r>
              <w:rPr>
                <w:rFonts w:hint="eastAsia"/>
              </w:rPr>
              <w:t>4</w:t>
            </w:r>
          </w:p>
        </w:tc>
      </w:tr>
      <w:tr>
        <w:tblPrEx>
          <w:tblCellMar>
            <w:top w:w="0" w:type="dxa"/>
            <w:left w:w="0" w:type="dxa"/>
            <w:bottom w:w="0" w:type="dxa"/>
            <w:right w:w="0" w:type="dxa"/>
          </w:tblCellMar>
        </w:tblPrEx>
        <w:trPr>
          <w:trHeight w:val="804"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质量达标率（5分）</w:t>
            </w:r>
          </w:p>
        </w:tc>
        <w:tc>
          <w:tcPr>
            <w:tcW w:w="4783" w:type="dxa"/>
            <w:tcBorders>
              <w:top w:val="nil"/>
              <w:left w:val="nil"/>
              <w:bottom w:val="single" w:color="auto" w:sz="8"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达到质量标准（绩效标准值）的实际工作数与计划工作数的比率,用以反映和考核部门履职质量目标的实现程度。</w:t>
            </w:r>
          </w:p>
        </w:tc>
        <w:tc>
          <w:tcPr>
            <w:tcW w:w="6382"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质量达标率=（质量达标实际工作数/计划工作数）×100%。实际得分=达标率*5分</w:t>
            </w:r>
          </w:p>
        </w:tc>
        <w:tc>
          <w:tcPr>
            <w:tcW w:w="768" w:type="dxa"/>
            <w:tcBorders>
              <w:top w:val="nil"/>
              <w:left w:val="nil"/>
              <w:bottom w:val="single" w:color="auto" w:sz="8" w:space="0"/>
              <w:right w:val="single" w:color="auto" w:sz="8" w:space="0"/>
            </w:tcBorders>
            <w:vAlign w:val="center"/>
          </w:tcPr>
          <w:p>
            <w:pPr>
              <w:pStyle w:val="7"/>
              <w:tabs>
                <w:tab w:val="left" w:pos="2604"/>
              </w:tabs>
              <w:spacing w:before="0" w:beforeAutospacing="0" w:after="0" w:afterAutospacing="0" w:line="300" w:lineRule="exact"/>
              <w:jc w:val="center"/>
            </w:pPr>
            <w:r>
              <w:rPr>
                <w:rFonts w:hint="eastAsia"/>
              </w:rPr>
              <w:t>5</w:t>
            </w:r>
          </w:p>
        </w:tc>
      </w:tr>
      <w:tr>
        <w:tblPrEx>
          <w:tblCellMar>
            <w:top w:w="0" w:type="dxa"/>
            <w:left w:w="0" w:type="dxa"/>
            <w:bottom w:w="0" w:type="dxa"/>
            <w:right w:w="0" w:type="dxa"/>
          </w:tblCellMar>
        </w:tblPrEx>
        <w:trPr>
          <w:trHeight w:val="1059"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重点工作</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办结率</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（6分）</w:t>
            </w:r>
          </w:p>
        </w:tc>
        <w:tc>
          <w:tcPr>
            <w:tcW w:w="4783" w:type="dxa"/>
            <w:tcBorders>
              <w:top w:val="nil"/>
              <w:left w:val="nil"/>
              <w:bottom w:val="single" w:color="auto" w:sz="8"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部门年度重点工作实际完成数与交办或下达数的比率，用以反映部门对重点工作的办理落实程度。</w:t>
            </w:r>
          </w:p>
        </w:tc>
        <w:tc>
          <w:tcPr>
            <w:tcW w:w="6382"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重点工作办结率=（重点工作实际完成数/交办或下达数）×100%。实际得分=办结率*6分</w:t>
            </w:r>
          </w:p>
        </w:tc>
        <w:tc>
          <w:tcPr>
            <w:tcW w:w="768" w:type="dxa"/>
            <w:tcBorders>
              <w:top w:val="nil"/>
              <w:left w:val="nil"/>
              <w:bottom w:val="single" w:color="auto" w:sz="8" w:space="0"/>
              <w:right w:val="single" w:color="auto" w:sz="8" w:space="0"/>
            </w:tcBorders>
            <w:vAlign w:val="center"/>
          </w:tcPr>
          <w:p>
            <w:pPr>
              <w:pStyle w:val="7"/>
              <w:tabs>
                <w:tab w:val="left" w:pos="2604"/>
              </w:tabs>
              <w:spacing w:before="0" w:beforeAutospacing="0" w:after="0" w:afterAutospacing="0" w:line="300" w:lineRule="exact"/>
              <w:jc w:val="center"/>
            </w:pPr>
            <w:r>
              <w:rPr>
                <w:rFonts w:hint="eastAsia"/>
              </w:rPr>
              <w:t>6</w:t>
            </w:r>
          </w:p>
        </w:tc>
      </w:tr>
      <w:tr>
        <w:tblPrEx>
          <w:tblCellMar>
            <w:top w:w="0" w:type="dxa"/>
            <w:left w:w="0" w:type="dxa"/>
            <w:bottom w:w="0" w:type="dxa"/>
            <w:right w:w="0" w:type="dxa"/>
          </w:tblCellMar>
        </w:tblPrEx>
        <w:trPr>
          <w:trHeight w:val="644" w:hRule="atLeast"/>
          <w:jc w:val="center"/>
        </w:trPr>
        <w:tc>
          <w:tcPr>
            <w:tcW w:w="690" w:type="dxa"/>
            <w:vMerge w:val="restart"/>
            <w:tcBorders>
              <w:top w:val="nil"/>
              <w:left w:val="single" w:color="auto" w:sz="8" w:space="0"/>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效果</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(20分)</w:t>
            </w:r>
          </w:p>
        </w:tc>
        <w:tc>
          <w:tcPr>
            <w:tcW w:w="704" w:type="dxa"/>
            <w:vMerge w:val="restart"/>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hint="eastAsia" w:ascii="宋体" w:hAnsi="宋体" w:eastAsia="宋体" w:cs="宋体"/>
                <w:sz w:val="21"/>
                <w:szCs w:val="21"/>
                <w:lang w:eastAsia="zh-CN"/>
              </w:rPr>
            </w:pPr>
            <w:r>
              <w:rPr>
                <w:rFonts w:hint="eastAsia" w:ascii="宋体" w:hAnsi="宋体" w:cs="宋体"/>
                <w:sz w:val="21"/>
                <w:szCs w:val="21"/>
              </w:rPr>
              <w:t>履职</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效益(20分)</w:t>
            </w: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经济效益（5分）</w:t>
            </w:r>
          </w:p>
        </w:tc>
        <w:tc>
          <w:tcPr>
            <w:tcW w:w="4783" w:type="dxa"/>
            <w:tcBorders>
              <w:top w:val="nil"/>
              <w:left w:val="nil"/>
              <w:bottom w:val="single" w:color="auto" w:sz="8"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部门履行职责对经济发展所带来的直接或间接影响。</w:t>
            </w:r>
          </w:p>
        </w:tc>
        <w:tc>
          <w:tcPr>
            <w:tcW w:w="6382" w:type="dxa"/>
            <w:tcBorders>
              <w:top w:val="nil"/>
              <w:left w:val="nil"/>
              <w:bottom w:val="single" w:color="auto" w:sz="4"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按经济效益实现程度计算得分（5分）</w:t>
            </w:r>
          </w:p>
        </w:tc>
        <w:tc>
          <w:tcPr>
            <w:tcW w:w="768" w:type="dxa"/>
            <w:tcBorders>
              <w:top w:val="nil"/>
              <w:left w:val="nil"/>
              <w:bottom w:val="single" w:color="auto" w:sz="8" w:space="0"/>
              <w:right w:val="single" w:color="auto" w:sz="8" w:space="0"/>
            </w:tcBorders>
            <w:vAlign w:val="center"/>
          </w:tcPr>
          <w:p>
            <w:pPr>
              <w:pStyle w:val="7"/>
              <w:tabs>
                <w:tab w:val="left" w:pos="2604"/>
              </w:tabs>
              <w:spacing w:before="0" w:beforeAutospacing="0" w:after="0" w:afterAutospacing="0" w:line="300" w:lineRule="exact"/>
              <w:jc w:val="center"/>
            </w:pPr>
            <w:r>
              <w:rPr>
                <w:rFonts w:hint="eastAsia"/>
              </w:rPr>
              <w:t>5</w:t>
            </w:r>
          </w:p>
        </w:tc>
      </w:tr>
      <w:tr>
        <w:tblPrEx>
          <w:tblCellMar>
            <w:top w:w="0" w:type="dxa"/>
            <w:left w:w="0" w:type="dxa"/>
            <w:bottom w:w="0" w:type="dxa"/>
            <w:right w:w="0" w:type="dxa"/>
          </w:tblCellMar>
        </w:tblPrEx>
        <w:trPr>
          <w:trHeight w:val="644"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社会效益（5分）</w:t>
            </w:r>
          </w:p>
        </w:tc>
        <w:tc>
          <w:tcPr>
            <w:tcW w:w="4783" w:type="dxa"/>
            <w:tcBorders>
              <w:top w:val="nil"/>
              <w:left w:val="nil"/>
              <w:bottom w:val="single" w:color="auto" w:sz="8"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部门履行职责对社会发展所带来的直接或间接影响。</w:t>
            </w:r>
          </w:p>
        </w:tc>
        <w:tc>
          <w:tcPr>
            <w:tcW w:w="6382" w:type="dxa"/>
            <w:tcBorders>
              <w:top w:val="single" w:color="auto" w:sz="4" w:space="0"/>
              <w:left w:val="nil"/>
              <w:bottom w:val="single" w:color="auto" w:sz="4" w:space="0"/>
              <w:right w:val="single" w:color="auto" w:sz="8" w:space="0"/>
            </w:tcBorders>
            <w:tcMar>
              <w:top w:w="10" w:type="dxa"/>
              <w:left w:w="10" w:type="dxa"/>
              <w:right w:w="10" w:type="dxa"/>
            </w:tcMar>
            <w:vAlign w:val="center"/>
          </w:tcPr>
          <w:p>
            <w:pPr>
              <w:spacing w:line="300" w:lineRule="exact"/>
              <w:ind w:left="315" w:hanging="315"/>
              <w:rPr>
                <w:rFonts w:ascii="宋体" w:hAnsi="宋体" w:cs="宋体"/>
                <w:sz w:val="15"/>
                <w:szCs w:val="15"/>
              </w:rPr>
            </w:pPr>
            <w:r>
              <w:rPr>
                <w:rFonts w:hint="eastAsia" w:ascii="宋体" w:hAnsi="宋体" w:cs="宋体"/>
                <w:szCs w:val="21"/>
              </w:rPr>
              <w:t>按社会效益实现程度计算得分（5分）</w:t>
            </w:r>
          </w:p>
        </w:tc>
        <w:tc>
          <w:tcPr>
            <w:tcW w:w="768" w:type="dxa"/>
            <w:tcBorders>
              <w:top w:val="nil"/>
              <w:left w:val="nil"/>
              <w:bottom w:val="single" w:color="auto" w:sz="8" w:space="0"/>
              <w:right w:val="single" w:color="auto" w:sz="8" w:space="0"/>
            </w:tcBorders>
            <w:vAlign w:val="center"/>
          </w:tcPr>
          <w:p>
            <w:pPr>
              <w:pStyle w:val="7"/>
              <w:tabs>
                <w:tab w:val="left" w:pos="2604"/>
              </w:tabs>
              <w:spacing w:before="0" w:beforeAutospacing="0" w:after="0" w:afterAutospacing="0" w:line="300" w:lineRule="exact"/>
              <w:jc w:val="center"/>
            </w:pPr>
            <w:r>
              <w:rPr>
                <w:rFonts w:hint="eastAsia"/>
              </w:rPr>
              <w:t>5</w:t>
            </w:r>
          </w:p>
        </w:tc>
      </w:tr>
      <w:tr>
        <w:tblPrEx>
          <w:tblCellMar>
            <w:top w:w="0" w:type="dxa"/>
            <w:left w:w="0" w:type="dxa"/>
            <w:bottom w:w="0" w:type="dxa"/>
            <w:right w:w="0" w:type="dxa"/>
          </w:tblCellMar>
        </w:tblPrEx>
        <w:trPr>
          <w:trHeight w:val="644"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spacing w:line="300" w:lineRule="exact"/>
              <w:ind w:left="315" w:hanging="315"/>
              <w:jc w:val="center"/>
              <w:rPr>
                <w:rFonts w:ascii="宋体" w:hAnsi="宋体" w:cs="宋体"/>
                <w:kern w:val="0"/>
                <w:szCs w:val="21"/>
              </w:rPr>
            </w:pPr>
            <w:r>
              <w:rPr>
                <w:rFonts w:hint="eastAsia" w:ascii="宋体" w:hAnsi="宋体" w:cs="宋体"/>
                <w:kern w:val="0"/>
                <w:szCs w:val="21"/>
              </w:rPr>
              <w:t>行政效能</w:t>
            </w:r>
          </w:p>
          <w:p>
            <w:pPr>
              <w:spacing w:line="300" w:lineRule="exact"/>
              <w:ind w:left="315" w:hanging="315"/>
              <w:jc w:val="center"/>
              <w:rPr>
                <w:rFonts w:ascii="宋体" w:hAnsi="宋体" w:cs="宋体"/>
                <w:kern w:val="0"/>
                <w:szCs w:val="21"/>
              </w:rPr>
            </w:pPr>
            <w:r>
              <w:rPr>
                <w:rFonts w:hint="eastAsia" w:ascii="宋体" w:hAnsi="宋体" w:cs="宋体"/>
                <w:kern w:val="0"/>
                <w:szCs w:val="21"/>
              </w:rPr>
              <w:t>（5分）</w:t>
            </w:r>
          </w:p>
        </w:tc>
        <w:tc>
          <w:tcPr>
            <w:tcW w:w="4783" w:type="dxa"/>
            <w:tcBorders>
              <w:top w:val="nil"/>
              <w:left w:val="nil"/>
              <w:bottom w:val="single" w:color="auto" w:sz="8"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促进部门改进文风会风，加强经费及资产管理，推动网上办事，提高行政效率。</w:t>
            </w:r>
          </w:p>
        </w:tc>
        <w:tc>
          <w:tcPr>
            <w:tcW w:w="6382" w:type="dxa"/>
            <w:tcBorders>
              <w:top w:val="single" w:color="auto" w:sz="4" w:space="0"/>
              <w:left w:val="nil"/>
              <w:bottom w:val="single" w:color="auto" w:sz="8"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降低行政成本效果较好的计6分；一般3分；无效果或者效果不明显0分。</w:t>
            </w:r>
          </w:p>
        </w:tc>
        <w:tc>
          <w:tcPr>
            <w:tcW w:w="768" w:type="dxa"/>
            <w:tcBorders>
              <w:top w:val="nil"/>
              <w:left w:val="nil"/>
              <w:bottom w:val="single" w:color="auto" w:sz="8" w:space="0"/>
              <w:right w:val="single" w:color="auto" w:sz="8" w:space="0"/>
            </w:tcBorders>
            <w:vAlign w:val="center"/>
          </w:tcPr>
          <w:p>
            <w:pPr>
              <w:pStyle w:val="7"/>
              <w:tabs>
                <w:tab w:val="left" w:pos="2604"/>
              </w:tabs>
              <w:spacing w:before="0" w:beforeAutospacing="0" w:after="0" w:afterAutospacing="0" w:line="300" w:lineRule="exact"/>
              <w:jc w:val="center"/>
            </w:pPr>
            <w:r>
              <w:rPr>
                <w:rFonts w:hint="eastAsia"/>
              </w:rPr>
              <w:t>5</w:t>
            </w:r>
          </w:p>
        </w:tc>
      </w:tr>
      <w:tr>
        <w:tblPrEx>
          <w:tblCellMar>
            <w:top w:w="0" w:type="dxa"/>
            <w:left w:w="0" w:type="dxa"/>
            <w:bottom w:w="0" w:type="dxa"/>
            <w:right w:w="0" w:type="dxa"/>
          </w:tblCellMar>
        </w:tblPrEx>
        <w:trPr>
          <w:trHeight w:val="1259" w:hRule="atLeast"/>
          <w:jc w:val="center"/>
        </w:trPr>
        <w:tc>
          <w:tcPr>
            <w:tcW w:w="690" w:type="dxa"/>
            <w:vMerge w:val="continue"/>
            <w:tcBorders>
              <w:top w:val="nil"/>
              <w:left w:val="single" w:color="auto" w:sz="8" w:space="0"/>
              <w:bottom w:val="single" w:color="auto" w:sz="4"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704" w:type="dxa"/>
            <w:vMerge w:val="continue"/>
            <w:tcBorders>
              <w:top w:val="nil"/>
              <w:left w:val="nil"/>
              <w:bottom w:val="single" w:color="auto" w:sz="4" w:space="0"/>
              <w:right w:val="single" w:color="auto" w:sz="8" w:space="0"/>
            </w:tcBorders>
            <w:tcMar>
              <w:top w:w="10" w:type="dxa"/>
              <w:left w:w="10" w:type="dxa"/>
              <w:right w:w="10" w:type="dxa"/>
            </w:tcMar>
            <w:vAlign w:val="center"/>
          </w:tcPr>
          <w:p>
            <w:pPr>
              <w:spacing w:line="300" w:lineRule="exact"/>
              <w:ind w:left="225" w:hanging="225"/>
              <w:rPr>
                <w:rFonts w:ascii="宋体" w:hAnsi="宋体" w:cs="宋体"/>
                <w:sz w:val="15"/>
                <w:szCs w:val="15"/>
              </w:rPr>
            </w:pPr>
          </w:p>
        </w:tc>
        <w:tc>
          <w:tcPr>
            <w:tcW w:w="960" w:type="dxa"/>
            <w:tcBorders>
              <w:top w:val="nil"/>
              <w:left w:val="nil"/>
              <w:bottom w:val="single" w:color="auto" w:sz="4"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社会公众</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或服务对</w:t>
            </w:r>
          </w:p>
          <w:p>
            <w:pPr>
              <w:pStyle w:val="7"/>
              <w:spacing w:before="0" w:beforeAutospacing="0" w:after="0" w:afterAutospacing="0" w:line="300" w:lineRule="exact"/>
              <w:jc w:val="center"/>
              <w:rPr>
                <w:rFonts w:ascii="宋体" w:hAnsi="宋体" w:cs="宋体"/>
                <w:sz w:val="21"/>
                <w:szCs w:val="21"/>
              </w:rPr>
            </w:pPr>
            <w:r>
              <w:rPr>
                <w:rFonts w:hint="eastAsia" w:ascii="宋体" w:hAnsi="宋体" w:cs="宋体"/>
                <w:sz w:val="21"/>
                <w:szCs w:val="21"/>
              </w:rPr>
              <w:t>象满意度（5分）</w:t>
            </w:r>
          </w:p>
        </w:tc>
        <w:tc>
          <w:tcPr>
            <w:tcW w:w="4783" w:type="dxa"/>
            <w:tcBorders>
              <w:top w:val="nil"/>
              <w:left w:val="nil"/>
              <w:bottom w:val="single" w:color="auto" w:sz="4"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sz w:val="21"/>
                <w:szCs w:val="21"/>
              </w:rPr>
            </w:pPr>
            <w:r>
              <w:rPr>
                <w:rFonts w:hint="eastAsia" w:ascii="宋体" w:hAnsi="宋体" w:cs="宋体"/>
                <w:sz w:val="21"/>
                <w:szCs w:val="21"/>
              </w:rPr>
              <w:t>社会公众或部门的服务对象对部门履职效果的满意程度。</w:t>
            </w:r>
          </w:p>
        </w:tc>
        <w:tc>
          <w:tcPr>
            <w:tcW w:w="6382" w:type="dxa"/>
            <w:tcBorders>
              <w:top w:val="nil"/>
              <w:left w:val="nil"/>
              <w:bottom w:val="single" w:color="auto" w:sz="4"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both"/>
              <w:rPr>
                <w:rFonts w:ascii="宋体" w:hAnsi="宋体" w:cs="宋体"/>
                <w:sz w:val="21"/>
                <w:szCs w:val="21"/>
              </w:rPr>
            </w:pPr>
            <w:r>
              <w:rPr>
                <w:rFonts w:hint="eastAsia" w:ascii="宋体" w:hAnsi="宋体"/>
                <w:sz w:val="18"/>
                <w:szCs w:val="18"/>
              </w:rPr>
              <w:t>90%</w:t>
            </w:r>
            <w:r>
              <w:rPr>
                <w:rFonts w:hint="eastAsia" w:ascii="宋体" w:hAnsi="宋体" w:cs="宋体"/>
                <w:sz w:val="21"/>
                <w:szCs w:val="21"/>
              </w:rPr>
              <w:t>（含）以上计5分；80%（含）-90%，计4分；70%（含）-80%，计3分；60%（含）-70%，计2分；低于60%计0分。</w:t>
            </w:r>
          </w:p>
        </w:tc>
        <w:tc>
          <w:tcPr>
            <w:tcW w:w="768" w:type="dxa"/>
            <w:tcBorders>
              <w:top w:val="nil"/>
              <w:left w:val="nil"/>
              <w:bottom w:val="single" w:color="auto" w:sz="4" w:space="0"/>
              <w:right w:val="single" w:color="auto" w:sz="8" w:space="0"/>
            </w:tcBorders>
            <w:vAlign w:val="center"/>
          </w:tcPr>
          <w:p>
            <w:pPr>
              <w:pStyle w:val="7"/>
              <w:tabs>
                <w:tab w:val="left" w:pos="2604"/>
              </w:tabs>
              <w:spacing w:before="0" w:beforeAutospacing="0" w:after="0" w:afterAutospacing="0" w:line="300" w:lineRule="exact"/>
              <w:jc w:val="center"/>
            </w:pPr>
            <w:r>
              <w:rPr>
                <w:rFonts w:hint="eastAsia"/>
              </w:rPr>
              <w:t>5</w:t>
            </w:r>
          </w:p>
        </w:tc>
      </w:tr>
      <w:tr>
        <w:tblPrEx>
          <w:tblCellMar>
            <w:top w:w="0" w:type="dxa"/>
            <w:left w:w="0" w:type="dxa"/>
            <w:bottom w:w="0" w:type="dxa"/>
            <w:right w:w="0" w:type="dxa"/>
          </w:tblCellMar>
        </w:tblPrEx>
        <w:trPr>
          <w:trHeight w:val="608" w:hRule="atLeast"/>
          <w:jc w:val="center"/>
        </w:trPr>
        <w:tc>
          <w:tcPr>
            <w:tcW w:w="690" w:type="dxa"/>
            <w:tcBorders>
              <w:top w:val="single" w:color="auto" w:sz="4" w:space="0"/>
              <w:left w:val="single" w:color="auto" w:sz="4" w:space="0"/>
              <w:bottom w:val="single" w:color="auto" w:sz="4" w:space="0"/>
              <w:right w:val="single" w:color="auto" w:sz="8" w:space="0"/>
            </w:tcBorders>
            <w:vAlign w:val="center"/>
          </w:tcPr>
          <w:p>
            <w:pPr>
              <w:pStyle w:val="7"/>
              <w:spacing w:before="0" w:beforeAutospacing="0" w:after="0" w:afterAutospacing="0" w:line="300" w:lineRule="exact"/>
              <w:jc w:val="center"/>
              <w:rPr>
                <w:rFonts w:ascii="宋体" w:hAnsi="宋体" w:cs="宋体"/>
                <w:b/>
                <w:bCs/>
                <w:sz w:val="21"/>
                <w:szCs w:val="21"/>
              </w:rPr>
            </w:pPr>
            <w:r>
              <w:rPr>
                <w:rFonts w:hint="eastAsia" w:ascii="宋体" w:hAnsi="宋体" w:cs="宋体"/>
                <w:b/>
                <w:bCs/>
                <w:sz w:val="21"/>
                <w:szCs w:val="21"/>
              </w:rPr>
              <w:t>总分</w:t>
            </w:r>
          </w:p>
        </w:tc>
        <w:tc>
          <w:tcPr>
            <w:tcW w:w="704" w:type="dxa"/>
            <w:tcBorders>
              <w:top w:val="single" w:color="auto" w:sz="4" w:space="0"/>
              <w:left w:val="nil"/>
              <w:bottom w:val="single" w:color="auto" w:sz="4" w:space="0"/>
              <w:right w:val="single" w:color="auto" w:sz="8" w:space="0"/>
            </w:tcBorders>
            <w:vAlign w:val="center"/>
          </w:tcPr>
          <w:p>
            <w:pPr>
              <w:pStyle w:val="7"/>
              <w:spacing w:before="0" w:beforeAutospacing="0" w:after="0" w:afterAutospacing="0" w:line="300" w:lineRule="exact"/>
              <w:jc w:val="center"/>
              <w:rPr>
                <w:rFonts w:ascii="宋体" w:hAnsi="宋体" w:cs="宋体"/>
                <w:b/>
                <w:bCs/>
                <w:sz w:val="21"/>
                <w:szCs w:val="21"/>
              </w:rPr>
            </w:pPr>
            <w:r>
              <w:rPr>
                <w:rFonts w:hint="eastAsia" w:ascii="宋体" w:hAnsi="宋体" w:cs="宋体"/>
                <w:b/>
                <w:bCs/>
                <w:sz w:val="21"/>
                <w:szCs w:val="21"/>
              </w:rPr>
              <w:t>100</w:t>
            </w:r>
          </w:p>
        </w:tc>
        <w:tc>
          <w:tcPr>
            <w:tcW w:w="960" w:type="dxa"/>
            <w:tcBorders>
              <w:top w:val="single" w:color="auto" w:sz="4" w:space="0"/>
              <w:left w:val="nil"/>
              <w:bottom w:val="single" w:color="auto" w:sz="4"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center"/>
              <w:rPr>
                <w:rFonts w:ascii="宋体" w:hAnsi="宋体" w:cs="宋体"/>
                <w:b/>
                <w:bCs/>
                <w:sz w:val="21"/>
                <w:szCs w:val="21"/>
              </w:rPr>
            </w:pPr>
            <w:r>
              <w:rPr>
                <w:rFonts w:hint="eastAsia" w:ascii="宋体" w:hAnsi="宋体" w:cs="宋体"/>
                <w:b/>
                <w:bCs/>
                <w:sz w:val="21"/>
                <w:szCs w:val="21"/>
              </w:rPr>
              <w:t>100　</w:t>
            </w:r>
          </w:p>
        </w:tc>
        <w:tc>
          <w:tcPr>
            <w:tcW w:w="4783" w:type="dxa"/>
            <w:tcBorders>
              <w:top w:val="single" w:color="auto" w:sz="4" w:space="0"/>
              <w:left w:val="nil"/>
              <w:bottom w:val="single" w:color="auto" w:sz="4" w:space="0"/>
              <w:right w:val="single" w:color="auto" w:sz="8" w:space="0"/>
            </w:tcBorders>
            <w:tcMar>
              <w:top w:w="10" w:type="dxa"/>
              <w:left w:w="10" w:type="dxa"/>
              <w:right w:w="10" w:type="dxa"/>
            </w:tcMar>
            <w:vAlign w:val="center"/>
          </w:tcPr>
          <w:p>
            <w:pPr>
              <w:pStyle w:val="7"/>
              <w:tabs>
                <w:tab w:val="left" w:pos="2604"/>
              </w:tabs>
              <w:spacing w:before="0" w:beforeAutospacing="0" w:after="0" w:afterAutospacing="0" w:line="300" w:lineRule="exact"/>
              <w:jc w:val="both"/>
              <w:rPr>
                <w:rFonts w:ascii="宋体" w:hAnsi="宋体" w:cs="宋体"/>
                <w:b/>
                <w:bCs/>
                <w:sz w:val="21"/>
                <w:szCs w:val="21"/>
              </w:rPr>
            </w:pPr>
            <w:r>
              <w:rPr>
                <w:rFonts w:hint="eastAsia" w:ascii="宋体" w:hAnsi="宋体" w:cs="宋体"/>
                <w:b/>
                <w:bCs/>
                <w:sz w:val="21"/>
                <w:szCs w:val="21"/>
              </w:rPr>
              <w:t> </w:t>
            </w:r>
          </w:p>
        </w:tc>
        <w:tc>
          <w:tcPr>
            <w:tcW w:w="6382" w:type="dxa"/>
            <w:tcBorders>
              <w:top w:val="single" w:color="auto" w:sz="4" w:space="0"/>
              <w:left w:val="nil"/>
              <w:bottom w:val="single" w:color="auto" w:sz="4" w:space="0"/>
              <w:right w:val="single" w:color="auto" w:sz="8" w:space="0"/>
            </w:tcBorders>
            <w:tcMar>
              <w:top w:w="10" w:type="dxa"/>
              <w:left w:w="10" w:type="dxa"/>
              <w:right w:w="10" w:type="dxa"/>
            </w:tcMar>
            <w:vAlign w:val="center"/>
          </w:tcPr>
          <w:p>
            <w:pPr>
              <w:pStyle w:val="7"/>
              <w:spacing w:before="0" w:beforeAutospacing="0" w:after="0" w:afterAutospacing="0" w:line="300" w:lineRule="exact"/>
              <w:jc w:val="both"/>
              <w:rPr>
                <w:rFonts w:ascii="宋体" w:hAnsi="宋体" w:cs="宋体"/>
                <w:b/>
                <w:bCs/>
                <w:sz w:val="21"/>
                <w:szCs w:val="21"/>
              </w:rPr>
            </w:pPr>
            <w:r>
              <w:rPr>
                <w:rFonts w:hint="eastAsia" w:ascii="宋体" w:hAnsi="宋体" w:cs="宋体"/>
                <w:b/>
                <w:bCs/>
                <w:sz w:val="21"/>
                <w:szCs w:val="21"/>
              </w:rPr>
              <w:t> </w:t>
            </w:r>
          </w:p>
        </w:tc>
        <w:tc>
          <w:tcPr>
            <w:tcW w:w="768" w:type="dxa"/>
            <w:tcBorders>
              <w:top w:val="single" w:color="auto" w:sz="4" w:space="0"/>
              <w:left w:val="nil"/>
              <w:bottom w:val="single" w:color="auto" w:sz="4" w:space="0"/>
              <w:right w:val="single" w:color="auto" w:sz="4" w:space="0"/>
            </w:tcBorders>
            <w:vAlign w:val="center"/>
          </w:tcPr>
          <w:p>
            <w:pPr>
              <w:pStyle w:val="7"/>
              <w:tabs>
                <w:tab w:val="left" w:pos="2604"/>
              </w:tabs>
              <w:spacing w:before="0" w:beforeAutospacing="0" w:after="0" w:afterAutospacing="0" w:line="300" w:lineRule="exact"/>
              <w:jc w:val="center"/>
              <w:rPr>
                <w:rFonts w:hint="eastAsia" w:eastAsia="宋体"/>
                <w:b/>
                <w:bCs/>
                <w:lang w:val="en-US" w:eastAsia="zh-CN"/>
              </w:rPr>
            </w:pPr>
            <w:r>
              <w:rPr>
                <w:rFonts w:hint="eastAsia"/>
                <w:b/>
                <w:bCs/>
                <w:lang w:val="en-US" w:eastAsia="zh-CN"/>
              </w:rPr>
              <w:t>94</w:t>
            </w:r>
          </w:p>
        </w:tc>
      </w:tr>
    </w:tbl>
    <w:p>
      <w:pPr>
        <w:spacing w:line="560" w:lineRule="exact"/>
        <w:ind w:left="0" w:firstLine="0" w:firstLineChars="0"/>
      </w:pP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191" w:right="1417" w:bottom="964" w:left="1417" w:header="851" w:footer="992" w:gutter="0"/>
      <w:pgNumType w:fmt="numberInDash" w:start="1"/>
      <w:cols w:space="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hanging="315"/>
      </w:pPr>
      <w:r>
        <w:separator/>
      </w:r>
    </w:p>
  </w:endnote>
  <w:endnote w:type="continuationSeparator" w:id="1">
    <w:p>
      <w:pPr>
        <w:spacing w:line="240" w:lineRule="auto"/>
        <w:ind w:hanging="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altName w:val="宋体"/>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70" w:hanging="27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ind w:left="420" w:hanging="420"/>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- 2 -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5"/>
                      <w:ind w:left="420" w:hanging="420"/>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- 2 -</w:t>
                    </w:r>
                    <w:r>
                      <w:rPr>
                        <w:rFonts w:hint="eastAsia" w:ascii="仿宋" w:hAnsi="仿宋" w:eastAsia="仿宋" w:cs="仿宋"/>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70" w:hanging="27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70" w:hanging="27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hanging="315"/>
      </w:pPr>
      <w:r>
        <w:separator/>
      </w:r>
    </w:p>
  </w:footnote>
  <w:footnote w:type="continuationSeparator" w:id="1">
    <w:p>
      <w:pPr>
        <w:spacing w:line="240" w:lineRule="auto"/>
        <w:ind w:hanging="31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left="270" w:hanging="2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70" w:hanging="27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70" w:hanging="27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attachedTemplate r:id="rId1"/>
  <w:documentProtection w:enforcement="0"/>
  <w:defaultTabStop w:val="420"/>
  <w:drawingGridVerticalSpacing w:val="159"/>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YzYzYzVjMTkxMTE2MGJlOTUwODEyMzY5OTM1MDUifQ=="/>
  </w:docVars>
  <w:rsids>
    <w:rsidRoot w:val="256F1F22"/>
    <w:rsid w:val="00452455"/>
    <w:rsid w:val="005F295B"/>
    <w:rsid w:val="00DE2B02"/>
    <w:rsid w:val="00ED1CCC"/>
    <w:rsid w:val="04244651"/>
    <w:rsid w:val="04BB46D5"/>
    <w:rsid w:val="04C16632"/>
    <w:rsid w:val="04D422E5"/>
    <w:rsid w:val="06667295"/>
    <w:rsid w:val="069A1865"/>
    <w:rsid w:val="069C6AA4"/>
    <w:rsid w:val="06C06FE4"/>
    <w:rsid w:val="076E6986"/>
    <w:rsid w:val="085F4C98"/>
    <w:rsid w:val="0873342F"/>
    <w:rsid w:val="08B91064"/>
    <w:rsid w:val="08EB4048"/>
    <w:rsid w:val="0A944C32"/>
    <w:rsid w:val="0BD652DE"/>
    <w:rsid w:val="0C565C3A"/>
    <w:rsid w:val="0D050152"/>
    <w:rsid w:val="0E5B3718"/>
    <w:rsid w:val="0EF81846"/>
    <w:rsid w:val="0EFF72B3"/>
    <w:rsid w:val="0F3E7D8B"/>
    <w:rsid w:val="0F6E4719"/>
    <w:rsid w:val="0FD16D70"/>
    <w:rsid w:val="10820AC2"/>
    <w:rsid w:val="10BE7D76"/>
    <w:rsid w:val="11AC5582"/>
    <w:rsid w:val="12C540A4"/>
    <w:rsid w:val="13BF10B7"/>
    <w:rsid w:val="156C48B5"/>
    <w:rsid w:val="15CA1AD9"/>
    <w:rsid w:val="183B7A33"/>
    <w:rsid w:val="186E77B4"/>
    <w:rsid w:val="191B25EC"/>
    <w:rsid w:val="1AD06187"/>
    <w:rsid w:val="1C011DDC"/>
    <w:rsid w:val="1CE55F84"/>
    <w:rsid w:val="1CFA2F03"/>
    <w:rsid w:val="1DB8760F"/>
    <w:rsid w:val="1DBC2D40"/>
    <w:rsid w:val="1E5E5F74"/>
    <w:rsid w:val="216109BE"/>
    <w:rsid w:val="21EE2A3E"/>
    <w:rsid w:val="2262338E"/>
    <w:rsid w:val="22BC25F3"/>
    <w:rsid w:val="23291AB2"/>
    <w:rsid w:val="23E02EC8"/>
    <w:rsid w:val="243056DF"/>
    <w:rsid w:val="24480B6C"/>
    <w:rsid w:val="24726200"/>
    <w:rsid w:val="24F84614"/>
    <w:rsid w:val="250577D3"/>
    <w:rsid w:val="25601439"/>
    <w:rsid w:val="256F1F22"/>
    <w:rsid w:val="25CC70F4"/>
    <w:rsid w:val="26B60582"/>
    <w:rsid w:val="27641F69"/>
    <w:rsid w:val="28475109"/>
    <w:rsid w:val="28F05C33"/>
    <w:rsid w:val="29EA6597"/>
    <w:rsid w:val="2A9535E1"/>
    <w:rsid w:val="2BD811E4"/>
    <w:rsid w:val="2BFF2324"/>
    <w:rsid w:val="2D5205EF"/>
    <w:rsid w:val="2DA32F2A"/>
    <w:rsid w:val="2E4A26CB"/>
    <w:rsid w:val="2EC46149"/>
    <w:rsid w:val="306306AF"/>
    <w:rsid w:val="309C0F4A"/>
    <w:rsid w:val="313853B1"/>
    <w:rsid w:val="313E5067"/>
    <w:rsid w:val="3298706E"/>
    <w:rsid w:val="32B41A4C"/>
    <w:rsid w:val="32B53D08"/>
    <w:rsid w:val="3405508D"/>
    <w:rsid w:val="36925692"/>
    <w:rsid w:val="38851F2C"/>
    <w:rsid w:val="393339E7"/>
    <w:rsid w:val="39E11F89"/>
    <w:rsid w:val="3A9850C6"/>
    <w:rsid w:val="3B173B93"/>
    <w:rsid w:val="3C796FF6"/>
    <w:rsid w:val="3D2449D3"/>
    <w:rsid w:val="3E944F9D"/>
    <w:rsid w:val="4007525D"/>
    <w:rsid w:val="42E3436C"/>
    <w:rsid w:val="438A7152"/>
    <w:rsid w:val="47086401"/>
    <w:rsid w:val="48FE5F79"/>
    <w:rsid w:val="49235323"/>
    <w:rsid w:val="4945448D"/>
    <w:rsid w:val="49D61D5C"/>
    <w:rsid w:val="4E8E7FD6"/>
    <w:rsid w:val="4EEB5EFA"/>
    <w:rsid w:val="4F4E2E21"/>
    <w:rsid w:val="501F3295"/>
    <w:rsid w:val="50F74CDA"/>
    <w:rsid w:val="511977DA"/>
    <w:rsid w:val="53D71335"/>
    <w:rsid w:val="53F973EE"/>
    <w:rsid w:val="55A20ED7"/>
    <w:rsid w:val="572F6591"/>
    <w:rsid w:val="58612666"/>
    <w:rsid w:val="5942497E"/>
    <w:rsid w:val="59FC3B61"/>
    <w:rsid w:val="5A155C17"/>
    <w:rsid w:val="5A7C3590"/>
    <w:rsid w:val="5A8936C1"/>
    <w:rsid w:val="5D096A1C"/>
    <w:rsid w:val="5D334479"/>
    <w:rsid w:val="5D571AD6"/>
    <w:rsid w:val="5DD11312"/>
    <w:rsid w:val="5E042B4C"/>
    <w:rsid w:val="5F584C2E"/>
    <w:rsid w:val="5FFE357C"/>
    <w:rsid w:val="604A39D0"/>
    <w:rsid w:val="60636DBE"/>
    <w:rsid w:val="606D06EE"/>
    <w:rsid w:val="62C4754B"/>
    <w:rsid w:val="63BB6E40"/>
    <w:rsid w:val="63BE26FA"/>
    <w:rsid w:val="66903D43"/>
    <w:rsid w:val="674326AD"/>
    <w:rsid w:val="68BD28A6"/>
    <w:rsid w:val="69284972"/>
    <w:rsid w:val="6A320100"/>
    <w:rsid w:val="6A8F6074"/>
    <w:rsid w:val="6CA17B7C"/>
    <w:rsid w:val="6D012216"/>
    <w:rsid w:val="6D464EAB"/>
    <w:rsid w:val="6D535020"/>
    <w:rsid w:val="6DD43AF3"/>
    <w:rsid w:val="6E1D0386"/>
    <w:rsid w:val="6E486297"/>
    <w:rsid w:val="6E77721A"/>
    <w:rsid w:val="6FFE21F5"/>
    <w:rsid w:val="70497B7F"/>
    <w:rsid w:val="713558F2"/>
    <w:rsid w:val="71FD51A4"/>
    <w:rsid w:val="725142E6"/>
    <w:rsid w:val="745A0693"/>
    <w:rsid w:val="75324DCC"/>
    <w:rsid w:val="75CF3362"/>
    <w:rsid w:val="75EC187A"/>
    <w:rsid w:val="764D4A70"/>
    <w:rsid w:val="769E3230"/>
    <w:rsid w:val="76EC5594"/>
    <w:rsid w:val="773206C9"/>
    <w:rsid w:val="777A2ACC"/>
    <w:rsid w:val="78AB66C1"/>
    <w:rsid w:val="79CC7B80"/>
    <w:rsid w:val="79CE0B6C"/>
    <w:rsid w:val="7A076185"/>
    <w:rsid w:val="7A6F681A"/>
    <w:rsid w:val="7AA74F1C"/>
    <w:rsid w:val="7AE73893"/>
    <w:rsid w:val="7C823389"/>
    <w:rsid w:val="7D75362C"/>
    <w:rsid w:val="7D8F4B55"/>
    <w:rsid w:val="7DCB3D8F"/>
    <w:rsid w:val="7EBC66CB"/>
    <w:rsid w:val="7F1A1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ind w:left="150" w:hanging="150" w:hangingChars="15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100" w:beforeAutospacing="1" w:after="100" w:afterAutospacing="1" w:line="240" w:lineRule="auto"/>
      <w:ind w:left="0" w:firstLine="0" w:firstLineChars="0"/>
      <w:jc w:val="left"/>
      <w:outlineLvl w:val="0"/>
    </w:pPr>
    <w:rPr>
      <w:rFonts w:hint="eastAsia" w:ascii="宋体" w:hAnsi="宋体"/>
      <w:b/>
      <w:kern w:val="44"/>
      <w:sz w:val="48"/>
      <w:szCs w:val="48"/>
    </w:rPr>
  </w:style>
  <w:style w:type="paragraph" w:styleId="3">
    <w:name w:val="heading 2"/>
    <w:basedOn w:val="1"/>
    <w:next w:val="1"/>
    <w:qFormat/>
    <w:uiPriority w:val="0"/>
    <w:pPr>
      <w:spacing w:before="100" w:beforeAutospacing="1" w:after="100" w:afterAutospacing="1" w:line="240" w:lineRule="auto"/>
      <w:ind w:left="0" w:firstLine="0" w:firstLineChars="0"/>
      <w:jc w:val="left"/>
      <w:outlineLvl w:val="1"/>
    </w:pPr>
    <w:rPr>
      <w:rFonts w:hint="eastAsia" w:ascii="宋体" w:hAnsi="宋体"/>
      <w:b/>
      <w:kern w:val="0"/>
      <w:sz w:val="36"/>
      <w:szCs w:val="36"/>
    </w:rPr>
  </w:style>
  <w:style w:type="paragraph" w:styleId="4">
    <w:name w:val="heading 3"/>
    <w:basedOn w:val="1"/>
    <w:next w:val="1"/>
    <w:qFormat/>
    <w:uiPriority w:val="0"/>
    <w:pPr>
      <w:spacing w:before="100" w:beforeAutospacing="1" w:after="100" w:afterAutospacing="1" w:line="240" w:lineRule="auto"/>
      <w:ind w:left="0" w:firstLine="0" w:firstLineChars="0"/>
      <w:jc w:val="left"/>
      <w:outlineLvl w:val="2"/>
    </w:pPr>
    <w:rPr>
      <w:rFonts w:hint="eastAsia" w:ascii="宋体" w:hAnsi="宋体"/>
      <w:b/>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spacing w:line="240" w:lineRule="atLeast"/>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basedOn w:val="1"/>
    <w:qFormat/>
    <w:uiPriority w:val="0"/>
    <w:pPr>
      <w:spacing w:before="100" w:beforeAutospacing="1" w:after="100" w:afterAutospacing="1" w:line="240" w:lineRule="auto"/>
      <w:ind w:left="0" w:firstLine="0" w:firstLineChars="0"/>
      <w:jc w:val="left"/>
    </w:pPr>
    <w:rPr>
      <w:kern w:val="0"/>
      <w:sz w:val="24"/>
      <w:szCs w:val="24"/>
    </w:rPr>
  </w:style>
  <w:style w:type="character" w:styleId="10">
    <w:name w:val="page number"/>
    <w:basedOn w:val="9"/>
    <w:unhideWhenUsed/>
    <w:qFormat/>
    <w:uiPriority w:val="99"/>
  </w:style>
  <w:style w:type="character" w:styleId="11">
    <w:name w:val="Hyperlink"/>
    <w:basedOn w:val="9"/>
    <w:unhideWhenUsed/>
    <w:qFormat/>
    <w:uiPriority w:val="99"/>
    <w:rPr>
      <w:color w:val="333333"/>
      <w:u w:val="none"/>
    </w:rPr>
  </w:style>
  <w:style w:type="paragraph" w:customStyle="1" w:styleId="12">
    <w:name w:val="Default"/>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PC-20180927ZUYQ\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4</Pages>
  <Words>3613</Words>
  <Characters>3752</Characters>
  <Lines>28</Lines>
  <Paragraphs>8</Paragraphs>
  <TotalTime>15</TotalTime>
  <ScaleCrop>false</ScaleCrop>
  <LinksUpToDate>false</LinksUpToDate>
  <CharactersWithSpaces>3755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2020-12-10T04:59:00Z</dcterms:created>
  <dc:creator>冬子</dc:creator>
  <cp:lastModifiedBy>Administrator</cp:lastModifiedBy>
  <cp:lastPrinted>2019-04-18T00:41:00Z</cp:lastPrinted>
  <dcterms:modified xsi:type="dcterms:W3CDTF">2022-10-13T07:06:18Z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96B17CFCDBB24DCFA028052DACE7D566</vt:lpwstr>
  </property>
</Properties>
</file>