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0" w:hanging="48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40" w:hanging="54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新邵县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自然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资源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行政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执法大队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540" w:hanging="54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年度部门整体支出绩效自评报告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82" w:hanging="482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部门概况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新邵县自然资源行政执法大队为新邵县自然资源局二级机构，属财政全额拨款的参公管理单位，内设综合股、土地执法股、矿产执法股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3个股室。核定事业编制17人，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实际人数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人（其中，在编在岗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人，机构改革转隶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人，抽调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人，劳务派遣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人），小车编制数0台，实际0台。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主要工作职责。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负责对本单位和个人执行和遵守土地、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矿产、城乡规划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法律法规情况依法进行检查；对违反土地、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矿产、城乡规划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法律法规的行为进行调查；对正在进行的土地、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矿产、城乡规划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违法活动进行制止。对土地、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矿产、城乡规划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违法行为依法实施行政处罚和行政处理。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狠抓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土地矿产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卫片执法监督检查工作。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加大对典型案件的查处力度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认真开展打非治违工作。加大巡查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力度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，严厉打击非法采矿行为。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积极完成全面推进矿山超深越界三年专项整治工作任务。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认真完成上级交给的其它工作任务。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15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二、部门整体支出规模、使用方向和内容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（一）年度预算收支情况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1.年初预算收支</w:t>
      </w:r>
    </w:p>
    <w:tbl>
      <w:tblPr>
        <w:tblStyle w:val="6"/>
        <w:tblpPr w:leftFromText="180" w:rightFromText="180" w:vertAnchor="text" w:horzAnchor="page" w:tblpXSpec="center" w:tblpY="442"/>
        <w:tblOverlap w:val="never"/>
        <w:tblW w:w="86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1736"/>
        <w:gridCol w:w="1624"/>
        <w:gridCol w:w="1344"/>
        <w:gridCol w:w="18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1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预算项目</w:t>
            </w:r>
          </w:p>
        </w:tc>
        <w:tc>
          <w:tcPr>
            <w:tcW w:w="3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3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较上年增减变化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年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年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金额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收入预算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123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123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其中：财政经费拨款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123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123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6" w:hanging="316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32"/>
                <w:lang w:bidi="ar"/>
              </w:rPr>
              <w:t>支出预算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123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123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right="126" w:rightChars="0" w:hanging="315" w:hangingChars="150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其中：基本支出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60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123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-63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-48.78%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lef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其中：项目支出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63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right="126" w:hanging="315"/>
              <w:jc w:val="right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63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新邵县自然资源行政执法大队于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2017年9月经县财政局批准成为独立核算单位，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年年初预算共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123万元，与2019年相比，无变化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2.财政预算整体支出使用范围、方向和内容</w:t>
      </w:r>
    </w:p>
    <w:tbl>
      <w:tblPr>
        <w:tblStyle w:val="6"/>
        <w:tblW w:w="8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1748"/>
        <w:gridCol w:w="1568"/>
        <w:gridCol w:w="2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支出项目</w:t>
            </w: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项目支出</w:t>
            </w:r>
          </w:p>
        </w:tc>
        <w:tc>
          <w:tcPr>
            <w:tcW w:w="2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工资福利支出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商品和服务支出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48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其他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15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合 计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63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123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（二）年度收支决算情况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1.年度收入决算</w:t>
      </w:r>
    </w:p>
    <w:tbl>
      <w:tblPr>
        <w:tblStyle w:val="6"/>
        <w:tblW w:w="7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693"/>
        <w:gridCol w:w="1904"/>
        <w:gridCol w:w="2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收入来源</w:t>
            </w:r>
          </w:p>
        </w:tc>
        <w:tc>
          <w:tcPr>
            <w:tcW w:w="1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差额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财政拨款收入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123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123.64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0.64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原因：预算调整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2.年度预算支出决算及结余</w:t>
      </w:r>
    </w:p>
    <w:tbl>
      <w:tblPr>
        <w:tblStyle w:val="6"/>
        <w:tblW w:w="7953" w:type="dxa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2268"/>
        <w:gridCol w:w="1984"/>
        <w:gridCol w:w="1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预算支出类别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1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增减金额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123.64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63.64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项目支出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-63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小计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123.64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0.64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原因：预算调整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160" w:firstLineChars="5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三、部门整体支出管理及使用情况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</w:pPr>
      <w:bookmarkStart w:id="0" w:name="_Toc419142208"/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（一）基本支出管理</w:t>
      </w:r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1、基本支出总额使用和管理</w:t>
      </w:r>
    </w:p>
    <w:tbl>
      <w:tblPr>
        <w:tblStyle w:val="6"/>
        <w:tblW w:w="81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1666"/>
        <w:gridCol w:w="1604"/>
        <w:gridCol w:w="24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 预决算支出项目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2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节约/超支金额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工资福利支出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34.81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34.81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商品和服务支出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60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88.84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28.83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对个人和家庭的补助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60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123.64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63.64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2、基本支出中各费用明细支出管理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（1）工资福利支出</w:t>
      </w:r>
    </w:p>
    <w:tbl>
      <w:tblPr>
        <w:tblStyle w:val="6"/>
        <w:tblW w:w="7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1134"/>
        <w:gridCol w:w="1134"/>
        <w:gridCol w:w="1417"/>
        <w:gridCol w:w="1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费用项目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节约/支金额</w:t>
            </w:r>
          </w:p>
        </w:tc>
        <w:tc>
          <w:tcPr>
            <w:tcW w:w="16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节约/超支率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基本工资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32"/>
                <w:lang w:val="en-US" w:eastAsia="zh-CN" w:bidi="ar"/>
              </w:rPr>
              <w:t>25.8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25.8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津贴补贴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4.7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4.7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奖金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伙食补助费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3.3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3.3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绩效工资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机关事业单位基本养老保险缴费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职业年金缴费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职工基本医疗保险缴费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公务员医疗补助缴费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其他社会保障缴费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住房公积金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医疗费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其他工资福利支出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4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34.8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34.8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我单位人员经费支出列入县自然资源局财政预算，但部分福利待遇在实际支出时局党组要求我们单位自行承担，导致我单位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工资福利支出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超预算。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（2）商品和服务支出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1398"/>
        <w:gridCol w:w="1537"/>
        <w:gridCol w:w="1429"/>
        <w:gridCol w:w="16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Header/>
          <w:jc w:val="center"/>
        </w:trPr>
        <w:tc>
          <w:tcPr>
            <w:tcW w:w="2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项目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增减额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增减率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办公费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15.4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2.7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印刷费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12.8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2.8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咨询费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6.8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1.8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36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手续费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电费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邮电费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取暖费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物业管理费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差旅费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6.67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因公出国（境）费用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维修（护）费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租赁费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13.3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3.3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33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会议费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培训费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0.3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公务接待费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专用材料费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被装购置费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专用燃料费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劳务费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委托业务费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工会经费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福利费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公务用车运行维护费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其他交通费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33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税金及附加费用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其他商品和服务支出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18.2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18.2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60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88.8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28.8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48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我单位在编制财政预算时，定额标准较低，预算细化不到位。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（3）对个人和家庭的补助</w:t>
      </w:r>
    </w:p>
    <w:tbl>
      <w:tblPr>
        <w:tblStyle w:val="6"/>
        <w:tblW w:w="83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538"/>
        <w:gridCol w:w="1560"/>
        <w:gridCol w:w="1875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支出项目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预算金额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决算金额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结余/超支金额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结余/超支率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离休费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退休费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退职（役）费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抚恤金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生活补助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救济费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医疗费补助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助学金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奖励金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个人农业生产补贴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其他对个人和家庭的补助支出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（二）“三公经费”支出使用和管理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" w:name="_Toc419142213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、“三公经费”预算执行</w:t>
      </w:r>
    </w:p>
    <w:tbl>
      <w:tblPr>
        <w:tblStyle w:val="6"/>
        <w:tblW w:w="84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065"/>
        <w:gridCol w:w="1125"/>
        <w:gridCol w:w="1005"/>
        <w:gridCol w:w="1170"/>
        <w:gridCol w:w="1149"/>
        <w:gridCol w:w="1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费用项目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本年预算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本年决算</w:t>
            </w:r>
          </w:p>
        </w:tc>
        <w:tc>
          <w:tcPr>
            <w:tcW w:w="243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结余/超支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项目支出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项目支出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基本支出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公务接待费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0.96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-0.04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公车运行维护费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公务车购置费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因公出国费用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6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0.96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-0.04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0" w:hanging="4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2、“三公经费”与上年度比较</w:t>
      </w:r>
    </w:p>
    <w:tbl>
      <w:tblPr>
        <w:tblStyle w:val="6"/>
        <w:tblW w:w="79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179"/>
        <w:gridCol w:w="1255"/>
        <w:gridCol w:w="1249"/>
        <w:gridCol w:w="2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费用项目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本年金额</w:t>
            </w:r>
          </w:p>
        </w:tc>
        <w:tc>
          <w:tcPr>
            <w:tcW w:w="1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上年金额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增减额</w:t>
            </w:r>
          </w:p>
        </w:tc>
        <w:tc>
          <w:tcPr>
            <w:tcW w:w="2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增减率%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公务接待费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0.96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0.77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0.19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公车运行维护费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公务车辆购置费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因公出国(境)费用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hanging="31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0.96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0.77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0.19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315" w:leftChars="0" w:hanging="315" w:hangingChars="15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32"/>
                <w:lang w:val="en-US" w:eastAsia="zh-CN" w:bidi="ar"/>
              </w:rPr>
              <w:t>25%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预算编制时未细化。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</w:rPr>
        <w:t>四、部门整体支出绩效评价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根据年度重点和日常工作安排，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国土资源执法监察大队在局党组的正确领导，相关股室、二级机构的大力支持和共同努力下，较好地完成了以下工作：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1.土地矿产卫片执法检查工作。全年共查处各类卫片执法检查发现的违法案件87宗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（含矿产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卫片执法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14宗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执收罚款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398.82万元。16宗涉及国家工作人员涉嫌违法违纪，已向县纪委监委提出行政处分建议，追究10人行政纪律处分；移送财政执收建筑物面积61360.84平方米。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土地督察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反馈问题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整改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</w:t>
      </w: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一是督促学校、卫生院等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民生设施用地及时完善手续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，已有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7宗地完成组卷报批工作；二是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不符合土地利用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/>
        </w:rPr>
        <w:t>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总体规划的地块，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/>
        </w:rPr>
        <w:t>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按照拆除复耕的方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cs/>
        </w:rPr>
        <w:t>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式进行整改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，督促涉地所属乡镇和部门对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11宗违法用地限期组织拆除复耕。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农村违法占地建房专项整治工作。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，全县共制止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农村违法占地建房行为82宗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，涉及土地面积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12.20亩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，其中耕地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4.75亩，基本农田2.53亩，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收缴罚没款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万余元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,强制拆除违法建筑物27宗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。二是强化函告职能。按照县委县政府的要求，及时将发现的国土资源违法案件以函的形式告知相关乡镇，并督促乡镇牵头组织联合执法，予以强制拆除。同时对在城市规划区内的违章建筑及时函告城市管理部门予以查处，确保了违法用地违章建设的发现、制止和查处不留死角。今年以来，共函告各乡镇国土违法案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宗，面积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14551.76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砂石场及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eastAsia="zh-CN"/>
        </w:rPr>
        <w:t>大棚房专项整治工作。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为深入贯彻落实县委、县政府的重要指示，推进全县取缔非法来料加工砂石场和堆砂场专项整治，我局已对全县的砂石料场进行了调查摸底，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截至目前，已完成砂石料场的现场核查、测量等基础工作，完成8家砂石料场的询问笔录等调查取证工作，对酿溪镇资滨社区肖家湾沙石场、鑫成砂石有限公司新田铺镇小水庙村沙石场作出了行政处罚决定，对新田铺镇晒谷滩村鸿运采沙场、红星采沙场制定了强制拆除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矿山超深越界监督检查三年专项行动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委托有测量资质的单位对全县61家矿山企业进行了测量，对存在超深越界或非法采矿违法行为的进行了立案查处，并根据省厅和市局要求，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对全县所有矿山企业建立了一矿一档，将每个矿山的相关资料及测量和处罚情况进行整理装档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通过检测，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4家矿山企业存在超深越界违法行为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，我局对这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4家矿山企业均进行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，4家矿山企业均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前面通过对部门整体支出情况的概述和实际支出情况的分析，部门整体支出绩效目标管理情况评价如下：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2" w:name="_Toc41914222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（一）经济性评价</w:t>
      </w:r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：查处国土资源违法案件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100多宗，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执收罚款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300余万元。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增加了政府财政收入、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规范了国土资源利用秩序。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（二）行政效能评价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一以国土资源部门的工作为中心，突出“</w:t>
      </w:r>
      <w:r>
        <w:rPr>
          <w:rFonts w:hint="eastAsia" w:ascii="仿宋_GB2312" w:hAnsi="仿宋_GB2312" w:eastAsia="仿宋_GB2312" w:cs="仿宋_GB2312"/>
          <w:bCs/>
          <w:color w:val="auto"/>
          <w:spacing w:val="15"/>
          <w:sz w:val="32"/>
          <w:szCs w:val="32"/>
        </w:rPr>
        <w:t>保障科学发展 保护耕地红线”的重点，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套行之有效的体制机制。以科学发展观为指导，增强保护资源和保障发展的实际能力，建立、落实一系列节约集约用地措施，管好用好每一寸土地，着力在节约集约用地上下功夫、见成效，以此推进土地利用方式和管理方式由粗放型向集约型转变。二以向上争取和向下服务为手段，按照“保护资源，保障发展，维护权益，服务社会”的总要求，发挥市场机制作用，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土地资源配置效率。三以依法行政为原则，严格土地违法问责，建立违反土地管理规定行政首长问责制，构建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土地执法的共同责任机制。改进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监督手段，实现“天上看、网上管、地上查”。保持专项督察力度，加强对突发事件、重大事项的实地核查，建立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早发现、早制止和早处置的快速反应机制。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（三）项目产出及实现的社会效益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：制止和查处国土资源违法行为，保障国土资源管理法律法规有效实施，依法查处违法行为，没收违法所得，执收罚款。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（四）可持续性分析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国土资源执法监察是国土资源管理工作的法定职责和重要组成部分，是防止国家土地资产流失、维护土地管理和土地市场秩序、促进土地资源可持续利用的重要手段。加强国土资源执法监察工作具有十分重要的现实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（五）社会公众满意度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：社会公众对我县国土资源执法监察大队的工作满意度高。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（六）部门整体绩效得分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480" w:firstLineChars="15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一是资金使用效益有待进一步提高。二是绩效目标设立不够明确、细化和量化。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、改进意见及建议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基于本次部门整体支出绩效评价存在的问题，为以后提高部门整体支出绩效，提出以下相关建议：加强部门预算编制，且严格执行，增加完成率，减少调整和结余。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新邵县自然资源行政执法大队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2021年7月20日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315"/>
      </w:pPr>
      <w:r>
        <w:separator/>
      </w:r>
    </w:p>
  </w:endnote>
  <w:endnote w:type="continuationSeparator" w:id="1">
    <w:p>
      <w:pPr>
        <w:spacing w:line="240" w:lineRule="auto"/>
        <w:ind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315"/>
      </w:pPr>
      <w:r>
        <w:separator/>
      </w:r>
    </w:p>
  </w:footnote>
  <w:footnote w:type="continuationSeparator" w:id="1">
    <w:p>
      <w:pPr>
        <w:spacing w:line="240" w:lineRule="auto"/>
        <w:ind w:hanging="31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DE661"/>
    <w:multiLevelType w:val="singleLevel"/>
    <w:tmpl w:val="942DE6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72C917"/>
    <w:multiLevelType w:val="singleLevel"/>
    <w:tmpl w:val="4172C9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NDkxZjczODgxOWUzZWZiNDhmOGI2YTJiZDY5MTMifQ=="/>
  </w:docVars>
  <w:rsids>
    <w:rsidRoot w:val="15837BE1"/>
    <w:rsid w:val="02080200"/>
    <w:rsid w:val="036F2861"/>
    <w:rsid w:val="0B154155"/>
    <w:rsid w:val="0C4A2C00"/>
    <w:rsid w:val="0CD17586"/>
    <w:rsid w:val="1018632C"/>
    <w:rsid w:val="1163191B"/>
    <w:rsid w:val="12DD37CC"/>
    <w:rsid w:val="131871AE"/>
    <w:rsid w:val="15837BE1"/>
    <w:rsid w:val="17E8388C"/>
    <w:rsid w:val="18B050D4"/>
    <w:rsid w:val="198B5FDF"/>
    <w:rsid w:val="1BD34DE9"/>
    <w:rsid w:val="1D9C207D"/>
    <w:rsid w:val="233916D1"/>
    <w:rsid w:val="23FF74B9"/>
    <w:rsid w:val="254F11B1"/>
    <w:rsid w:val="28A874B3"/>
    <w:rsid w:val="29FE0C9E"/>
    <w:rsid w:val="2A90404F"/>
    <w:rsid w:val="2BE317D6"/>
    <w:rsid w:val="2CB945E9"/>
    <w:rsid w:val="2DB5754A"/>
    <w:rsid w:val="32EB7665"/>
    <w:rsid w:val="379954F6"/>
    <w:rsid w:val="39632AAD"/>
    <w:rsid w:val="3F137164"/>
    <w:rsid w:val="3FF529CF"/>
    <w:rsid w:val="417E29DD"/>
    <w:rsid w:val="41D9469F"/>
    <w:rsid w:val="456E5689"/>
    <w:rsid w:val="47764F4A"/>
    <w:rsid w:val="48A91434"/>
    <w:rsid w:val="4CF72097"/>
    <w:rsid w:val="4EEF282E"/>
    <w:rsid w:val="526A71B8"/>
    <w:rsid w:val="56CA3DE4"/>
    <w:rsid w:val="57793A20"/>
    <w:rsid w:val="5BFE0C09"/>
    <w:rsid w:val="5C5B3446"/>
    <w:rsid w:val="5D5D0AE3"/>
    <w:rsid w:val="63A95577"/>
    <w:rsid w:val="69154DF0"/>
    <w:rsid w:val="69D65C62"/>
    <w:rsid w:val="6E0531DE"/>
    <w:rsid w:val="6EFD4505"/>
    <w:rsid w:val="79853BE6"/>
    <w:rsid w:val="7BBA5AA9"/>
    <w:rsid w:val="7C1C640B"/>
    <w:rsid w:val="7D5D4F24"/>
    <w:rsid w:val="7F5A2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ind w:left="150" w:hanging="150" w:hanging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3380</Words>
  <Characters>3687</Characters>
  <Lines>0</Lines>
  <Paragraphs>0</Paragraphs>
  <TotalTime>9</TotalTime>
  <ScaleCrop>false</ScaleCrop>
  <LinksUpToDate>false</LinksUpToDate>
  <CharactersWithSpaces>3690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2019-04-19T06:54:00Z</dcterms:created>
  <dc:creator>圡八路</dc:creator>
  <cp:lastModifiedBy>user</cp:lastModifiedBy>
  <dcterms:modified xsi:type="dcterms:W3CDTF">2022-10-18T07:47:56Z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1B3DC2D3180A470F93893FA67D59A31C</vt:lpwstr>
  </property>
</Properties>
</file>