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hanging="54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中共新邵县委县政府发展研究中心</w:t>
      </w:r>
    </w:p>
    <w:p>
      <w:pPr>
        <w:keepNext w:val="0"/>
        <w:keepLines w:val="0"/>
        <w:pageBreakBefore w:val="0"/>
        <w:widowControl w:val="0"/>
        <w:kinsoku/>
        <w:wordWrap/>
        <w:overflowPunct/>
        <w:topLinePunct w:val="0"/>
        <w:autoSpaceDE/>
        <w:autoSpaceDN/>
        <w:bidi w:val="0"/>
        <w:adjustRightInd/>
        <w:snapToGrid/>
        <w:spacing w:line="640" w:lineRule="exact"/>
        <w:ind w:left="0" w:hanging="540"/>
        <w:jc w:val="center"/>
        <w:textAlignment w:val="auto"/>
        <w:rPr>
          <w:rFonts w:ascii="仿宋" w:hAnsi="仿宋" w:eastAsia="仿宋"/>
          <w:sz w:val="36"/>
          <w:szCs w:val="36"/>
        </w:rPr>
      </w:pPr>
      <w:r>
        <w:rPr>
          <w:rFonts w:hint="eastAsia" w:ascii="方正小标宋简体" w:hAnsi="方正小标宋简体" w:eastAsia="方正小标宋简体" w:cs="方正小标宋简体"/>
          <w:sz w:val="36"/>
          <w:szCs w:val="36"/>
        </w:rPr>
        <w:t>2020年度部门整体支出绩效自评报告</w:t>
      </w:r>
    </w:p>
    <w:p>
      <w:pPr>
        <w:numPr>
          <w:ilvl w:val="0"/>
          <w:numId w:val="1"/>
        </w:numPr>
        <w:adjustRightInd w:val="0"/>
        <w:snapToGrid w:val="0"/>
        <w:spacing w:line="600" w:lineRule="exact"/>
        <w:ind w:left="480" w:hanging="480"/>
        <w:outlineLvl w:val="0"/>
        <w:rPr>
          <w:rFonts w:hint="eastAsia" w:ascii="黑体" w:hAnsi="黑体" w:eastAsia="黑体" w:cs="黑体"/>
          <w:sz w:val="32"/>
          <w:szCs w:val="32"/>
        </w:rPr>
      </w:pPr>
      <w:r>
        <w:rPr>
          <w:rFonts w:hint="eastAsia" w:ascii="黑体" w:hAnsi="黑体" w:eastAsia="黑体" w:cs="黑体"/>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160" w:firstLineChars="50"/>
        <w:textAlignment w:val="auto"/>
        <w:rPr>
          <w:rFonts w:hint="eastAsia" w:eastAsia="仿宋_GB2312"/>
          <w:sz w:val="32"/>
        </w:rPr>
      </w:pPr>
      <w:r>
        <w:rPr>
          <w:rFonts w:hint="eastAsia" w:eastAsia="仿宋_GB2312"/>
          <w:sz w:val="32"/>
        </w:rPr>
        <w:t>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楷体_GB2312"/>
          <w:b/>
          <w:sz w:val="32"/>
          <w:szCs w:val="32"/>
        </w:rPr>
      </w:pPr>
      <w:r>
        <w:rPr>
          <w:rFonts w:hint="eastAsia" w:eastAsia="仿宋_GB2312"/>
          <w:sz w:val="32"/>
        </w:rPr>
        <w:t>中共新邵县委县政府发展研究中心编制人数15人，实际人数</w:t>
      </w:r>
      <w:r>
        <w:rPr>
          <w:rFonts w:hint="eastAsia" w:eastAsia="仿宋_GB2312"/>
          <w:sz w:val="32"/>
          <w:lang w:val="en-US" w:eastAsia="zh-CN"/>
        </w:rPr>
        <w:t>6</w:t>
      </w:r>
      <w:r>
        <w:rPr>
          <w:rFonts w:hint="eastAsia" w:eastAsia="仿宋_GB2312"/>
          <w:sz w:val="32"/>
        </w:rPr>
        <w:t>人（其中，在职</w:t>
      </w:r>
      <w:r>
        <w:rPr>
          <w:rFonts w:hint="eastAsia" w:eastAsia="仿宋_GB2312"/>
          <w:sz w:val="32"/>
          <w:lang w:val="en-US" w:eastAsia="zh-CN"/>
        </w:rPr>
        <w:t>6</w:t>
      </w:r>
      <w:r>
        <w:rPr>
          <w:rFonts w:hint="eastAsia" w:eastAsia="仿宋_GB2312"/>
          <w:sz w:val="32"/>
        </w:rPr>
        <w:t>人，离退休0人</w:t>
      </w:r>
      <w:r>
        <w:rPr>
          <w:rFonts w:hint="eastAsia" w:eastAsia="仿宋_GB2312"/>
          <w:sz w:val="32"/>
          <w:lang w:eastAsia="zh-CN"/>
        </w:rPr>
        <w:t>，</w:t>
      </w:r>
      <w:r>
        <w:rPr>
          <w:rFonts w:hint="eastAsia" w:eastAsia="仿宋_GB2312"/>
          <w:sz w:val="32"/>
          <w:lang w:val="en-US" w:eastAsia="zh-CN"/>
        </w:rPr>
        <w:t>编制外聘用0人</w:t>
      </w:r>
      <w:r>
        <w:rPr>
          <w:rFonts w:hint="eastAsia" w:eastAsia="仿宋_GB2312"/>
          <w:sz w:val="32"/>
        </w:rPr>
        <w:t>），遗属补助人数0人，小车编制数0台。</w:t>
      </w:r>
    </w:p>
    <w:p>
      <w:pPr>
        <w:keepNext w:val="0"/>
        <w:keepLines w:val="0"/>
        <w:pageBreakBefore w:val="0"/>
        <w:widowControl w:val="0"/>
        <w:kinsoku/>
        <w:wordWrap/>
        <w:overflowPunct/>
        <w:topLinePunct w:val="0"/>
        <w:autoSpaceDE/>
        <w:autoSpaceDN/>
        <w:bidi w:val="0"/>
        <w:adjustRightInd/>
        <w:snapToGrid/>
        <w:spacing w:line="600" w:lineRule="exact"/>
        <w:ind w:left="147" w:firstLine="643" w:firstLineChars="20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rPr>
        <w:t>（</w:t>
      </w:r>
      <w:r>
        <w:rPr>
          <w:rFonts w:hint="eastAsia" w:ascii="楷体_GB2312" w:hAnsi="楷体_GB2312" w:eastAsia="楷体_GB2312" w:cs="楷体_GB2312"/>
          <w:b/>
          <w:bCs/>
          <w:sz w:val="32"/>
          <w:lang w:val="en-US" w:eastAsia="zh-CN"/>
        </w:rPr>
        <w:t>一</w:t>
      </w:r>
      <w:r>
        <w:rPr>
          <w:rFonts w:hint="eastAsia" w:ascii="楷体_GB2312" w:hAnsi="楷体_GB2312" w:eastAsia="楷体_GB2312" w:cs="楷体_GB2312"/>
          <w:b/>
          <w:bCs/>
          <w:sz w:val="32"/>
        </w:rPr>
        <w:t>）机构设置。</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eastAsia="仿宋_GB2312"/>
          <w:sz w:val="32"/>
        </w:rPr>
      </w:pPr>
      <w:r>
        <w:rPr>
          <w:rFonts w:hint="eastAsia" w:eastAsia="仿宋_GB2312"/>
          <w:sz w:val="32"/>
        </w:rPr>
        <w:t>中共新邵县委县政府发展研究中心设下列</w:t>
      </w:r>
      <w:r>
        <w:rPr>
          <w:rFonts w:eastAsia="仿宋_GB2312"/>
          <w:sz w:val="32"/>
        </w:rPr>
        <w:fldChar w:fldCharType="begin"/>
      </w:r>
      <w:r>
        <w:rPr>
          <w:rFonts w:eastAsia="仿宋_GB2312"/>
          <w:sz w:val="32"/>
        </w:rPr>
        <w:instrText xml:space="preserve"> HYPERLINK "https://baike.so.com/doc/2915215-3076379.html" \t "_blank" </w:instrText>
      </w:r>
      <w:r>
        <w:rPr>
          <w:rFonts w:eastAsia="仿宋_GB2312"/>
          <w:sz w:val="32"/>
        </w:rPr>
        <w:fldChar w:fldCharType="separate"/>
      </w:r>
      <w:r>
        <w:rPr>
          <w:rFonts w:hint="eastAsia" w:eastAsia="仿宋_GB2312"/>
          <w:sz w:val="32"/>
        </w:rPr>
        <w:t>内设机构</w:t>
      </w:r>
      <w:r>
        <w:rPr>
          <w:rFonts w:hint="eastAsia" w:eastAsia="仿宋_GB2312"/>
          <w:sz w:val="32"/>
        </w:rPr>
        <w:fldChar w:fldCharType="end"/>
      </w:r>
      <w:r>
        <w:rPr>
          <w:rFonts w:hint="eastAsia" w:eastAsia="仿宋_GB2312"/>
          <w:sz w:val="32"/>
          <w:lang w:eastAsia="zh-CN"/>
        </w:rPr>
        <w:t>，为正股级：</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hint="eastAsia" w:eastAsia="仿宋_GB2312"/>
          <w:sz w:val="32"/>
          <w:lang w:eastAsia="zh-CN"/>
        </w:rPr>
      </w:pPr>
      <w:r>
        <w:rPr>
          <w:rFonts w:hint="eastAsia" w:eastAsia="仿宋_GB2312"/>
          <w:sz w:val="32"/>
          <w:lang w:val="en-US" w:eastAsia="zh-CN"/>
        </w:rPr>
        <w:t>1、</w:t>
      </w:r>
      <w:r>
        <w:rPr>
          <w:rFonts w:hint="eastAsia" w:eastAsia="仿宋_GB2312"/>
          <w:sz w:val="32"/>
          <w:lang w:eastAsia="zh-CN"/>
        </w:rPr>
        <w:t>办公室。负责本单位文电、机要、保密、档案、财务和人事、机构编制、退休人员服务、党建等工作。</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eastAsia="仿宋_GB2312"/>
          <w:sz w:val="32"/>
        </w:rPr>
      </w:pPr>
      <w:r>
        <w:rPr>
          <w:rFonts w:hint="eastAsia" w:eastAsia="仿宋_GB2312"/>
          <w:sz w:val="32"/>
          <w:lang w:val="en-US" w:eastAsia="zh-CN"/>
        </w:rPr>
        <w:t>2、</w:t>
      </w:r>
      <w:r>
        <w:rPr>
          <w:rFonts w:hint="eastAsia" w:eastAsia="仿宋_GB2312"/>
          <w:sz w:val="32"/>
        </w:rPr>
        <w:t>经济运行分析</w:t>
      </w:r>
      <w:r>
        <w:rPr>
          <w:rFonts w:hint="eastAsia" w:eastAsia="仿宋_GB2312"/>
          <w:sz w:val="32"/>
          <w:lang w:eastAsia="zh-CN"/>
        </w:rPr>
        <w:t>部。</w:t>
      </w:r>
      <w:r>
        <w:rPr>
          <w:rFonts w:hint="eastAsia" w:eastAsia="仿宋_GB2312"/>
          <w:sz w:val="32"/>
        </w:rPr>
        <w:t>负责全县经济运行及宏观经济形势的分析、监测、预测；综合研究中长期经济发展、跨区域经济发展和重大技术经济的战略与政策；接受委托参与或组织对有关部门和</w:t>
      </w:r>
      <w:r>
        <w:rPr>
          <w:rFonts w:hint="eastAsia" w:eastAsia="仿宋_GB2312"/>
          <w:sz w:val="32"/>
          <w:lang w:eastAsia="zh-CN"/>
        </w:rPr>
        <w:t>乡镇</w:t>
      </w:r>
      <w:r>
        <w:rPr>
          <w:rFonts w:hint="eastAsia" w:eastAsia="仿宋_GB2312"/>
          <w:sz w:val="32"/>
        </w:rPr>
        <w:t>拟定的中长期发展规划和政策措施提出咨询意见。</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eastAsia="仿宋_GB2312"/>
          <w:sz w:val="32"/>
        </w:rPr>
      </w:pPr>
      <w:r>
        <w:rPr>
          <w:rFonts w:hint="eastAsia" w:eastAsia="仿宋_GB2312"/>
          <w:sz w:val="32"/>
          <w:lang w:val="en-US" w:eastAsia="zh-CN"/>
        </w:rPr>
        <w:t>3、</w:t>
      </w:r>
      <w:r>
        <w:rPr>
          <w:rFonts w:hint="eastAsia" w:eastAsia="仿宋_GB2312"/>
          <w:sz w:val="32"/>
        </w:rPr>
        <w:t>产业经济研究</w:t>
      </w:r>
      <w:r>
        <w:rPr>
          <w:rFonts w:hint="eastAsia" w:eastAsia="仿宋_GB2312"/>
          <w:sz w:val="32"/>
          <w:lang w:eastAsia="zh-CN"/>
        </w:rPr>
        <w:t>部。</w:t>
      </w:r>
      <w:r>
        <w:rPr>
          <w:rFonts w:hint="eastAsia" w:eastAsia="仿宋_GB2312"/>
          <w:sz w:val="32"/>
        </w:rPr>
        <w:t>负责研究产业组织、产业结构、产业布局和产业政策、协调发展问题，研究促进产业结构优化的投资结构和投资政策，提出综合性的对策建议。</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eastAsia="仿宋_GB2312"/>
          <w:sz w:val="32"/>
        </w:rPr>
      </w:pPr>
      <w:r>
        <w:rPr>
          <w:rFonts w:hint="eastAsia" w:eastAsia="仿宋_GB2312"/>
          <w:sz w:val="32"/>
          <w:lang w:val="en-US" w:eastAsia="zh-CN"/>
        </w:rPr>
        <w:t>4、</w:t>
      </w:r>
      <w:r>
        <w:rPr>
          <w:rFonts w:hint="eastAsia" w:eastAsia="仿宋_GB2312"/>
          <w:sz w:val="32"/>
        </w:rPr>
        <w:t>社会发展研究</w:t>
      </w:r>
      <w:r>
        <w:rPr>
          <w:rFonts w:hint="eastAsia" w:eastAsia="仿宋_GB2312"/>
          <w:sz w:val="32"/>
          <w:lang w:eastAsia="zh-CN"/>
        </w:rPr>
        <w:t>部。</w:t>
      </w:r>
      <w:r>
        <w:rPr>
          <w:rFonts w:hint="eastAsia" w:eastAsia="仿宋_GB2312"/>
          <w:sz w:val="32"/>
        </w:rPr>
        <w:t>负责人力资源开发、</w:t>
      </w:r>
      <w:r>
        <w:rPr>
          <w:rFonts w:hint="eastAsia" w:eastAsia="仿宋_GB2312"/>
          <w:sz w:val="32"/>
          <w:lang w:eastAsia="zh-CN"/>
        </w:rPr>
        <w:t>教育、创业</w:t>
      </w:r>
      <w:r>
        <w:rPr>
          <w:rFonts w:hint="eastAsia" w:eastAsia="仿宋_GB2312"/>
          <w:sz w:val="32"/>
        </w:rPr>
        <w:t>就业、卫生健康、社会分配与社会保障、</w:t>
      </w:r>
      <w:r>
        <w:rPr>
          <w:rFonts w:hint="eastAsia" w:eastAsia="仿宋_GB2312"/>
          <w:sz w:val="32"/>
          <w:lang w:eastAsia="zh-CN"/>
        </w:rPr>
        <w:t>新型城镇化与乡村振兴、</w:t>
      </w:r>
      <w:r>
        <w:rPr>
          <w:rFonts w:hint="eastAsia" w:eastAsia="仿宋_GB2312"/>
          <w:sz w:val="32"/>
        </w:rPr>
        <w:t>生态环境保护和资源开发</w:t>
      </w:r>
      <w:r>
        <w:rPr>
          <w:rFonts w:hint="eastAsia" w:eastAsia="仿宋_GB2312"/>
          <w:sz w:val="32"/>
          <w:lang w:eastAsia="zh-CN"/>
        </w:rPr>
        <w:t>、可持续发展</w:t>
      </w:r>
      <w:r>
        <w:rPr>
          <w:rFonts w:hint="eastAsia" w:eastAsia="仿宋_GB2312"/>
          <w:sz w:val="32"/>
        </w:rPr>
        <w:t>等社会发展领域的调查研究、决策咨询、政策评估工作。</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综合调研</w:t>
      </w:r>
      <w:r>
        <w:rPr>
          <w:rFonts w:hint="eastAsia" w:ascii="仿宋_GB2312" w:hAnsi="仿宋_GB2312" w:eastAsia="仿宋_GB2312" w:cs="仿宋_GB2312"/>
          <w:kern w:val="2"/>
          <w:sz w:val="32"/>
          <w:szCs w:val="32"/>
          <w:lang w:eastAsia="zh-CN"/>
        </w:rPr>
        <w:t>部。</w:t>
      </w:r>
      <w:r>
        <w:rPr>
          <w:rFonts w:hint="eastAsia" w:ascii="仿宋_GB2312" w:hAnsi="仿宋_GB2312" w:eastAsia="仿宋_GB2312" w:cs="仿宋_GB2312"/>
          <w:sz w:val="32"/>
          <w:szCs w:val="32"/>
        </w:rPr>
        <w:t>负责</w:t>
      </w:r>
      <w:r>
        <w:rPr>
          <w:rFonts w:hint="eastAsia" w:ascii="仿宋_GB2312" w:hAnsi="仿宋_GB2312" w:eastAsia="仿宋_GB2312" w:cs="仿宋_GB2312"/>
          <w:kern w:val="2"/>
          <w:sz w:val="32"/>
          <w:szCs w:val="32"/>
        </w:rPr>
        <w:t>对涉及全县经济建设、社会发展和改革开放等全局性工作的重大课题组织调查研究，为县委、</w:t>
      </w:r>
      <w:r>
        <w:rPr>
          <w:rFonts w:ascii="仿宋_GB2312" w:hAnsi="仿宋_GB2312" w:eastAsia="仿宋_GB2312" w:cs="仿宋_GB2312"/>
          <w:kern w:val="2"/>
          <w:sz w:val="32"/>
          <w:szCs w:val="32"/>
        </w:rPr>
        <w:t>县政府</w:t>
      </w:r>
      <w:r>
        <w:rPr>
          <w:rFonts w:hint="eastAsia" w:ascii="仿宋_GB2312" w:hAnsi="仿宋_GB2312" w:eastAsia="仿宋_GB2312" w:cs="仿宋_GB2312"/>
          <w:kern w:val="2"/>
          <w:sz w:val="32"/>
          <w:szCs w:val="32"/>
        </w:rPr>
        <w:t>决策提供建议；承办</w:t>
      </w:r>
      <w:r>
        <w:rPr>
          <w:rFonts w:hint="eastAsia" w:ascii="仿宋_GB2312" w:hAnsi="仿宋_GB2312" w:eastAsia="仿宋_GB2312" w:cs="仿宋_GB2312"/>
          <w:sz w:val="32"/>
          <w:szCs w:val="32"/>
        </w:rPr>
        <w:t>县委、县政府交办的</w:t>
      </w:r>
      <w:r>
        <w:rPr>
          <w:rFonts w:hint="eastAsia" w:ascii="仿宋_GB2312" w:hAnsi="仿宋_GB2312" w:eastAsia="仿宋_GB2312" w:cs="仿宋_GB2312"/>
          <w:kern w:val="2"/>
          <w:sz w:val="32"/>
          <w:szCs w:val="32"/>
        </w:rPr>
        <w:t>其他调研信息服务。</w:t>
      </w:r>
    </w:p>
    <w:p>
      <w:pPr>
        <w:widowControl/>
        <w:spacing w:line="600" w:lineRule="exact"/>
        <w:ind w:firstLine="627" w:firstLineChars="196"/>
        <w:jc w:val="left"/>
        <w:rPr>
          <w:rFonts w:eastAsia="楷体_GB2312"/>
          <w:b/>
          <w:sz w:val="32"/>
          <w:szCs w:val="32"/>
        </w:rPr>
      </w:pPr>
      <w:r>
        <w:rPr>
          <w:rFonts w:hint="eastAsia" w:ascii="仿宋_GB2312" w:hAnsi="仿宋_GB2312" w:eastAsia="仿宋_GB2312" w:cs="仿宋_GB2312"/>
          <w:kern w:val="2"/>
          <w:sz w:val="32"/>
          <w:szCs w:val="32"/>
        </w:rPr>
        <w:t>中共新邵县委县政府发展研究中心</w:t>
      </w:r>
      <w:r>
        <w:rPr>
          <w:rFonts w:hint="eastAsia" w:ascii="仿宋_GB2312" w:hAnsi="仿宋_GB2312" w:eastAsia="仿宋_GB2312" w:cs="仿宋_GB2312"/>
          <w:kern w:val="2"/>
          <w:sz w:val="32"/>
          <w:szCs w:val="32"/>
          <w:lang w:eastAsia="zh-CN"/>
        </w:rPr>
        <w:t>核定</w:t>
      </w:r>
      <w:r>
        <w:rPr>
          <w:rFonts w:hint="eastAsia" w:ascii="仿宋_GB2312" w:hAnsi="仿宋_GB2312" w:eastAsia="仿宋_GB2312" w:cs="仿宋_GB2312"/>
          <w:kern w:val="2"/>
          <w:sz w:val="32"/>
          <w:szCs w:val="32"/>
        </w:rPr>
        <w:t>全额拨款事业编制</w:t>
      </w:r>
      <w:r>
        <w:rPr>
          <w:rFonts w:ascii="仿宋_GB2312" w:hAnsi="仿宋_GB2312" w:eastAsia="仿宋_GB2312" w:cs="仿宋_GB2312"/>
          <w:kern w:val="2"/>
          <w:sz w:val="32"/>
          <w:szCs w:val="32"/>
        </w:rPr>
        <w:t>15</w:t>
      </w:r>
      <w:r>
        <w:rPr>
          <w:rFonts w:hint="eastAsia" w:ascii="仿宋_GB2312" w:hAnsi="仿宋_GB2312" w:eastAsia="仿宋_GB2312" w:cs="仿宋_GB2312"/>
          <w:kern w:val="2"/>
          <w:sz w:val="32"/>
          <w:szCs w:val="32"/>
        </w:rPr>
        <w:t>名。其中</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主任</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名，副主任</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名，正股级领导职数</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rPr>
      </w:pPr>
      <w:r>
        <w:rPr>
          <w:rFonts w:eastAsia="楷体_GB2312"/>
          <w:b/>
          <w:sz w:val="32"/>
          <w:szCs w:val="32"/>
        </w:rPr>
        <w:t>（</w:t>
      </w:r>
      <w:r>
        <w:rPr>
          <w:rFonts w:hint="eastAsia" w:eastAsia="楷体_GB2312"/>
          <w:b/>
          <w:sz w:val="32"/>
          <w:szCs w:val="32"/>
          <w:lang w:val="en-US" w:eastAsia="zh-CN"/>
        </w:rPr>
        <w:t>二</w:t>
      </w:r>
      <w:r>
        <w:rPr>
          <w:rFonts w:eastAsia="楷体_GB2312"/>
          <w:b/>
          <w:sz w:val="32"/>
          <w:szCs w:val="32"/>
        </w:rPr>
        <w:t>）职能职责。</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hint="eastAsia" w:eastAsia="仿宋_GB2312"/>
          <w:sz w:val="32"/>
        </w:rPr>
      </w:pPr>
      <w:r>
        <w:rPr>
          <w:rFonts w:hint="eastAsia" w:eastAsia="仿宋_GB2312"/>
          <w:sz w:val="32"/>
          <w:lang w:val="en-US" w:eastAsia="zh-CN"/>
        </w:rPr>
        <w:t>1、</w:t>
      </w:r>
      <w:r>
        <w:rPr>
          <w:rFonts w:hint="eastAsia" w:eastAsia="仿宋_GB2312"/>
          <w:sz w:val="32"/>
        </w:rPr>
        <w:t>围绕全县经济社会发展和改革开放中有关全局性、综合性、战略性、长期性问题，开展跟踪研究和超前谋划，为县委、县政府提供建议和咨询意见；接受委托参与或组织对有关部门和乡镇拟定的中长期发展规划和政策措施提出意见和建议。</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hint="eastAsia" w:eastAsia="仿宋_GB2312"/>
          <w:sz w:val="32"/>
        </w:rPr>
      </w:pPr>
      <w:r>
        <w:rPr>
          <w:rFonts w:hint="eastAsia" w:eastAsia="仿宋_GB2312"/>
          <w:sz w:val="32"/>
          <w:lang w:val="en-US" w:eastAsia="zh-CN"/>
        </w:rPr>
        <w:t>2、</w:t>
      </w:r>
      <w:r>
        <w:rPr>
          <w:rFonts w:hint="eastAsia" w:eastAsia="仿宋_GB2312"/>
          <w:sz w:val="32"/>
        </w:rPr>
        <w:t>研究国内与国外、省内与省外、市内与市外经济发展动态，对宏观经济政策的综合运用提出意见和建议；对全县经济运行状况、发展前景、发展路径等进行定性与定量分析研究、监测预测、预警预报。</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hint="eastAsia" w:eastAsia="仿宋_GB2312"/>
          <w:sz w:val="32"/>
        </w:rPr>
      </w:pPr>
      <w:r>
        <w:rPr>
          <w:rFonts w:hint="eastAsia" w:eastAsia="仿宋_GB2312"/>
          <w:sz w:val="32"/>
          <w:lang w:val="en-US" w:eastAsia="zh-CN"/>
        </w:rPr>
        <w:t>3、</w:t>
      </w:r>
      <w:r>
        <w:rPr>
          <w:rFonts w:hint="eastAsia" w:eastAsia="仿宋_GB2312"/>
          <w:sz w:val="32"/>
        </w:rPr>
        <w:t>研究全县经济结构战略调整和产业政策，研究全县财政、税收、金融、资本市场、国有资产管理、外资利用、对外投资及公共财力分配等宏观性、战略性和热点难点问题，为县委、县政府提供决策建议。</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hint="eastAsia" w:eastAsia="仿宋_GB2312"/>
          <w:sz w:val="32"/>
        </w:rPr>
      </w:pPr>
      <w:r>
        <w:rPr>
          <w:rFonts w:hint="eastAsia" w:eastAsia="仿宋_GB2312"/>
          <w:sz w:val="32"/>
          <w:lang w:val="en-US" w:eastAsia="zh-CN"/>
        </w:rPr>
        <w:t>4、</w:t>
      </w:r>
      <w:r>
        <w:rPr>
          <w:rFonts w:hint="eastAsia" w:eastAsia="仿宋_GB2312"/>
          <w:sz w:val="32"/>
        </w:rPr>
        <w:t>研究人力资源开发、教育、创业就业、卫生健康、收入分配、社会保障政策和自然资源的合理开发利用、生态平衡与环境保护政策，研究新型工业化、新型城镇化、旅游全域化等问题，为经济社会的可持续发展提供咨询建议。</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hint="eastAsia" w:eastAsia="仿宋_GB2312"/>
          <w:sz w:val="32"/>
        </w:rPr>
      </w:pPr>
      <w:r>
        <w:rPr>
          <w:rFonts w:hint="eastAsia" w:eastAsia="仿宋_GB2312"/>
          <w:sz w:val="32"/>
          <w:lang w:val="en-US" w:eastAsia="zh-CN"/>
        </w:rPr>
        <w:t>5、</w:t>
      </w:r>
      <w:r>
        <w:rPr>
          <w:rFonts w:hint="eastAsia" w:eastAsia="仿宋_GB2312"/>
          <w:sz w:val="32"/>
        </w:rPr>
        <w:t>受县委、县政府委托，就有关经济社会发展和改革开放等方面的重大课题组织开展专题调研，对重大经济社会政策方案及实施效果进行评估。</w:t>
      </w:r>
    </w:p>
    <w:p>
      <w:pPr>
        <w:keepNext w:val="0"/>
        <w:keepLines w:val="0"/>
        <w:pageBreakBefore w:val="0"/>
        <w:widowControl w:val="0"/>
        <w:kinsoku/>
        <w:wordWrap/>
        <w:overflowPunct/>
        <w:topLinePunct w:val="0"/>
        <w:autoSpaceDE/>
        <w:autoSpaceDN/>
        <w:bidi w:val="0"/>
        <w:adjustRightInd/>
        <w:snapToGrid/>
        <w:spacing w:line="600" w:lineRule="exact"/>
        <w:ind w:left="147" w:firstLine="640" w:firstLineChars="200"/>
        <w:textAlignment w:val="auto"/>
        <w:rPr>
          <w:rFonts w:hint="eastAsia" w:eastAsia="仿宋_GB2312"/>
          <w:sz w:val="32"/>
        </w:rPr>
      </w:pPr>
      <w:r>
        <w:rPr>
          <w:rFonts w:hint="eastAsia" w:eastAsia="仿宋_GB2312"/>
          <w:sz w:val="32"/>
          <w:lang w:val="en-US" w:eastAsia="zh-CN"/>
        </w:rPr>
        <w:t>6、</w:t>
      </w:r>
      <w:r>
        <w:rPr>
          <w:rFonts w:hint="eastAsia" w:eastAsia="仿宋_GB2312"/>
          <w:sz w:val="32"/>
        </w:rPr>
        <w:t>开展与相关研究机构的交流和合作。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eastAsia="仿宋_GB2312"/>
          <w:sz w:val="32"/>
          <w:lang w:val="en-US" w:eastAsia="zh-CN"/>
        </w:rPr>
        <w:t>7、</w:t>
      </w:r>
      <w:r>
        <w:rPr>
          <w:rFonts w:hint="eastAsia" w:eastAsia="仿宋_GB2312"/>
          <w:sz w:val="32"/>
        </w:rPr>
        <w:t>承办县委、县政府交办的</w:t>
      </w:r>
      <w:r>
        <w:rPr>
          <w:rFonts w:hint="eastAsia" w:eastAsia="仿宋_GB2312"/>
          <w:sz w:val="32"/>
          <w:lang w:eastAsia="zh-CN"/>
        </w:rPr>
        <w:t>其他事项</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rPr>
      </w:pPr>
      <w:r>
        <w:rPr>
          <w:rFonts w:hint="eastAsia" w:eastAsia="楷体_GB2312"/>
          <w:b/>
          <w:sz w:val="32"/>
          <w:szCs w:val="32"/>
        </w:rPr>
        <w:t>（三）2020年度工作计划。</w:t>
      </w:r>
    </w:p>
    <w:p>
      <w:pPr>
        <w:spacing w:line="560" w:lineRule="exact"/>
        <w:ind w:firstLine="640" w:firstLineChars="200"/>
        <w:rPr>
          <w:rFonts w:hint="eastAsia" w:eastAsia="楷体_GB2312"/>
          <w:b w:val="0"/>
          <w:bCs/>
          <w:sz w:val="32"/>
          <w:szCs w:val="32"/>
        </w:rPr>
      </w:pPr>
      <w:r>
        <w:rPr>
          <w:rFonts w:hint="eastAsia" w:ascii="仿宋_GB2312" w:eastAsia="仿宋_GB2312"/>
          <w:sz w:val="32"/>
          <w:szCs w:val="32"/>
        </w:rPr>
        <w:t>继续围绕县委中心大局，立足本职工作，扎实做好调研参谋、综合服务两篇文章，确保各项工作高质高效高标准完成。</w:t>
      </w:r>
    </w:p>
    <w:p>
      <w:pPr>
        <w:adjustRightInd w:val="0"/>
        <w:snapToGrid w:val="0"/>
        <w:spacing w:line="600" w:lineRule="exact"/>
        <w:ind w:left="480" w:hanging="480"/>
        <w:rPr>
          <w:rFonts w:hint="eastAsia" w:ascii="仿宋_GB2312" w:hAnsi="仿宋_GB2312" w:eastAsia="仿宋_GB2312" w:cs="仿宋_GB2312"/>
          <w:b/>
          <w:bCs/>
          <w:sz w:val="32"/>
          <w:szCs w:val="32"/>
        </w:rPr>
      </w:pPr>
      <w:r>
        <w:rPr>
          <w:rFonts w:hint="eastAsia" w:ascii="黑体" w:hAnsi="黑体" w:eastAsia="黑体" w:cs="黑体"/>
          <w:sz w:val="32"/>
          <w:szCs w:val="32"/>
        </w:rPr>
        <w:t>二、部门整体支出规模、使用方向和内容</w:t>
      </w:r>
      <w:r>
        <w:rPr>
          <w:rFonts w:hint="eastAsia" w:ascii="仿宋_GB2312" w:hAnsi="仿宋_GB2312" w:eastAsia="仿宋_GB2312" w:cs="仿宋_GB2312"/>
          <w:b/>
          <w:bCs/>
          <w:sz w:val="32"/>
          <w:szCs w:val="32"/>
        </w:rPr>
        <w:t>（金额：万元）。</w:t>
      </w:r>
    </w:p>
    <w:p>
      <w:pPr>
        <w:adjustRightInd w:val="0"/>
        <w:snapToGrid w:val="0"/>
        <w:spacing w:line="600" w:lineRule="exact"/>
        <w:ind w:left="480" w:hanging="480"/>
        <w:rPr>
          <w:rFonts w:hint="eastAsia" w:ascii="仿宋_GB2312" w:hAnsi="仿宋_GB2312" w:eastAsia="仿宋_GB2312" w:cs="仿宋_GB2312"/>
          <w:sz w:val="32"/>
          <w:szCs w:val="32"/>
        </w:rPr>
      </w:pPr>
      <w:r>
        <w:rPr>
          <w:rFonts w:hint="eastAsia" w:eastAsia="楷体_GB2312"/>
          <w:b/>
          <w:sz w:val="32"/>
          <w:szCs w:val="32"/>
        </w:rPr>
        <w:t>（一）年度预算收支情况</w:t>
      </w:r>
    </w:p>
    <w:p>
      <w:pPr>
        <w:adjustRightInd w:val="0"/>
        <w:snapToGrid w:val="0"/>
        <w:spacing w:line="600" w:lineRule="exact"/>
        <w:ind w:left="480" w:hanging="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1.年初预算收支</w:t>
      </w:r>
    </w:p>
    <w:tbl>
      <w:tblPr>
        <w:tblStyle w:val="7"/>
        <w:tblpPr w:leftFromText="180" w:rightFromText="180" w:vertAnchor="text" w:horzAnchor="page" w:tblpXSpec="center" w:tblpY="442"/>
        <w:tblOverlap w:val="never"/>
        <w:tblW w:w="0" w:type="auto"/>
        <w:jc w:val="center"/>
        <w:tblLayout w:type="fixed"/>
        <w:tblCellMar>
          <w:top w:w="0" w:type="dxa"/>
          <w:left w:w="0" w:type="dxa"/>
          <w:bottom w:w="0" w:type="dxa"/>
          <w:right w:w="0" w:type="dxa"/>
        </w:tblCellMar>
      </w:tblPr>
      <w:tblGrid>
        <w:gridCol w:w="2135"/>
        <w:gridCol w:w="1736"/>
        <w:gridCol w:w="1624"/>
        <w:gridCol w:w="1344"/>
        <w:gridCol w:w="1841"/>
      </w:tblGrid>
      <w:tr>
        <w:tblPrEx>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6" w:hanging="316"/>
              <w:jc w:val="center"/>
              <w:textAlignment w:val="center"/>
              <w:rPr>
                <w:rFonts w:hint="eastAsia" w:ascii="仿宋" w:hAnsi="仿宋" w:eastAsia="仿宋" w:cs="微软雅黑"/>
                <w:color w:val="010101"/>
                <w:szCs w:val="21"/>
              </w:rPr>
            </w:pPr>
            <w:r>
              <w:rPr>
                <w:rFonts w:hint="eastAsia" w:ascii="仿宋" w:hAnsi="仿宋" w:eastAsia="仿宋" w:cs="宋体"/>
                <w:b/>
                <w:color w:val="000000"/>
                <w:kern w:val="0"/>
                <w:szCs w:val="21"/>
                <w:lang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6" w:hanging="316"/>
              <w:jc w:val="center"/>
              <w:textAlignment w:val="center"/>
              <w:rPr>
                <w:rFonts w:hint="eastAsia" w:ascii="仿宋" w:hAnsi="仿宋" w:eastAsia="仿宋" w:cs="微软雅黑"/>
                <w:color w:val="010101"/>
                <w:szCs w:val="21"/>
              </w:rPr>
            </w:pPr>
            <w:r>
              <w:rPr>
                <w:rFonts w:hint="eastAsia" w:ascii="仿宋" w:hAnsi="仿宋" w:eastAsia="仿宋" w:cs="宋体"/>
                <w:b/>
                <w:color w:val="000000"/>
                <w:kern w:val="0"/>
                <w:szCs w:val="21"/>
                <w:lang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6" w:hanging="316"/>
              <w:jc w:val="center"/>
              <w:textAlignment w:val="center"/>
              <w:rPr>
                <w:rFonts w:hint="eastAsia" w:ascii="仿宋" w:hAnsi="仿宋" w:eastAsia="仿宋" w:cs="微软雅黑"/>
                <w:color w:val="010101"/>
                <w:szCs w:val="21"/>
              </w:rPr>
            </w:pPr>
            <w:r>
              <w:rPr>
                <w:rFonts w:hint="eastAsia" w:ascii="仿宋" w:hAnsi="仿宋" w:eastAsia="仿宋" w:cs="宋体"/>
                <w:b/>
                <w:color w:val="000000"/>
                <w:kern w:val="0"/>
                <w:szCs w:val="21"/>
                <w:lang w:bidi="ar"/>
              </w:rPr>
              <w:t>较上年增减变化</w:t>
            </w:r>
          </w:p>
        </w:tc>
      </w:tr>
      <w:tr>
        <w:tblPrEx>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noWrap w:val="0"/>
            <w:tcMar>
              <w:left w:w="108" w:type="dxa"/>
              <w:right w:w="108" w:type="dxa"/>
            </w:tcMar>
            <w:vAlign w:val="center"/>
          </w:tcPr>
          <w:p>
            <w:pPr>
              <w:snapToGrid w:val="0"/>
              <w:spacing w:line="600" w:lineRule="exact"/>
              <w:ind w:left="315" w:hanging="315"/>
              <w:rPr>
                <w:rFonts w:ascii="仿宋" w:hAnsi="仿宋" w:eastAsia="仿宋" w:cs="Arial"/>
                <w:color w:val="333333"/>
                <w:szCs w:val="21"/>
              </w:rPr>
            </w:pPr>
          </w:p>
        </w:tc>
        <w:tc>
          <w:tcPr>
            <w:tcW w:w="1736"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6" w:hanging="316"/>
              <w:jc w:val="center"/>
              <w:textAlignment w:val="center"/>
              <w:rPr>
                <w:rFonts w:hint="eastAsia" w:ascii="仿宋" w:hAnsi="仿宋" w:eastAsia="仿宋" w:cs="微软雅黑"/>
                <w:color w:val="010101"/>
                <w:szCs w:val="21"/>
              </w:rPr>
            </w:pPr>
            <w:r>
              <w:rPr>
                <w:rFonts w:hint="eastAsia" w:ascii="仿宋" w:hAnsi="仿宋" w:eastAsia="仿宋" w:cs="微软雅黑"/>
                <w:b/>
                <w:color w:val="000000"/>
                <w:kern w:val="0"/>
                <w:szCs w:val="21"/>
                <w:lang w:bidi="ar"/>
              </w:rPr>
              <w:t>2020</w:t>
            </w:r>
            <w:r>
              <w:rPr>
                <w:rFonts w:hint="eastAsia" w:ascii="仿宋" w:hAnsi="仿宋" w:eastAsia="仿宋" w:cs="宋体"/>
                <w:b/>
                <w:color w:val="000000"/>
                <w:kern w:val="0"/>
                <w:szCs w:val="21"/>
                <w:lang w:bidi="ar"/>
              </w:rPr>
              <w:t>年</w:t>
            </w:r>
          </w:p>
        </w:tc>
        <w:tc>
          <w:tcPr>
            <w:tcW w:w="1624"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6" w:hanging="316"/>
              <w:jc w:val="center"/>
              <w:textAlignment w:val="center"/>
              <w:rPr>
                <w:rFonts w:hint="eastAsia" w:ascii="仿宋" w:hAnsi="仿宋" w:eastAsia="仿宋" w:cs="微软雅黑"/>
                <w:color w:val="010101"/>
                <w:szCs w:val="21"/>
              </w:rPr>
            </w:pPr>
            <w:r>
              <w:rPr>
                <w:rFonts w:hint="eastAsia" w:ascii="仿宋" w:hAnsi="仿宋" w:eastAsia="仿宋" w:cs="微软雅黑"/>
                <w:b/>
                <w:color w:val="000000"/>
                <w:kern w:val="0"/>
                <w:szCs w:val="21"/>
                <w:lang w:bidi="ar"/>
              </w:rPr>
              <w:t>2019</w:t>
            </w:r>
            <w:r>
              <w:rPr>
                <w:rFonts w:hint="eastAsia" w:ascii="仿宋" w:hAnsi="仿宋" w:eastAsia="仿宋" w:cs="宋体"/>
                <w:b/>
                <w:color w:val="000000"/>
                <w:kern w:val="0"/>
                <w:szCs w:val="21"/>
                <w:lang w:bidi="ar"/>
              </w:rPr>
              <w:t>年</w:t>
            </w:r>
          </w:p>
        </w:tc>
        <w:tc>
          <w:tcPr>
            <w:tcW w:w="1344"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6" w:hanging="316"/>
              <w:jc w:val="center"/>
              <w:textAlignment w:val="center"/>
              <w:rPr>
                <w:rFonts w:hint="eastAsia" w:ascii="仿宋" w:hAnsi="仿宋" w:eastAsia="仿宋" w:cs="微软雅黑"/>
                <w:color w:val="010101"/>
                <w:szCs w:val="21"/>
              </w:rPr>
            </w:pPr>
            <w:r>
              <w:rPr>
                <w:rFonts w:hint="eastAsia" w:ascii="仿宋" w:hAnsi="仿宋" w:eastAsia="仿宋" w:cs="宋体"/>
                <w:b/>
                <w:color w:val="000000"/>
                <w:kern w:val="0"/>
                <w:szCs w:val="21"/>
                <w:lang w:bidi="ar"/>
              </w:rPr>
              <w:t>金额</w:t>
            </w:r>
          </w:p>
        </w:tc>
        <w:tc>
          <w:tcPr>
            <w:tcW w:w="1841"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6" w:hanging="316"/>
              <w:jc w:val="center"/>
              <w:textAlignment w:val="center"/>
              <w:rPr>
                <w:rFonts w:hint="eastAsia" w:ascii="仿宋" w:hAnsi="仿宋" w:eastAsia="仿宋" w:cs="微软雅黑"/>
                <w:color w:val="010101"/>
                <w:szCs w:val="21"/>
              </w:rPr>
            </w:pPr>
            <w:r>
              <w:rPr>
                <w:rFonts w:hint="eastAsia" w:ascii="仿宋" w:hAnsi="仿宋" w:eastAsia="仿宋" w:cs="宋体"/>
                <w:b/>
                <w:color w:val="000000"/>
                <w:kern w:val="0"/>
                <w:szCs w:val="21"/>
                <w:lang w:bidi="ar"/>
              </w:rPr>
              <w:t>比例</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6" w:hanging="316"/>
              <w:jc w:val="left"/>
              <w:rPr>
                <w:rFonts w:hint="eastAsia" w:ascii="仿宋" w:hAnsi="仿宋" w:eastAsia="仿宋" w:cs="微软雅黑"/>
                <w:color w:val="010101"/>
                <w:szCs w:val="21"/>
              </w:rPr>
            </w:pPr>
            <w:r>
              <w:rPr>
                <w:rFonts w:hint="eastAsia" w:ascii="仿宋" w:hAnsi="仿宋" w:eastAsia="仿宋" w:cs="宋体"/>
                <w:b/>
                <w:color w:val="010101"/>
                <w:kern w:val="0"/>
                <w:szCs w:val="21"/>
                <w:lang w:bidi="ar"/>
              </w:rPr>
              <w:t>收入预算</w:t>
            </w:r>
          </w:p>
        </w:tc>
        <w:tc>
          <w:tcPr>
            <w:tcW w:w="173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default" w:ascii="仿宋" w:hAnsi="仿宋" w:eastAsia="仿宋" w:cs="微软雅黑"/>
                <w:color w:val="010101"/>
                <w:szCs w:val="21"/>
                <w:lang w:val="en-US" w:eastAsia="zh-CN"/>
              </w:rPr>
            </w:pPr>
            <w:r>
              <w:rPr>
                <w:rFonts w:hint="eastAsia" w:ascii="仿宋" w:hAnsi="仿宋" w:eastAsia="仿宋" w:cs="微软雅黑"/>
                <w:color w:val="010101"/>
                <w:szCs w:val="21"/>
                <w:lang w:val="en-US" w:eastAsia="zh-CN"/>
              </w:rPr>
              <w:t>72.80</w:t>
            </w:r>
          </w:p>
        </w:tc>
        <w:tc>
          <w:tcPr>
            <w:tcW w:w="162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lang w:val="en-US" w:eastAsia="zh-CN"/>
              </w:rPr>
            </w:pPr>
            <w:r>
              <w:rPr>
                <w:rFonts w:hint="eastAsia" w:ascii="仿宋" w:hAnsi="仿宋" w:eastAsia="仿宋" w:cs="微软雅黑"/>
                <w:color w:val="010101"/>
                <w:szCs w:val="21"/>
                <w:lang w:val="en-US" w:eastAsia="zh-CN"/>
              </w:rPr>
              <w:t>0</w:t>
            </w:r>
          </w:p>
        </w:tc>
        <w:tc>
          <w:tcPr>
            <w:tcW w:w="134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84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微软雅黑"/>
                <w:color w:val="010101"/>
                <w:szCs w:val="21"/>
              </w:rPr>
            </w:pP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left"/>
              <w:rPr>
                <w:rFonts w:hint="eastAsia" w:ascii="仿宋" w:hAnsi="仿宋" w:eastAsia="仿宋" w:cs="微软雅黑"/>
                <w:color w:val="010101"/>
                <w:szCs w:val="21"/>
              </w:rPr>
            </w:pPr>
            <w:r>
              <w:rPr>
                <w:rFonts w:hint="eastAsia" w:ascii="仿宋" w:hAnsi="仿宋" w:eastAsia="仿宋" w:cs="宋体"/>
                <w:color w:val="010101"/>
                <w:kern w:val="0"/>
                <w:szCs w:val="21"/>
                <w:lang w:bidi="ar"/>
              </w:rPr>
              <w:t>其中：财政经费拨款</w:t>
            </w:r>
          </w:p>
        </w:tc>
        <w:tc>
          <w:tcPr>
            <w:tcW w:w="173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default" w:ascii="仿宋" w:hAnsi="仿宋" w:eastAsia="仿宋" w:cs="微软雅黑"/>
                <w:color w:val="010101"/>
                <w:szCs w:val="21"/>
                <w:lang w:val="en-US" w:eastAsia="zh-CN"/>
              </w:rPr>
            </w:pPr>
            <w:r>
              <w:rPr>
                <w:rFonts w:hint="eastAsia" w:ascii="仿宋" w:hAnsi="仿宋" w:eastAsia="仿宋" w:cs="微软雅黑"/>
                <w:color w:val="010101"/>
                <w:szCs w:val="21"/>
                <w:lang w:val="en-US" w:eastAsia="zh-CN"/>
              </w:rPr>
              <w:t>72.80</w:t>
            </w:r>
          </w:p>
        </w:tc>
        <w:tc>
          <w:tcPr>
            <w:tcW w:w="162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lang w:val="en-US" w:eastAsia="zh-CN"/>
              </w:rPr>
            </w:pPr>
            <w:r>
              <w:rPr>
                <w:rFonts w:hint="eastAsia" w:ascii="仿宋" w:hAnsi="仿宋" w:eastAsia="仿宋" w:cs="微软雅黑"/>
                <w:color w:val="010101"/>
                <w:szCs w:val="21"/>
                <w:lang w:val="en-US" w:eastAsia="zh-CN"/>
              </w:rPr>
              <w:t>0</w:t>
            </w:r>
          </w:p>
        </w:tc>
        <w:tc>
          <w:tcPr>
            <w:tcW w:w="134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84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微软雅黑"/>
                <w:color w:val="010101"/>
                <w:szCs w:val="21"/>
              </w:rPr>
            </w:pP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6" w:hanging="316"/>
              <w:jc w:val="left"/>
              <w:rPr>
                <w:rFonts w:hint="eastAsia" w:ascii="仿宋" w:hAnsi="仿宋" w:eastAsia="仿宋" w:cs="微软雅黑"/>
                <w:color w:val="010101"/>
                <w:szCs w:val="21"/>
              </w:rPr>
            </w:pPr>
            <w:r>
              <w:rPr>
                <w:rFonts w:hint="eastAsia" w:ascii="仿宋" w:hAnsi="仿宋" w:eastAsia="仿宋" w:cs="宋体"/>
                <w:b/>
                <w:color w:val="010101"/>
                <w:kern w:val="0"/>
                <w:szCs w:val="21"/>
                <w:lang w:bidi="ar"/>
              </w:rPr>
              <w:t>支出预算</w:t>
            </w:r>
          </w:p>
        </w:tc>
        <w:tc>
          <w:tcPr>
            <w:tcW w:w="173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62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34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84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微软雅黑"/>
                <w:color w:val="010101"/>
                <w:szCs w:val="21"/>
              </w:rPr>
            </w:pP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left"/>
              <w:rPr>
                <w:rFonts w:hint="eastAsia" w:ascii="仿宋" w:hAnsi="仿宋" w:eastAsia="仿宋" w:cs="微软雅黑"/>
                <w:color w:val="010101"/>
                <w:szCs w:val="21"/>
              </w:rPr>
            </w:pPr>
            <w:r>
              <w:rPr>
                <w:rFonts w:hint="eastAsia" w:ascii="仿宋" w:hAnsi="仿宋" w:eastAsia="仿宋" w:cs="宋体"/>
                <w:color w:val="010101"/>
                <w:kern w:val="0"/>
                <w:szCs w:val="21"/>
                <w:lang w:bidi="ar"/>
              </w:rPr>
              <w:t>其中：基本支出</w:t>
            </w:r>
          </w:p>
        </w:tc>
        <w:tc>
          <w:tcPr>
            <w:tcW w:w="173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default" w:ascii="仿宋" w:hAnsi="仿宋" w:eastAsia="仿宋" w:cs="微软雅黑"/>
                <w:color w:val="010101"/>
                <w:szCs w:val="21"/>
                <w:lang w:val="en-US" w:eastAsia="zh-CN"/>
              </w:rPr>
            </w:pPr>
            <w:r>
              <w:rPr>
                <w:rFonts w:hint="eastAsia" w:ascii="仿宋" w:hAnsi="仿宋" w:eastAsia="仿宋" w:cs="微软雅黑"/>
                <w:color w:val="010101"/>
                <w:szCs w:val="21"/>
                <w:lang w:val="en-US" w:eastAsia="zh-CN"/>
              </w:rPr>
              <w:t>72.8</w:t>
            </w:r>
          </w:p>
        </w:tc>
        <w:tc>
          <w:tcPr>
            <w:tcW w:w="162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lang w:val="en-US" w:eastAsia="zh-CN"/>
              </w:rPr>
            </w:pPr>
            <w:r>
              <w:rPr>
                <w:rFonts w:hint="eastAsia" w:ascii="仿宋" w:hAnsi="仿宋" w:eastAsia="仿宋" w:cs="微软雅黑"/>
                <w:color w:val="010101"/>
                <w:szCs w:val="21"/>
                <w:lang w:val="en-US" w:eastAsia="zh-CN"/>
              </w:rPr>
              <w:t>0</w:t>
            </w:r>
          </w:p>
        </w:tc>
        <w:tc>
          <w:tcPr>
            <w:tcW w:w="134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84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微软雅黑"/>
                <w:color w:val="010101"/>
                <w:szCs w:val="21"/>
              </w:rPr>
            </w:pPr>
          </w:p>
        </w:tc>
      </w:tr>
      <w:tr>
        <w:tblPrEx>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4" w:space="0"/>
              <w:right w:val="single" w:color="auto" w:sz="8" w:space="0"/>
            </w:tcBorders>
            <w:noWrap w:val="0"/>
            <w:tcMar>
              <w:left w:w="108" w:type="dxa"/>
              <w:right w:w="108" w:type="dxa"/>
            </w:tcMar>
            <w:vAlign w:val="center"/>
          </w:tcPr>
          <w:p>
            <w:pPr>
              <w:widowControl/>
              <w:snapToGrid w:val="0"/>
              <w:spacing w:line="600" w:lineRule="exact"/>
              <w:ind w:left="315" w:hanging="315"/>
              <w:jc w:val="left"/>
              <w:rPr>
                <w:rFonts w:hint="eastAsia" w:ascii="仿宋" w:hAnsi="仿宋" w:eastAsia="仿宋" w:cs="微软雅黑"/>
                <w:color w:val="010101"/>
                <w:szCs w:val="21"/>
              </w:rPr>
            </w:pPr>
            <w:r>
              <w:rPr>
                <w:rFonts w:hint="eastAsia" w:ascii="仿宋" w:hAnsi="仿宋" w:eastAsia="仿宋" w:cs="宋体"/>
                <w:color w:val="010101"/>
                <w:kern w:val="0"/>
                <w:szCs w:val="21"/>
                <w:lang w:bidi="ar"/>
              </w:rPr>
              <w:t>其中：项目支出</w:t>
            </w:r>
          </w:p>
        </w:tc>
        <w:tc>
          <w:tcPr>
            <w:tcW w:w="1736" w:type="dxa"/>
            <w:tcBorders>
              <w:top w:val="nil"/>
              <w:left w:val="nil"/>
              <w:bottom w:val="single" w:color="auto" w:sz="4"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624" w:type="dxa"/>
            <w:tcBorders>
              <w:top w:val="nil"/>
              <w:left w:val="nil"/>
              <w:bottom w:val="single" w:color="auto" w:sz="4"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344" w:type="dxa"/>
            <w:tcBorders>
              <w:top w:val="nil"/>
              <w:left w:val="nil"/>
              <w:bottom w:val="single" w:color="auto" w:sz="4"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841" w:type="dxa"/>
            <w:tcBorders>
              <w:top w:val="nil"/>
              <w:left w:val="nil"/>
              <w:bottom w:val="single" w:color="auto" w:sz="4"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微软雅黑"/>
                <w:color w:val="010101"/>
                <w:szCs w:val="21"/>
              </w:rPr>
            </w:pPr>
          </w:p>
        </w:tc>
      </w:tr>
      <w:tr>
        <w:tblPrEx>
          <w:tblCellMar>
            <w:top w:w="0" w:type="dxa"/>
            <w:left w:w="0" w:type="dxa"/>
            <w:bottom w:w="0" w:type="dxa"/>
            <w:right w:w="0" w:type="dxa"/>
          </w:tblCellMar>
        </w:tblPrEx>
        <w:trPr>
          <w:trHeight w:val="59" w:hRule="atLeast"/>
          <w:jc w:val="center"/>
        </w:trPr>
        <w:tc>
          <w:tcPr>
            <w:tcW w:w="2135" w:type="dxa"/>
            <w:tcBorders>
              <w:top w:val="single" w:color="auto" w:sz="4" w:space="0"/>
              <w:left w:val="single" w:color="auto" w:sz="8" w:space="0"/>
              <w:bottom w:val="nil"/>
              <w:right w:val="single" w:color="auto" w:sz="8" w:space="0"/>
            </w:tcBorders>
            <w:noWrap w:val="0"/>
            <w:tcMar>
              <w:left w:w="108" w:type="dxa"/>
              <w:right w:w="108" w:type="dxa"/>
            </w:tcMar>
            <w:vAlign w:val="center"/>
          </w:tcPr>
          <w:p>
            <w:pPr>
              <w:widowControl/>
              <w:snapToGrid w:val="0"/>
              <w:spacing w:line="600" w:lineRule="exact"/>
              <w:ind w:left="315" w:hanging="315"/>
              <w:jc w:val="left"/>
              <w:rPr>
                <w:rFonts w:hint="eastAsia" w:ascii="仿宋" w:hAnsi="仿宋" w:eastAsia="仿宋" w:cs="宋体"/>
                <w:color w:val="010101"/>
                <w:kern w:val="0"/>
                <w:szCs w:val="21"/>
                <w:lang w:bidi="ar"/>
              </w:rPr>
            </w:pPr>
          </w:p>
        </w:tc>
        <w:tc>
          <w:tcPr>
            <w:tcW w:w="1736" w:type="dxa"/>
            <w:tcBorders>
              <w:top w:val="single" w:color="auto" w:sz="4" w:space="0"/>
              <w:left w:val="nil"/>
              <w:bottom w:val="nil"/>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624" w:type="dxa"/>
            <w:tcBorders>
              <w:top w:val="single" w:color="auto" w:sz="4" w:space="0"/>
              <w:left w:val="nil"/>
              <w:bottom w:val="nil"/>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344" w:type="dxa"/>
            <w:tcBorders>
              <w:top w:val="single" w:color="auto" w:sz="4" w:space="0"/>
              <w:left w:val="nil"/>
              <w:bottom w:val="nil"/>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841" w:type="dxa"/>
            <w:tcBorders>
              <w:top w:val="single" w:color="auto" w:sz="4" w:space="0"/>
              <w:left w:val="nil"/>
              <w:bottom w:val="nil"/>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微软雅黑"/>
                <w:color w:val="010101"/>
                <w:szCs w:val="21"/>
              </w:rPr>
            </w:pPr>
          </w:p>
        </w:tc>
      </w:tr>
      <w:tr>
        <w:tblPrEx>
          <w:tblCellMar>
            <w:top w:w="0" w:type="dxa"/>
            <w:left w:w="0" w:type="dxa"/>
            <w:bottom w:w="0" w:type="dxa"/>
            <w:right w:w="0" w:type="dxa"/>
          </w:tblCellMar>
        </w:tblPrEx>
        <w:trPr>
          <w:trHeight w:val="141" w:hRule="atLeast"/>
          <w:jc w:val="center"/>
        </w:trPr>
        <w:tc>
          <w:tcPr>
            <w:tcW w:w="213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149" w:hanging="149" w:hangingChars="71"/>
              <w:jc w:val="left"/>
              <w:rPr>
                <w:rFonts w:hint="eastAsia" w:ascii="仿宋" w:hAnsi="仿宋" w:eastAsia="仿宋" w:cs="宋体"/>
                <w:color w:val="010101"/>
                <w:kern w:val="0"/>
                <w:szCs w:val="21"/>
                <w:lang w:bidi="ar"/>
              </w:rPr>
            </w:pPr>
          </w:p>
        </w:tc>
        <w:tc>
          <w:tcPr>
            <w:tcW w:w="173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62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34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right="126" w:hanging="315"/>
              <w:jc w:val="right"/>
              <w:rPr>
                <w:rFonts w:hint="eastAsia" w:ascii="仿宋" w:hAnsi="仿宋" w:eastAsia="仿宋" w:cs="微软雅黑"/>
                <w:color w:val="010101"/>
                <w:szCs w:val="21"/>
              </w:rPr>
            </w:pPr>
          </w:p>
        </w:tc>
        <w:tc>
          <w:tcPr>
            <w:tcW w:w="184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微软雅黑"/>
                <w:color w:val="010101"/>
                <w:szCs w:val="21"/>
              </w:rPr>
            </w:pPr>
          </w:p>
        </w:tc>
      </w:tr>
    </w:tbl>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说明：机构改革，本单位新成立，因此19年数据为0。</w:t>
      </w:r>
    </w:p>
    <w:p>
      <w:pPr>
        <w:adjustRightInd w:val="0"/>
        <w:snapToGrid w:val="0"/>
        <w:spacing w:line="600" w:lineRule="exact"/>
        <w:ind w:left="480" w:hanging="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2.财政预算整体支出使用范围、方向和内容</w:t>
      </w:r>
    </w:p>
    <w:tbl>
      <w:tblPr>
        <w:tblStyle w:val="7"/>
        <w:tblW w:w="0" w:type="auto"/>
        <w:jc w:val="center"/>
        <w:tblLayout w:type="fixed"/>
        <w:tblCellMar>
          <w:top w:w="0" w:type="dxa"/>
          <w:left w:w="0" w:type="dxa"/>
          <w:bottom w:w="0" w:type="dxa"/>
          <w:right w:w="0" w:type="dxa"/>
        </w:tblCellMar>
      </w:tblPr>
      <w:tblGrid>
        <w:gridCol w:w="2859"/>
        <w:gridCol w:w="1748"/>
        <w:gridCol w:w="1331"/>
        <w:gridCol w:w="2379"/>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支出项目</w:t>
            </w:r>
          </w:p>
        </w:tc>
        <w:tc>
          <w:tcPr>
            <w:tcW w:w="1748"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基本支出</w:t>
            </w:r>
          </w:p>
        </w:tc>
        <w:tc>
          <w:tcPr>
            <w:tcW w:w="1331"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项目支出</w:t>
            </w:r>
          </w:p>
        </w:tc>
        <w:tc>
          <w:tcPr>
            <w:tcW w:w="2379"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工资福利支出</w:t>
            </w:r>
          </w:p>
        </w:tc>
        <w:tc>
          <w:tcPr>
            <w:tcW w:w="174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33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237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商品和服务支出</w:t>
            </w:r>
          </w:p>
        </w:tc>
        <w:tc>
          <w:tcPr>
            <w:tcW w:w="174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33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237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对个人和家庭的补助</w:t>
            </w:r>
          </w:p>
        </w:tc>
        <w:tc>
          <w:tcPr>
            <w:tcW w:w="174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33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237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74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331"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237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90" w:hRule="atLeast"/>
          <w:jc w:val="center"/>
        </w:trPr>
        <w:tc>
          <w:tcPr>
            <w:tcW w:w="2859" w:type="dxa"/>
            <w:tcBorders>
              <w:top w:val="nil"/>
              <w:left w:val="single" w:color="auto" w:sz="8" w:space="0"/>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合</w:t>
            </w:r>
            <w:r>
              <w:rPr>
                <w:rFonts w:hint="eastAsia" w:ascii="宋体" w:hAnsi="宋体" w:eastAsia="仿宋" w:cs="宋体"/>
                <w:bCs/>
                <w:color w:val="000000"/>
                <w:kern w:val="0"/>
                <w:szCs w:val="21"/>
                <w:lang w:bidi="ar"/>
              </w:rPr>
              <w:t> </w:t>
            </w:r>
            <w:r>
              <w:rPr>
                <w:rFonts w:hint="eastAsia" w:ascii="仿宋" w:hAnsi="仿宋" w:eastAsia="仿宋" w:cs="宋体"/>
                <w:bCs/>
                <w:color w:val="000000"/>
                <w:kern w:val="0"/>
                <w:szCs w:val="21"/>
                <w:lang w:bidi="ar"/>
              </w:rPr>
              <w:t>计</w:t>
            </w:r>
          </w:p>
        </w:tc>
        <w:tc>
          <w:tcPr>
            <w:tcW w:w="1748"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331"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2379"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rPr>
      </w:pPr>
      <w:r>
        <w:rPr>
          <w:rFonts w:hint="eastAsia" w:eastAsia="楷体_GB2312"/>
          <w:b/>
          <w:sz w:val="32"/>
          <w:szCs w:val="32"/>
        </w:rPr>
        <w:t>（二）年度收支决算情况</w:t>
      </w:r>
    </w:p>
    <w:p>
      <w:pPr>
        <w:adjustRightInd w:val="0"/>
        <w:snapToGrid w:val="0"/>
        <w:spacing w:line="600" w:lineRule="exact"/>
        <w:ind w:left="480" w:hanging="48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1.年度收入决算</w:t>
      </w:r>
    </w:p>
    <w:tbl>
      <w:tblPr>
        <w:tblStyle w:val="7"/>
        <w:tblW w:w="0" w:type="auto"/>
        <w:jc w:val="center"/>
        <w:tblLayout w:type="fixed"/>
        <w:tblCellMar>
          <w:top w:w="0" w:type="dxa"/>
          <w:left w:w="0" w:type="dxa"/>
          <w:bottom w:w="0" w:type="dxa"/>
          <w:right w:w="0" w:type="dxa"/>
        </w:tblCellMar>
      </w:tblPr>
      <w:tblGrid>
        <w:gridCol w:w="2063"/>
        <w:gridCol w:w="1693"/>
        <w:gridCol w:w="1820"/>
        <w:gridCol w:w="2264"/>
      </w:tblGrid>
      <w:tr>
        <w:tblPrEx>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收入来源</w:t>
            </w:r>
          </w:p>
        </w:tc>
        <w:tc>
          <w:tcPr>
            <w:tcW w:w="1693"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预算金额</w:t>
            </w:r>
          </w:p>
        </w:tc>
        <w:tc>
          <w:tcPr>
            <w:tcW w:w="1820"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决算金额</w:t>
            </w:r>
          </w:p>
        </w:tc>
        <w:tc>
          <w:tcPr>
            <w:tcW w:w="2264"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财政拨款收入</w:t>
            </w:r>
          </w:p>
        </w:tc>
        <w:tc>
          <w:tcPr>
            <w:tcW w:w="169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72.80</w:t>
            </w:r>
          </w:p>
        </w:tc>
        <w:tc>
          <w:tcPr>
            <w:tcW w:w="1820"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74.80</w:t>
            </w:r>
          </w:p>
        </w:tc>
        <w:tc>
          <w:tcPr>
            <w:tcW w:w="226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2</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69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820"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226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bl>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说明：机构改革，本单位新成立。</w:t>
      </w:r>
    </w:p>
    <w:p>
      <w:pPr>
        <w:adjustRightInd w:val="0"/>
        <w:snapToGrid w:val="0"/>
        <w:spacing w:line="600" w:lineRule="exact"/>
        <w:ind w:left="480" w:hanging="48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2.年度预算支出决算及结余</w:t>
      </w:r>
    </w:p>
    <w:tbl>
      <w:tblPr>
        <w:tblStyle w:val="7"/>
        <w:tblW w:w="7953" w:type="dxa"/>
        <w:tblInd w:w="185" w:type="dxa"/>
        <w:tblLayout w:type="fixed"/>
        <w:tblCellMar>
          <w:top w:w="0" w:type="dxa"/>
          <w:left w:w="0" w:type="dxa"/>
          <w:bottom w:w="0" w:type="dxa"/>
          <w:right w:w="0" w:type="dxa"/>
        </w:tblCellMar>
      </w:tblPr>
      <w:tblGrid>
        <w:gridCol w:w="1739"/>
        <w:gridCol w:w="2268"/>
        <w:gridCol w:w="1984"/>
        <w:gridCol w:w="1962"/>
      </w:tblGrid>
      <w:tr>
        <w:tblPrEx>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预算支出类别</w:t>
            </w:r>
          </w:p>
        </w:tc>
        <w:tc>
          <w:tcPr>
            <w:tcW w:w="2268" w:type="dxa"/>
            <w:tcBorders>
              <w:top w:val="single" w:color="000000" w:sz="8" w:space="0"/>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预算金额</w:t>
            </w:r>
          </w:p>
        </w:tc>
        <w:tc>
          <w:tcPr>
            <w:tcW w:w="1984" w:type="dxa"/>
            <w:tcBorders>
              <w:top w:val="single" w:color="000000" w:sz="8" w:space="0"/>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决算金额</w:t>
            </w:r>
          </w:p>
        </w:tc>
        <w:tc>
          <w:tcPr>
            <w:tcW w:w="1962" w:type="dxa"/>
            <w:tcBorders>
              <w:top w:val="single" w:color="000000" w:sz="8" w:space="0"/>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基本支出</w:t>
            </w:r>
          </w:p>
        </w:tc>
        <w:tc>
          <w:tcPr>
            <w:tcW w:w="226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val="en-US" w:eastAsia="zh-CN" w:bidi="ar"/>
              </w:rPr>
              <w:t>72.80</w:t>
            </w:r>
          </w:p>
        </w:tc>
        <w:tc>
          <w:tcPr>
            <w:tcW w:w="198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74.80</w:t>
            </w:r>
          </w:p>
        </w:tc>
        <w:tc>
          <w:tcPr>
            <w:tcW w:w="196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2</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项目支出</w:t>
            </w:r>
          </w:p>
        </w:tc>
        <w:tc>
          <w:tcPr>
            <w:tcW w:w="226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98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96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小计</w:t>
            </w:r>
          </w:p>
        </w:tc>
        <w:tc>
          <w:tcPr>
            <w:tcW w:w="2268"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val="en-US" w:eastAsia="zh-CN" w:bidi="ar"/>
              </w:rPr>
              <w:t>72.80</w:t>
            </w:r>
          </w:p>
        </w:tc>
        <w:tc>
          <w:tcPr>
            <w:tcW w:w="1984"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val="en-US" w:eastAsia="zh-CN" w:bidi="ar"/>
              </w:rPr>
              <w:t>74.80</w:t>
            </w:r>
          </w:p>
        </w:tc>
        <w:tc>
          <w:tcPr>
            <w:tcW w:w="1962"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2</w:t>
            </w:r>
          </w:p>
        </w:tc>
      </w:tr>
    </w:tbl>
    <w:p>
      <w:pPr>
        <w:adjustRightInd w:val="0"/>
        <w:snapToGrid w:val="0"/>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机构改革，单位新成立，预算有差距。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三、部门整体支出管理及使用情况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rPr>
      </w:pPr>
      <w:bookmarkStart w:id="0" w:name="_Toc419142208"/>
      <w:r>
        <w:rPr>
          <w:rFonts w:hint="eastAsia" w:eastAsia="楷体_GB2312"/>
          <w:b/>
          <w:sz w:val="32"/>
          <w:szCs w:val="32"/>
        </w:rPr>
        <w:t>（一）基本支出管理</w:t>
      </w:r>
      <w:bookmarkEnd w:id="0"/>
    </w:p>
    <w:p>
      <w:pPr>
        <w:adjustRightInd w:val="0"/>
        <w:snapToGrid w:val="0"/>
        <w:spacing w:line="600" w:lineRule="exact"/>
        <w:ind w:left="480" w:hanging="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1、基本支出总额使用和管理</w:t>
      </w:r>
    </w:p>
    <w:tbl>
      <w:tblPr>
        <w:tblStyle w:val="7"/>
        <w:tblW w:w="0" w:type="auto"/>
        <w:jc w:val="center"/>
        <w:tblLayout w:type="fixed"/>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宋体" w:hAnsi="宋体" w:eastAsia="仿宋" w:cs="宋体"/>
                <w:bCs/>
                <w:color w:val="000000"/>
                <w:kern w:val="0"/>
                <w:szCs w:val="21"/>
                <w:lang w:bidi="ar"/>
              </w:rPr>
              <w:t> </w:t>
            </w:r>
            <w:r>
              <w:rPr>
                <w:rFonts w:hint="eastAsia" w:ascii="仿宋" w:hAnsi="仿宋" w:eastAsia="仿宋" w:cs="宋体"/>
                <w:bCs/>
                <w:color w:val="000000"/>
                <w:kern w:val="0"/>
                <w:szCs w:val="21"/>
                <w:lang w:bidi="ar"/>
              </w:rPr>
              <w:t>预决算支出项目</w:t>
            </w:r>
          </w:p>
        </w:tc>
        <w:tc>
          <w:tcPr>
            <w:tcW w:w="1666"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预算金额</w:t>
            </w:r>
          </w:p>
        </w:tc>
        <w:tc>
          <w:tcPr>
            <w:tcW w:w="1604"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决算金额</w:t>
            </w:r>
          </w:p>
        </w:tc>
        <w:tc>
          <w:tcPr>
            <w:tcW w:w="2438"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工资福利支出</w:t>
            </w:r>
          </w:p>
        </w:tc>
        <w:tc>
          <w:tcPr>
            <w:tcW w:w="166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60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val="en-US" w:eastAsia="zh-CN" w:bidi="ar"/>
              </w:rPr>
              <w:t>19.97</w:t>
            </w:r>
          </w:p>
        </w:tc>
        <w:tc>
          <w:tcPr>
            <w:tcW w:w="243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商品和服务支出</w:t>
            </w:r>
          </w:p>
        </w:tc>
        <w:tc>
          <w:tcPr>
            <w:tcW w:w="166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80</w:t>
            </w:r>
          </w:p>
        </w:tc>
        <w:tc>
          <w:tcPr>
            <w:tcW w:w="160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47.54</w:t>
            </w:r>
          </w:p>
        </w:tc>
        <w:tc>
          <w:tcPr>
            <w:tcW w:w="243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对个人和家庭的补助</w:t>
            </w:r>
          </w:p>
        </w:tc>
        <w:tc>
          <w:tcPr>
            <w:tcW w:w="166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60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4.54</w:t>
            </w:r>
          </w:p>
        </w:tc>
        <w:tc>
          <w:tcPr>
            <w:tcW w:w="243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资本性支出</w:t>
            </w:r>
          </w:p>
        </w:tc>
        <w:tc>
          <w:tcPr>
            <w:tcW w:w="1666"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c>
          <w:tcPr>
            <w:tcW w:w="1604"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2.75</w:t>
            </w:r>
          </w:p>
        </w:tc>
        <w:tc>
          <w:tcPr>
            <w:tcW w:w="243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eastAsia" w:ascii="仿宋" w:hAnsi="仿宋" w:eastAsia="仿宋" w:cs="宋体"/>
                <w:bCs/>
                <w:color w:val="000000"/>
                <w:kern w:val="0"/>
                <w:szCs w:val="21"/>
                <w:lang w:bidi="ar"/>
              </w:rPr>
            </w:pPr>
            <w:r>
              <w:rPr>
                <w:rFonts w:hint="eastAsia" w:ascii="仿宋" w:hAnsi="仿宋" w:eastAsia="仿宋" w:cs="宋体"/>
                <w:bCs/>
                <w:color w:val="000000"/>
                <w:kern w:val="0"/>
                <w:szCs w:val="21"/>
                <w:lang w:bidi="ar"/>
              </w:rPr>
              <w:t>合计</w:t>
            </w:r>
          </w:p>
        </w:tc>
        <w:tc>
          <w:tcPr>
            <w:tcW w:w="1666"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80</w:t>
            </w:r>
          </w:p>
        </w:tc>
        <w:tc>
          <w:tcPr>
            <w:tcW w:w="1604"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74.8</w:t>
            </w:r>
          </w:p>
        </w:tc>
        <w:tc>
          <w:tcPr>
            <w:tcW w:w="2438" w:type="dxa"/>
            <w:tcBorders>
              <w:top w:val="nil"/>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textAlignment w:val="center"/>
              <w:rPr>
                <w:rFonts w:hint="default" w:ascii="仿宋" w:hAnsi="仿宋" w:eastAsia="仿宋" w:cs="宋体"/>
                <w:bCs/>
                <w:color w:val="000000"/>
                <w:kern w:val="0"/>
                <w:szCs w:val="21"/>
                <w:lang w:val="en-US" w:eastAsia="zh-CN" w:bidi="ar"/>
              </w:rPr>
            </w:pPr>
            <w:r>
              <w:rPr>
                <w:rFonts w:hint="eastAsia" w:ascii="仿宋" w:hAnsi="仿宋" w:eastAsia="仿宋" w:cs="宋体"/>
                <w:bCs/>
                <w:color w:val="000000"/>
                <w:kern w:val="0"/>
                <w:szCs w:val="21"/>
                <w:lang w:val="en-US" w:eastAsia="zh-CN" w:bidi="ar"/>
              </w:rPr>
              <w:t>5.2</w:t>
            </w:r>
          </w:p>
        </w:tc>
      </w:tr>
    </w:tbl>
    <w:p>
      <w:pPr>
        <w:adjustRightInd w:val="0"/>
        <w:snapToGrid w:val="0"/>
        <w:spacing w:line="600" w:lineRule="exact"/>
        <w:ind w:left="480" w:hanging="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2、基本支出中各费用明细支出管理</w:t>
      </w:r>
    </w:p>
    <w:p>
      <w:pPr>
        <w:adjustRightInd w:val="0"/>
        <w:snapToGrid w:val="0"/>
        <w:spacing w:line="600" w:lineRule="exact"/>
        <w:ind w:left="480" w:hanging="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（1）工资福利支出</w:t>
      </w:r>
    </w:p>
    <w:tbl>
      <w:tblPr>
        <w:tblStyle w:val="7"/>
        <w:tblW w:w="0" w:type="auto"/>
        <w:jc w:val="center"/>
        <w:tblLayout w:type="fixed"/>
        <w:tblCellMar>
          <w:top w:w="0" w:type="dxa"/>
          <w:left w:w="0" w:type="dxa"/>
          <w:bottom w:w="0" w:type="dxa"/>
          <w:right w:w="0" w:type="dxa"/>
        </w:tblCellMar>
      </w:tblPr>
      <w:tblGrid>
        <w:gridCol w:w="2431"/>
        <w:gridCol w:w="1134"/>
        <w:gridCol w:w="1134"/>
        <w:gridCol w:w="1417"/>
        <w:gridCol w:w="1664"/>
      </w:tblGrid>
      <w:tr>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费用项目</w:t>
            </w:r>
          </w:p>
        </w:tc>
        <w:tc>
          <w:tcPr>
            <w:tcW w:w="1134" w:type="dxa"/>
            <w:tcBorders>
              <w:top w:val="single" w:color="000000" w:sz="8" w:space="0"/>
              <w:left w:val="nil"/>
              <w:bottom w:val="single" w:color="000000" w:sz="8" w:space="0"/>
              <w:right w:val="single" w:color="000000" w:sz="8" w:space="0"/>
            </w:tcBorders>
            <w:shd w:val="clear" w:color="auto" w:fill="D9D9D9"/>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预算金额</w:t>
            </w:r>
          </w:p>
        </w:tc>
        <w:tc>
          <w:tcPr>
            <w:tcW w:w="1134" w:type="dxa"/>
            <w:tcBorders>
              <w:top w:val="single" w:color="000000" w:sz="8" w:space="0"/>
              <w:left w:val="nil"/>
              <w:bottom w:val="single" w:color="000000" w:sz="8" w:space="0"/>
              <w:right w:val="single" w:color="000000" w:sz="8" w:space="0"/>
            </w:tcBorders>
            <w:shd w:val="clear" w:color="auto" w:fill="D9D9D9"/>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决算金额</w:t>
            </w:r>
          </w:p>
        </w:tc>
        <w:tc>
          <w:tcPr>
            <w:tcW w:w="1417" w:type="dxa"/>
            <w:tcBorders>
              <w:top w:val="single" w:color="000000" w:sz="8" w:space="0"/>
              <w:left w:val="nil"/>
              <w:bottom w:val="single" w:color="000000" w:sz="8" w:space="0"/>
              <w:right w:val="single" w:color="000000" w:sz="8" w:space="0"/>
            </w:tcBorders>
            <w:shd w:val="clear" w:color="auto" w:fill="D9D9D9"/>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节约/超支金额</w:t>
            </w:r>
          </w:p>
        </w:tc>
        <w:tc>
          <w:tcPr>
            <w:tcW w:w="1664" w:type="dxa"/>
            <w:tcBorders>
              <w:top w:val="single" w:color="000000" w:sz="8" w:space="0"/>
              <w:left w:val="nil"/>
              <w:bottom w:val="single" w:color="000000" w:sz="8" w:space="0"/>
              <w:right w:val="single" w:color="000000" w:sz="8" w:space="0"/>
            </w:tcBorders>
            <w:shd w:val="clear" w:color="auto" w:fill="D9D9D9"/>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节约/超支率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基本工资</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11.01</w:t>
            </w: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津贴补贴</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奖金</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0.15</w:t>
            </w: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伙食补助费</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绩效工资</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2.05</w:t>
            </w: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机关事业单位基本养老保险缴费</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2.81</w:t>
            </w: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职业年金缴费</w:t>
            </w:r>
          </w:p>
        </w:tc>
        <w:tc>
          <w:tcPr>
            <w:tcW w:w="1134" w:type="dxa"/>
            <w:tcBorders>
              <w:top w:val="nil"/>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17" w:type="dxa"/>
            <w:tcBorders>
              <w:top w:val="nil"/>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cantSplit/>
          <w:trHeight w:val="357" w:hRule="atLeast"/>
          <w:jc w:val="center"/>
        </w:trPr>
        <w:tc>
          <w:tcPr>
            <w:tcW w:w="2431" w:type="dxa"/>
            <w:tcBorders>
              <w:top w:val="single" w:color="auto" w:sz="4" w:space="0"/>
              <w:left w:val="single" w:color="auto" w:sz="4" w:space="0"/>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职工基本医疗保险缴费</w:t>
            </w:r>
          </w:p>
        </w:tc>
        <w:tc>
          <w:tcPr>
            <w:tcW w:w="1134" w:type="dxa"/>
            <w:tcBorders>
              <w:top w:val="single" w:color="auto" w:sz="4" w:space="0"/>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single" w:color="auto" w:sz="4" w:space="0"/>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0.92</w:t>
            </w:r>
          </w:p>
        </w:tc>
        <w:tc>
          <w:tcPr>
            <w:tcW w:w="1417" w:type="dxa"/>
            <w:tcBorders>
              <w:top w:val="single" w:color="auto" w:sz="4" w:space="0"/>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single" w:color="auto" w:sz="4" w:space="0"/>
              <w:left w:val="nil"/>
              <w:bottom w:val="single" w:color="auto" w:sz="4" w:space="0"/>
              <w:right w:val="single" w:color="auto" w:sz="4"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single" w:color="auto" w:sz="4"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公务员医疗补助缴费</w:t>
            </w:r>
          </w:p>
        </w:tc>
        <w:tc>
          <w:tcPr>
            <w:tcW w:w="1134"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17"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其他社会保障缴费</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2.72</w:t>
            </w: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住房公积金</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医疗费</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其他工资福利支出</w:t>
            </w: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0.3</w:t>
            </w:r>
          </w:p>
        </w:tc>
        <w:tc>
          <w:tcPr>
            <w:tcW w:w="1417"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合计</w:t>
            </w:r>
          </w:p>
        </w:tc>
        <w:tc>
          <w:tcPr>
            <w:tcW w:w="1134"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34"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19.97</w:t>
            </w:r>
          </w:p>
        </w:tc>
        <w:tc>
          <w:tcPr>
            <w:tcW w:w="1417"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64"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bl>
    <w:p>
      <w:pPr>
        <w:adjustRightInd w:val="0"/>
        <w:snapToGrid w:val="0"/>
        <w:spacing w:line="600" w:lineRule="exact"/>
        <w:ind w:left="479" w:leftChars="152" w:hanging="160" w:hangingChars="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机构改革，单位新成立。</w:t>
      </w:r>
    </w:p>
    <w:p>
      <w:pPr>
        <w:adjustRightInd w:val="0"/>
        <w:snapToGrid w:val="0"/>
        <w:spacing w:line="600" w:lineRule="exact"/>
        <w:ind w:left="480" w:hanging="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（2）商品和服务支出</w:t>
      </w:r>
    </w:p>
    <w:tbl>
      <w:tblPr>
        <w:tblStyle w:val="7"/>
        <w:tblW w:w="0" w:type="auto"/>
        <w:jc w:val="center"/>
        <w:tblLayout w:type="fixed"/>
        <w:tblCellMar>
          <w:top w:w="0" w:type="dxa"/>
          <w:left w:w="0" w:type="dxa"/>
          <w:bottom w:w="0" w:type="dxa"/>
          <w:right w:w="0" w:type="dxa"/>
        </w:tblCellMar>
      </w:tblPr>
      <w:tblGrid>
        <w:gridCol w:w="2133"/>
        <w:gridCol w:w="1398"/>
        <w:gridCol w:w="1537"/>
        <w:gridCol w:w="1429"/>
        <w:gridCol w:w="1643"/>
      </w:tblGrid>
      <w:tr>
        <w:tblPrEx>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bookmarkStart w:id="2" w:name="_GoBack"/>
            <w:bookmarkEnd w:id="2"/>
            <w:r>
              <w:rPr>
                <w:rFonts w:hint="eastAsia" w:ascii="仿宋" w:hAnsi="仿宋" w:eastAsia="仿宋" w:cs="宋体"/>
                <w:color w:val="010101"/>
                <w:kern w:val="0"/>
                <w:szCs w:val="21"/>
                <w:lang w:bidi="ar"/>
              </w:rPr>
              <w:t>项目</w:t>
            </w:r>
          </w:p>
        </w:tc>
        <w:tc>
          <w:tcPr>
            <w:tcW w:w="1398"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预算金额</w:t>
            </w:r>
          </w:p>
        </w:tc>
        <w:tc>
          <w:tcPr>
            <w:tcW w:w="1537"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决算金额</w:t>
            </w:r>
          </w:p>
        </w:tc>
        <w:tc>
          <w:tcPr>
            <w:tcW w:w="1429"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增减额</w:t>
            </w:r>
          </w:p>
        </w:tc>
        <w:tc>
          <w:tcPr>
            <w:tcW w:w="1643" w:type="dxa"/>
            <w:tcBorders>
              <w:top w:val="single" w:color="auto" w:sz="8" w:space="0"/>
              <w:left w:val="nil"/>
              <w:bottom w:val="single" w:color="auto" w:sz="8" w:space="0"/>
              <w:right w:val="single" w:color="auto" w:sz="8" w:space="0"/>
            </w:tcBorders>
            <w:shd w:val="clear" w:color="auto" w:fill="D9D9D9"/>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办公费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12.48</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印刷费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3.43</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咨询费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手续费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电费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邮电费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取暖费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物业管理费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差旅费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10.32</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因公出国（境）费用</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维修（护）费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1.61</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租赁费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会议费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培训费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2.91</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公务接待费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0.49</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专用材料费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被装购置费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专用燃料费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劳务费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委托业务费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工会经费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福利费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公务用车运行维护费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其他交通费</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1.54</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税金及附加费用</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其他商品和服务支出</w:t>
            </w:r>
          </w:p>
        </w:tc>
        <w:tc>
          <w:tcPr>
            <w:tcW w:w="1398"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80</w:t>
            </w:r>
          </w:p>
        </w:tc>
        <w:tc>
          <w:tcPr>
            <w:tcW w:w="1537"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13.77</w:t>
            </w:r>
          </w:p>
        </w:tc>
        <w:tc>
          <w:tcPr>
            <w:tcW w:w="1429"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合计</w:t>
            </w:r>
          </w:p>
        </w:tc>
        <w:tc>
          <w:tcPr>
            <w:tcW w:w="1398" w:type="dxa"/>
            <w:tcBorders>
              <w:top w:val="nil"/>
              <w:left w:val="nil"/>
              <w:bottom w:val="single" w:color="auto" w:sz="8" w:space="0"/>
              <w:right w:val="single" w:color="auto" w:sz="8" w:space="0"/>
            </w:tcBorders>
            <w:shd w:val="clear" w:color="auto" w:fill="C0C0C0"/>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80</w:t>
            </w:r>
          </w:p>
        </w:tc>
        <w:tc>
          <w:tcPr>
            <w:tcW w:w="1537" w:type="dxa"/>
            <w:tcBorders>
              <w:top w:val="nil"/>
              <w:left w:val="nil"/>
              <w:bottom w:val="single" w:color="auto" w:sz="8" w:space="0"/>
              <w:right w:val="single" w:color="auto" w:sz="8" w:space="0"/>
            </w:tcBorders>
            <w:shd w:val="clear" w:color="auto" w:fill="C0C0C0"/>
            <w:noWrap w:val="0"/>
            <w:tcMar>
              <w:left w:w="108" w:type="dxa"/>
              <w:right w:w="108"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47.54</w:t>
            </w:r>
          </w:p>
        </w:tc>
        <w:tc>
          <w:tcPr>
            <w:tcW w:w="1429" w:type="dxa"/>
            <w:tcBorders>
              <w:top w:val="nil"/>
              <w:left w:val="nil"/>
              <w:bottom w:val="single" w:color="auto" w:sz="8" w:space="0"/>
              <w:right w:val="single" w:color="auto" w:sz="8" w:space="0"/>
            </w:tcBorders>
            <w:shd w:val="clear" w:color="auto" w:fill="C0C0C0"/>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643" w:type="dxa"/>
            <w:tcBorders>
              <w:top w:val="nil"/>
              <w:left w:val="nil"/>
              <w:bottom w:val="single" w:color="auto" w:sz="8" w:space="0"/>
              <w:right w:val="single" w:color="auto" w:sz="8" w:space="0"/>
            </w:tcBorders>
            <w:shd w:val="clear" w:color="auto" w:fill="C0C0C0"/>
            <w:noWrap w:val="0"/>
            <w:tcMar>
              <w:left w:w="108" w:type="dxa"/>
              <w:right w:w="108"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bl>
    <w:p>
      <w:pPr>
        <w:adjustRightInd w:val="0"/>
        <w:snapToGrid w:val="0"/>
        <w:spacing w:line="600" w:lineRule="exact"/>
        <w:ind w:left="480" w:hanging="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机构改革，单位新成立。</w:t>
      </w:r>
    </w:p>
    <w:p>
      <w:pPr>
        <w:adjustRightInd w:val="0"/>
        <w:snapToGrid w:val="0"/>
        <w:spacing w:line="600" w:lineRule="exact"/>
        <w:ind w:left="480" w:hanging="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（3）对个人和家庭的补助</w:t>
      </w:r>
    </w:p>
    <w:tbl>
      <w:tblPr>
        <w:tblStyle w:val="7"/>
        <w:tblW w:w="8364" w:type="dxa"/>
        <w:tblInd w:w="0" w:type="dxa"/>
        <w:tblLayout w:type="fixed"/>
        <w:tblCellMar>
          <w:top w:w="0" w:type="dxa"/>
          <w:left w:w="0" w:type="dxa"/>
          <w:bottom w:w="0" w:type="dxa"/>
          <w:right w:w="0" w:type="dxa"/>
        </w:tblCellMar>
      </w:tblPr>
      <w:tblGrid>
        <w:gridCol w:w="1816"/>
        <w:gridCol w:w="1538"/>
        <w:gridCol w:w="1560"/>
        <w:gridCol w:w="1875"/>
        <w:gridCol w:w="1575"/>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支出项目</w:t>
            </w:r>
          </w:p>
        </w:tc>
        <w:tc>
          <w:tcPr>
            <w:tcW w:w="1538" w:type="dxa"/>
            <w:tcBorders>
              <w:top w:val="single" w:color="000000" w:sz="8" w:space="0"/>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预算金额</w:t>
            </w:r>
          </w:p>
        </w:tc>
        <w:tc>
          <w:tcPr>
            <w:tcW w:w="1560" w:type="dxa"/>
            <w:tcBorders>
              <w:top w:val="single" w:color="000000" w:sz="8" w:space="0"/>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决算金额</w:t>
            </w:r>
          </w:p>
        </w:tc>
        <w:tc>
          <w:tcPr>
            <w:tcW w:w="1875" w:type="dxa"/>
            <w:tcBorders>
              <w:top w:val="single" w:color="000000" w:sz="8" w:space="0"/>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结余/超支金额</w:t>
            </w:r>
          </w:p>
        </w:tc>
        <w:tc>
          <w:tcPr>
            <w:tcW w:w="1575" w:type="dxa"/>
            <w:tcBorders>
              <w:top w:val="single" w:color="000000" w:sz="8" w:space="0"/>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离休费</w:t>
            </w:r>
          </w:p>
        </w:tc>
        <w:tc>
          <w:tcPr>
            <w:tcW w:w="153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退休费</w:t>
            </w:r>
          </w:p>
        </w:tc>
        <w:tc>
          <w:tcPr>
            <w:tcW w:w="153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退职（役）费</w:t>
            </w:r>
          </w:p>
        </w:tc>
        <w:tc>
          <w:tcPr>
            <w:tcW w:w="1538" w:type="dxa"/>
            <w:tcBorders>
              <w:top w:val="nil"/>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cantSplit/>
          <w:trHeight w:val="413" w:hRule="atLeast"/>
        </w:trPr>
        <w:tc>
          <w:tcPr>
            <w:tcW w:w="1816" w:type="dxa"/>
            <w:tcBorders>
              <w:top w:val="single" w:color="auto" w:sz="4" w:space="0"/>
              <w:left w:val="single" w:color="auto" w:sz="4" w:space="0"/>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抚恤金</w:t>
            </w:r>
          </w:p>
        </w:tc>
        <w:tc>
          <w:tcPr>
            <w:tcW w:w="1538" w:type="dxa"/>
            <w:tcBorders>
              <w:top w:val="single" w:color="auto" w:sz="4" w:space="0"/>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single" w:color="auto" w:sz="4" w:space="0"/>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single" w:color="auto" w:sz="4" w:space="0"/>
              <w:left w:val="nil"/>
              <w:bottom w:val="single" w:color="auto" w:sz="4"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single" w:color="auto" w:sz="4" w:space="0"/>
              <w:left w:val="nil"/>
              <w:bottom w:val="single" w:color="auto" w:sz="4" w:space="0"/>
              <w:right w:val="single" w:color="auto" w:sz="4"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single" w:color="auto" w:sz="4"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生活补助</w:t>
            </w:r>
          </w:p>
        </w:tc>
        <w:tc>
          <w:tcPr>
            <w:tcW w:w="1538"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4.54</w:t>
            </w:r>
          </w:p>
        </w:tc>
        <w:tc>
          <w:tcPr>
            <w:tcW w:w="1875"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救济费</w:t>
            </w:r>
          </w:p>
        </w:tc>
        <w:tc>
          <w:tcPr>
            <w:tcW w:w="153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医疗费补助</w:t>
            </w:r>
          </w:p>
        </w:tc>
        <w:tc>
          <w:tcPr>
            <w:tcW w:w="153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助学金</w:t>
            </w:r>
          </w:p>
        </w:tc>
        <w:tc>
          <w:tcPr>
            <w:tcW w:w="153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奖励金</w:t>
            </w:r>
          </w:p>
        </w:tc>
        <w:tc>
          <w:tcPr>
            <w:tcW w:w="153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个人农业生产补贴</w:t>
            </w:r>
          </w:p>
        </w:tc>
        <w:tc>
          <w:tcPr>
            <w:tcW w:w="153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其他对个人和家庭的补助支出</w:t>
            </w:r>
          </w:p>
        </w:tc>
        <w:tc>
          <w:tcPr>
            <w:tcW w:w="153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8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合计</w:t>
            </w:r>
          </w:p>
        </w:tc>
        <w:tc>
          <w:tcPr>
            <w:tcW w:w="1538"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60"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4.54</w:t>
            </w:r>
          </w:p>
        </w:tc>
        <w:tc>
          <w:tcPr>
            <w:tcW w:w="1875"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575" w:type="dxa"/>
            <w:tcBorders>
              <w:top w:val="nil"/>
              <w:left w:val="nil"/>
              <w:bottom w:val="single" w:color="000000" w:sz="8" w:space="0"/>
              <w:right w:val="single" w:color="000000" w:sz="8" w:space="0"/>
            </w:tcBorders>
            <w:shd w:val="clear" w:color="auto" w:fill="C0C0C0"/>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bl>
    <w:p>
      <w:pPr>
        <w:adjustRightInd w:val="0"/>
        <w:snapToGrid w:val="0"/>
        <w:spacing w:line="600" w:lineRule="exact"/>
        <w:ind w:left="480" w:hanging="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机构改革，单位新成立。</w:t>
      </w:r>
    </w:p>
    <w:p>
      <w:pPr>
        <w:adjustRightInd w:val="0"/>
        <w:snapToGrid w:val="0"/>
        <w:spacing w:line="600" w:lineRule="exact"/>
        <w:ind w:left="480" w:hanging="480"/>
        <w:rPr>
          <w:rFonts w:hint="eastAsia" w:ascii="仿宋_GB2312" w:hAnsi="仿宋_GB2312" w:eastAsia="仿宋_GB2312" w:cs="仿宋_GB2312"/>
          <w:sz w:val="32"/>
          <w:szCs w:val="32"/>
        </w:rPr>
      </w:pPr>
      <w:r>
        <w:rPr>
          <w:rFonts w:hint="eastAsia" w:eastAsia="楷体_GB2312"/>
          <w:b/>
          <w:sz w:val="32"/>
          <w:szCs w:val="32"/>
        </w:rPr>
        <w:t>（二）“三公经费”支出使用和管理</w:t>
      </w:r>
    </w:p>
    <w:p>
      <w:pPr>
        <w:adjustRightInd w:val="0"/>
        <w:snapToGrid w:val="0"/>
        <w:spacing w:line="600" w:lineRule="exact"/>
        <w:ind w:left="480" w:hanging="480"/>
        <w:rPr>
          <w:rFonts w:ascii="仿宋" w:hAnsi="仿宋" w:eastAsia="仿宋"/>
          <w:sz w:val="32"/>
          <w:szCs w:val="32"/>
        </w:rPr>
      </w:pPr>
      <w:bookmarkStart w:id="1" w:name="_Toc419142213"/>
      <w:r>
        <w:rPr>
          <w:rFonts w:hint="eastAsia" w:ascii="仿宋_GB2312" w:hAnsi="仿宋_GB2312" w:eastAsia="仿宋_GB2312" w:cs="仿宋_GB2312"/>
          <w:b/>
          <w:bCs/>
          <w:sz w:val="32"/>
          <w:szCs w:val="32"/>
        </w:rPr>
        <w:t>1</w:t>
      </w:r>
      <w:bookmarkEnd w:id="1"/>
      <w:r>
        <w:rPr>
          <w:rFonts w:hint="eastAsia" w:ascii="仿宋_GB2312" w:hAnsi="仿宋_GB2312" w:eastAsia="仿宋_GB2312" w:cs="仿宋_GB2312"/>
          <w:b/>
          <w:bCs/>
          <w:sz w:val="32"/>
          <w:szCs w:val="32"/>
        </w:rPr>
        <w:t>、“三公经费”预算执行</w:t>
      </w:r>
    </w:p>
    <w:tbl>
      <w:tblPr>
        <w:tblStyle w:val="7"/>
        <w:tblW w:w="0" w:type="auto"/>
        <w:jc w:val="center"/>
        <w:tblLayout w:type="fixed"/>
        <w:tblCellMar>
          <w:top w:w="0" w:type="dxa"/>
          <w:left w:w="0" w:type="dxa"/>
          <w:bottom w:w="0" w:type="dxa"/>
          <w:right w:w="0" w:type="dxa"/>
        </w:tblCellMar>
      </w:tblPr>
      <w:tblGrid>
        <w:gridCol w:w="1632"/>
        <w:gridCol w:w="1065"/>
        <w:gridCol w:w="1125"/>
        <w:gridCol w:w="1005"/>
        <w:gridCol w:w="1170"/>
        <w:gridCol w:w="1149"/>
        <w:gridCol w:w="1290"/>
      </w:tblGrid>
      <w:tr>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lang w:bidi="ar"/>
              </w:rPr>
            </w:pPr>
          </w:p>
        </w:tc>
        <w:tc>
          <w:tcPr>
            <w:tcW w:w="1065"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基本支出</w:t>
            </w:r>
          </w:p>
        </w:tc>
        <w:tc>
          <w:tcPr>
            <w:tcW w:w="1125"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项目支出</w:t>
            </w:r>
          </w:p>
        </w:tc>
        <w:tc>
          <w:tcPr>
            <w:tcW w:w="1005"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基本支出</w:t>
            </w:r>
          </w:p>
        </w:tc>
        <w:tc>
          <w:tcPr>
            <w:tcW w:w="1170"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项目支出</w:t>
            </w:r>
          </w:p>
        </w:tc>
        <w:tc>
          <w:tcPr>
            <w:tcW w:w="1149"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基本支出</w:t>
            </w:r>
          </w:p>
        </w:tc>
        <w:tc>
          <w:tcPr>
            <w:tcW w:w="1290"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公务接待费</w:t>
            </w:r>
          </w:p>
        </w:tc>
        <w:tc>
          <w:tcPr>
            <w:tcW w:w="106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w:t>
            </w:r>
          </w:p>
        </w:tc>
        <w:tc>
          <w:tcPr>
            <w:tcW w:w="112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0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0.49</w:t>
            </w:r>
          </w:p>
        </w:tc>
        <w:tc>
          <w:tcPr>
            <w:tcW w:w="117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49"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0.51</w:t>
            </w:r>
          </w:p>
        </w:tc>
        <w:tc>
          <w:tcPr>
            <w:tcW w:w="129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公车运行维护费</w:t>
            </w:r>
          </w:p>
        </w:tc>
        <w:tc>
          <w:tcPr>
            <w:tcW w:w="106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2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0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7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49"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9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公务车购置费</w:t>
            </w:r>
          </w:p>
        </w:tc>
        <w:tc>
          <w:tcPr>
            <w:tcW w:w="106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2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0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7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49"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9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因公出国费用</w:t>
            </w:r>
          </w:p>
        </w:tc>
        <w:tc>
          <w:tcPr>
            <w:tcW w:w="106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2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0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7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49"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9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6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2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05"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7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49"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90" w:type="dxa"/>
            <w:tcBorders>
              <w:top w:val="nil"/>
              <w:left w:val="nil"/>
              <w:bottom w:val="single" w:color="000000" w:sz="8" w:space="0"/>
              <w:right w:val="single" w:color="000000" w:sz="8" w:space="0"/>
            </w:tcBorders>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合计</w:t>
            </w:r>
          </w:p>
        </w:tc>
        <w:tc>
          <w:tcPr>
            <w:tcW w:w="1065" w:type="dxa"/>
            <w:tcBorders>
              <w:top w:val="nil"/>
              <w:left w:val="nil"/>
              <w:bottom w:val="single" w:color="000000" w:sz="8" w:space="0"/>
              <w:right w:val="single" w:color="000000" w:sz="8" w:space="0"/>
            </w:tcBorders>
            <w:shd w:val="clear" w:color="auto" w:fill="D9D9D9"/>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1</w:t>
            </w:r>
          </w:p>
        </w:tc>
        <w:tc>
          <w:tcPr>
            <w:tcW w:w="1125" w:type="dxa"/>
            <w:tcBorders>
              <w:top w:val="nil"/>
              <w:left w:val="nil"/>
              <w:bottom w:val="single" w:color="000000" w:sz="8" w:space="0"/>
              <w:right w:val="single" w:color="000000" w:sz="8" w:space="0"/>
            </w:tcBorders>
            <w:shd w:val="clear" w:color="auto" w:fill="D9D9D9"/>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05" w:type="dxa"/>
            <w:tcBorders>
              <w:top w:val="nil"/>
              <w:left w:val="nil"/>
              <w:bottom w:val="single" w:color="000000" w:sz="8" w:space="0"/>
              <w:right w:val="single" w:color="000000" w:sz="8" w:space="0"/>
            </w:tcBorders>
            <w:shd w:val="clear" w:color="auto" w:fill="D9D9D9"/>
            <w:noWrap w:val="0"/>
            <w:tcMar>
              <w:left w:w="15" w:type="dxa"/>
              <w:right w:w="15" w:type="dxa"/>
            </w:tcMar>
            <w:vAlign w:val="top"/>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0.49</w:t>
            </w:r>
          </w:p>
        </w:tc>
        <w:tc>
          <w:tcPr>
            <w:tcW w:w="1170" w:type="dxa"/>
            <w:tcBorders>
              <w:top w:val="nil"/>
              <w:left w:val="nil"/>
              <w:bottom w:val="single" w:color="000000" w:sz="8" w:space="0"/>
              <w:right w:val="single" w:color="000000" w:sz="8" w:space="0"/>
            </w:tcBorders>
            <w:shd w:val="clear" w:color="auto" w:fill="D9D9D9"/>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49" w:type="dxa"/>
            <w:tcBorders>
              <w:top w:val="nil"/>
              <w:left w:val="nil"/>
              <w:bottom w:val="single" w:color="000000" w:sz="8" w:space="0"/>
              <w:right w:val="single" w:color="000000" w:sz="8" w:space="0"/>
            </w:tcBorders>
            <w:shd w:val="clear" w:color="auto" w:fill="D9D9D9"/>
            <w:noWrap w:val="0"/>
            <w:tcMar>
              <w:left w:w="15" w:type="dxa"/>
              <w:right w:w="15" w:type="dxa"/>
            </w:tcMar>
            <w:vAlign w:val="top"/>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0.51</w:t>
            </w:r>
          </w:p>
        </w:tc>
        <w:tc>
          <w:tcPr>
            <w:tcW w:w="1290" w:type="dxa"/>
            <w:tcBorders>
              <w:top w:val="nil"/>
              <w:left w:val="nil"/>
              <w:bottom w:val="single" w:color="000000" w:sz="8" w:space="0"/>
              <w:right w:val="single" w:color="000000" w:sz="8" w:space="0"/>
            </w:tcBorders>
            <w:shd w:val="clear" w:color="auto" w:fill="D9D9D9"/>
            <w:noWrap w:val="0"/>
            <w:tcMar>
              <w:left w:w="15" w:type="dxa"/>
              <w:right w:w="15" w:type="dxa"/>
            </w:tcMar>
            <w:vAlign w:val="top"/>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bl>
    <w:p>
      <w:pPr>
        <w:adjustRightInd w:val="0"/>
        <w:snapToGrid w:val="0"/>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机构改革，单位新成立，预算有差距。</w:t>
      </w:r>
    </w:p>
    <w:p>
      <w:pPr>
        <w:adjustRightInd w:val="0"/>
        <w:snapToGrid w:val="0"/>
        <w:spacing w:line="600" w:lineRule="exact"/>
        <w:ind w:left="480" w:hanging="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2、“三公经费”与上年度比较</w:t>
      </w:r>
    </w:p>
    <w:tbl>
      <w:tblPr>
        <w:tblStyle w:val="7"/>
        <w:tblW w:w="0" w:type="auto"/>
        <w:jc w:val="center"/>
        <w:tblLayout w:type="fixed"/>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费用项目</w:t>
            </w:r>
          </w:p>
        </w:tc>
        <w:tc>
          <w:tcPr>
            <w:tcW w:w="1179" w:type="dxa"/>
            <w:tcBorders>
              <w:top w:val="single" w:color="000000" w:sz="8" w:space="0"/>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本年金额</w:t>
            </w:r>
          </w:p>
        </w:tc>
        <w:tc>
          <w:tcPr>
            <w:tcW w:w="1255" w:type="dxa"/>
            <w:tcBorders>
              <w:top w:val="single" w:color="000000" w:sz="8" w:space="0"/>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上年金额</w:t>
            </w:r>
          </w:p>
        </w:tc>
        <w:tc>
          <w:tcPr>
            <w:tcW w:w="1249" w:type="dxa"/>
            <w:tcBorders>
              <w:top w:val="single" w:color="000000" w:sz="8" w:space="0"/>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增减额</w:t>
            </w:r>
          </w:p>
        </w:tc>
        <w:tc>
          <w:tcPr>
            <w:tcW w:w="2477" w:type="dxa"/>
            <w:tcBorders>
              <w:top w:val="single" w:color="000000" w:sz="8" w:space="0"/>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公务接待费</w:t>
            </w:r>
          </w:p>
        </w:tc>
        <w:tc>
          <w:tcPr>
            <w:tcW w:w="117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0.49</w:t>
            </w:r>
          </w:p>
        </w:tc>
        <w:tc>
          <w:tcPr>
            <w:tcW w:w="1255"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w:t>
            </w:r>
          </w:p>
        </w:tc>
        <w:tc>
          <w:tcPr>
            <w:tcW w:w="124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0.49</w:t>
            </w:r>
          </w:p>
        </w:tc>
        <w:tc>
          <w:tcPr>
            <w:tcW w:w="2477"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公车运行维护费</w:t>
            </w:r>
          </w:p>
        </w:tc>
        <w:tc>
          <w:tcPr>
            <w:tcW w:w="117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55"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4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2477"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公务车辆购置费</w:t>
            </w:r>
          </w:p>
        </w:tc>
        <w:tc>
          <w:tcPr>
            <w:tcW w:w="117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55"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4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2477"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因公出国</w:t>
            </w:r>
            <w:r>
              <w:rPr>
                <w:rFonts w:hint="eastAsia" w:ascii="仿宋" w:hAnsi="仿宋" w:eastAsia="仿宋" w:cs="宋体"/>
                <w:color w:val="010101"/>
                <w:kern w:val="0"/>
                <w:szCs w:val="21"/>
                <w:lang w:eastAsia="zh-CN" w:bidi="ar"/>
              </w:rPr>
              <w:t>（</w:t>
            </w:r>
            <w:r>
              <w:rPr>
                <w:rFonts w:hint="eastAsia" w:ascii="仿宋" w:hAnsi="仿宋" w:eastAsia="仿宋" w:cs="宋体"/>
                <w:color w:val="010101"/>
                <w:kern w:val="0"/>
                <w:szCs w:val="21"/>
                <w:lang w:bidi="ar"/>
              </w:rPr>
              <w:t>境</w:t>
            </w:r>
            <w:r>
              <w:rPr>
                <w:rFonts w:hint="eastAsia" w:ascii="仿宋" w:hAnsi="仿宋" w:eastAsia="仿宋" w:cs="宋体"/>
                <w:color w:val="010101"/>
                <w:kern w:val="0"/>
                <w:szCs w:val="21"/>
                <w:lang w:eastAsia="zh-CN" w:bidi="ar"/>
              </w:rPr>
              <w:t>）</w:t>
            </w:r>
            <w:r>
              <w:rPr>
                <w:rFonts w:hint="eastAsia" w:ascii="仿宋" w:hAnsi="仿宋" w:eastAsia="仿宋" w:cs="宋体"/>
                <w:color w:val="010101"/>
                <w:kern w:val="0"/>
                <w:szCs w:val="21"/>
                <w:lang w:bidi="ar"/>
              </w:rPr>
              <w:t>费用</w:t>
            </w:r>
          </w:p>
        </w:tc>
        <w:tc>
          <w:tcPr>
            <w:tcW w:w="117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55"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4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2477"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17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55"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249"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2477" w:type="dxa"/>
            <w:tcBorders>
              <w:top w:val="nil"/>
              <w:left w:val="nil"/>
              <w:bottom w:val="single" w:color="000000" w:sz="8" w:space="0"/>
              <w:right w:val="single" w:color="000000" w:sz="8" w:space="0"/>
            </w:tcBorders>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合计</w:t>
            </w:r>
          </w:p>
        </w:tc>
        <w:tc>
          <w:tcPr>
            <w:tcW w:w="1179"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0.49</w:t>
            </w:r>
          </w:p>
        </w:tc>
        <w:tc>
          <w:tcPr>
            <w:tcW w:w="1255"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w:t>
            </w:r>
          </w:p>
        </w:tc>
        <w:tc>
          <w:tcPr>
            <w:tcW w:w="1249"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r>
              <w:rPr>
                <w:rFonts w:hint="eastAsia" w:ascii="仿宋" w:hAnsi="仿宋" w:eastAsia="仿宋" w:cs="宋体"/>
                <w:color w:val="010101"/>
                <w:kern w:val="0"/>
                <w:szCs w:val="21"/>
                <w:lang w:val="en-US" w:eastAsia="zh-CN" w:bidi="ar"/>
              </w:rPr>
              <w:t>0.49</w:t>
            </w:r>
          </w:p>
        </w:tc>
        <w:tc>
          <w:tcPr>
            <w:tcW w:w="2477" w:type="dxa"/>
            <w:tcBorders>
              <w:top w:val="nil"/>
              <w:left w:val="nil"/>
              <w:bottom w:val="single" w:color="000000" w:sz="8" w:space="0"/>
              <w:right w:val="single" w:color="000000" w:sz="8" w:space="0"/>
            </w:tcBorders>
            <w:shd w:val="clear" w:color="auto" w:fill="D9D9D9"/>
            <w:noWrap w:val="0"/>
            <w:tcMar>
              <w:left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bl>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机构改革，单位新成立。</w:t>
      </w:r>
    </w:p>
    <w:p>
      <w:pPr>
        <w:adjustRightInd w:val="0"/>
        <w:snapToGrid w:val="0"/>
        <w:spacing w:line="600" w:lineRule="exact"/>
        <w:ind w:left="480" w:hanging="480"/>
        <w:rPr>
          <w:rFonts w:hint="eastAsia" w:ascii="仿宋_GB2312" w:hAnsi="仿宋_GB2312" w:eastAsia="仿宋_GB2312" w:cs="仿宋_GB2312"/>
          <w:sz w:val="32"/>
          <w:szCs w:val="32"/>
        </w:rPr>
      </w:pPr>
      <w:r>
        <w:rPr>
          <w:rFonts w:hint="eastAsia" w:eastAsia="楷体_GB2312"/>
          <w:b/>
          <w:sz w:val="32"/>
          <w:szCs w:val="32"/>
        </w:rPr>
        <w:t>（三）专项支出管理</w:t>
      </w:r>
    </w:p>
    <w:p>
      <w:pPr>
        <w:adjustRightInd w:val="0"/>
        <w:snapToGrid w:val="0"/>
        <w:spacing w:line="600" w:lineRule="exact"/>
        <w:ind w:left="480" w:hanging="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1、专项资金基本情况及绩效目标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单位新成立，本年度无专项资金。</w:t>
      </w:r>
    </w:p>
    <w:p>
      <w:pPr>
        <w:adjustRightInd w:val="0"/>
        <w:snapToGrid w:val="0"/>
        <w:spacing w:line="600" w:lineRule="exact"/>
        <w:ind w:left="480" w:hanging="480"/>
        <w:rPr>
          <w:rFonts w:hint="eastAsia" w:ascii="仿宋" w:hAnsi="仿宋" w:eastAsia="仿宋"/>
          <w:sz w:val="32"/>
          <w:szCs w:val="32"/>
        </w:rPr>
      </w:pPr>
      <w:r>
        <w:rPr>
          <w:rFonts w:hint="eastAsia" w:ascii="仿宋_GB2312" w:hAnsi="仿宋_GB2312" w:eastAsia="仿宋_GB2312" w:cs="仿宋_GB2312"/>
          <w:b/>
          <w:bCs/>
          <w:sz w:val="32"/>
          <w:szCs w:val="32"/>
        </w:rPr>
        <w:t>2、专项资金预算执行</w:t>
      </w:r>
    </w:p>
    <w:tbl>
      <w:tblPr>
        <w:tblStyle w:val="7"/>
        <w:tblW w:w="8960" w:type="dxa"/>
        <w:tblInd w:w="0" w:type="dxa"/>
        <w:tblLayout w:type="fixed"/>
        <w:tblCellMar>
          <w:top w:w="0" w:type="dxa"/>
          <w:left w:w="0" w:type="dxa"/>
          <w:bottom w:w="0" w:type="dxa"/>
          <w:right w:w="0" w:type="dxa"/>
        </w:tblCellMar>
      </w:tblPr>
      <w:tblGrid>
        <w:gridCol w:w="2704"/>
        <w:gridCol w:w="634"/>
        <w:gridCol w:w="542"/>
        <w:gridCol w:w="575"/>
        <w:gridCol w:w="670"/>
        <w:gridCol w:w="725"/>
        <w:gridCol w:w="1089"/>
        <w:gridCol w:w="2021"/>
      </w:tblGrid>
      <w:tr>
        <w:tblPrEx>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专项子目名称</w:t>
            </w:r>
          </w:p>
        </w:tc>
        <w:tc>
          <w:tcPr>
            <w:tcW w:w="2421" w:type="dxa"/>
            <w:gridSpan w:val="4"/>
            <w:tcBorders>
              <w:top w:val="single" w:color="000000" w:sz="12"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本年预算可用指标</w:t>
            </w:r>
          </w:p>
        </w:tc>
        <w:tc>
          <w:tcPr>
            <w:tcW w:w="725" w:type="dxa"/>
            <w:vMerge w:val="restart"/>
            <w:tcBorders>
              <w:top w:val="single" w:color="000000" w:sz="12"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本年实际支出</w:t>
            </w:r>
          </w:p>
        </w:tc>
        <w:tc>
          <w:tcPr>
            <w:tcW w:w="1089" w:type="dxa"/>
            <w:vMerge w:val="restart"/>
            <w:tcBorders>
              <w:top w:val="single" w:color="000000" w:sz="12"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本年结余</w:t>
            </w:r>
          </w:p>
        </w:tc>
        <w:tc>
          <w:tcPr>
            <w:tcW w:w="2021" w:type="dxa"/>
            <w:vMerge w:val="restart"/>
            <w:tcBorders>
              <w:top w:val="single" w:color="000000" w:sz="12" w:space="0"/>
              <w:left w:val="nil"/>
              <w:bottom w:val="single" w:color="000000" w:sz="8" w:space="0"/>
              <w:right w:val="single" w:color="000000" w:sz="12"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投入进度</w:t>
            </w:r>
          </w:p>
        </w:tc>
      </w:tr>
      <w:tr>
        <w:tblPrEx>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lang w:bidi="ar"/>
              </w:rPr>
            </w:pPr>
          </w:p>
        </w:tc>
        <w:tc>
          <w:tcPr>
            <w:tcW w:w="6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上年</w:t>
            </w:r>
          </w:p>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结余</w:t>
            </w:r>
          </w:p>
        </w:tc>
        <w:tc>
          <w:tcPr>
            <w:tcW w:w="54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年初</w:t>
            </w:r>
          </w:p>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预算</w:t>
            </w:r>
          </w:p>
        </w:tc>
        <w:tc>
          <w:tcPr>
            <w:tcW w:w="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本年</w:t>
            </w:r>
          </w:p>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追加</w:t>
            </w:r>
          </w:p>
        </w:tc>
        <w:tc>
          <w:tcPr>
            <w:tcW w:w="67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合计</w:t>
            </w:r>
          </w:p>
        </w:tc>
        <w:tc>
          <w:tcPr>
            <w:tcW w:w="725" w:type="dxa"/>
            <w:vMerge w:val="continue"/>
            <w:tcBorders>
              <w:top w:val="single" w:color="000000" w:sz="12"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lang w:bidi="ar"/>
              </w:rPr>
            </w:pPr>
          </w:p>
        </w:tc>
        <w:tc>
          <w:tcPr>
            <w:tcW w:w="1089" w:type="dxa"/>
            <w:vMerge w:val="continue"/>
            <w:tcBorders>
              <w:top w:val="single" w:color="000000" w:sz="12" w:space="0"/>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lang w:bidi="ar"/>
              </w:rPr>
            </w:pPr>
          </w:p>
        </w:tc>
        <w:tc>
          <w:tcPr>
            <w:tcW w:w="2021" w:type="dxa"/>
            <w:vMerge w:val="continue"/>
            <w:tcBorders>
              <w:top w:val="single" w:color="000000" w:sz="12" w:space="0"/>
              <w:left w:val="nil"/>
              <w:bottom w:val="single" w:color="000000" w:sz="8" w:space="0"/>
              <w:right w:val="single" w:color="000000" w:sz="12"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lang w:bidi="ar"/>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6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54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p>
        </w:tc>
        <w:tc>
          <w:tcPr>
            <w:tcW w:w="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val="en-US" w:eastAsia="zh-CN" w:bidi="ar"/>
              </w:rPr>
            </w:pPr>
          </w:p>
        </w:tc>
        <w:tc>
          <w:tcPr>
            <w:tcW w:w="67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p>
        </w:tc>
        <w:tc>
          <w:tcPr>
            <w:tcW w:w="72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default" w:ascii="仿宋" w:hAnsi="仿宋" w:eastAsia="仿宋" w:cs="宋体"/>
                <w:color w:val="010101"/>
                <w:kern w:val="0"/>
                <w:szCs w:val="21"/>
                <w:lang w:val="en-US" w:eastAsia="zh-CN" w:bidi="ar"/>
              </w:rPr>
            </w:pPr>
          </w:p>
        </w:tc>
        <w:tc>
          <w:tcPr>
            <w:tcW w:w="108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val="en-US" w:eastAsia="zh-CN" w:bidi="ar"/>
              </w:rPr>
            </w:pPr>
          </w:p>
        </w:tc>
        <w:tc>
          <w:tcPr>
            <w:tcW w:w="2021" w:type="dxa"/>
            <w:tcBorders>
              <w:top w:val="nil"/>
              <w:left w:val="nil"/>
              <w:bottom w:val="single" w:color="000000" w:sz="8" w:space="0"/>
              <w:right w:val="single" w:color="000000" w:sz="12"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val="en-US" w:eastAsia="zh-CN" w:bidi="ar"/>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6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54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67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72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8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2021" w:type="dxa"/>
            <w:tcBorders>
              <w:top w:val="nil"/>
              <w:left w:val="nil"/>
              <w:bottom w:val="single" w:color="000000" w:sz="8" w:space="0"/>
              <w:right w:val="single" w:color="000000" w:sz="12"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63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54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57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67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72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8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2021" w:type="dxa"/>
            <w:tcBorders>
              <w:top w:val="nil"/>
              <w:left w:val="nil"/>
              <w:bottom w:val="single" w:color="000000" w:sz="8" w:space="0"/>
              <w:right w:val="single" w:color="000000" w:sz="12"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r>
        <w:tblPrEx>
          <w:tblCellMar>
            <w:top w:w="0" w:type="dxa"/>
            <w:left w:w="0" w:type="dxa"/>
            <w:bottom w:w="0" w:type="dxa"/>
            <w:right w:w="0" w:type="dxa"/>
          </w:tblCellMar>
        </w:tblPrEx>
        <w:trPr>
          <w:trHeight w:val="440" w:hRule="atLeast"/>
        </w:trPr>
        <w:tc>
          <w:tcPr>
            <w:tcW w:w="2704" w:type="dxa"/>
            <w:tcBorders>
              <w:top w:val="nil"/>
              <w:left w:val="single" w:color="000000" w:sz="12" w:space="0"/>
              <w:bottom w:val="single" w:color="000000" w:sz="12"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r>
              <w:rPr>
                <w:rFonts w:hint="eastAsia" w:ascii="仿宋" w:hAnsi="仿宋" w:eastAsia="仿宋" w:cs="宋体"/>
                <w:color w:val="010101"/>
                <w:kern w:val="0"/>
                <w:szCs w:val="21"/>
                <w:lang w:bidi="ar"/>
              </w:rPr>
              <w:t>合</w:t>
            </w:r>
            <w:r>
              <w:rPr>
                <w:rFonts w:hint="eastAsia" w:ascii="宋体" w:hAnsi="宋体" w:eastAsia="仿宋" w:cs="宋体"/>
                <w:color w:val="010101"/>
                <w:kern w:val="0"/>
                <w:szCs w:val="21"/>
                <w:lang w:bidi="ar"/>
              </w:rPr>
              <w:t> </w:t>
            </w:r>
            <w:r>
              <w:rPr>
                <w:rFonts w:hint="eastAsia" w:ascii="仿宋" w:hAnsi="仿宋" w:eastAsia="仿宋" w:cs="宋体"/>
                <w:color w:val="010101"/>
                <w:kern w:val="0"/>
                <w:szCs w:val="21"/>
                <w:lang w:bidi="ar"/>
              </w:rPr>
              <w:t>计</w:t>
            </w:r>
          </w:p>
        </w:tc>
        <w:tc>
          <w:tcPr>
            <w:tcW w:w="634" w:type="dxa"/>
            <w:tcBorders>
              <w:top w:val="nil"/>
              <w:left w:val="nil"/>
              <w:bottom w:val="single" w:color="000000" w:sz="12"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542" w:type="dxa"/>
            <w:tcBorders>
              <w:top w:val="nil"/>
              <w:left w:val="nil"/>
              <w:bottom w:val="single" w:color="000000" w:sz="12"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575" w:type="dxa"/>
            <w:tcBorders>
              <w:top w:val="nil"/>
              <w:left w:val="nil"/>
              <w:bottom w:val="single" w:color="000000" w:sz="12"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670" w:type="dxa"/>
            <w:tcBorders>
              <w:top w:val="nil"/>
              <w:left w:val="nil"/>
              <w:bottom w:val="single" w:color="000000" w:sz="12"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725" w:type="dxa"/>
            <w:tcBorders>
              <w:top w:val="nil"/>
              <w:left w:val="nil"/>
              <w:bottom w:val="single" w:color="000000" w:sz="12"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1089" w:type="dxa"/>
            <w:tcBorders>
              <w:top w:val="nil"/>
              <w:left w:val="nil"/>
              <w:bottom w:val="single" w:color="000000" w:sz="12" w:space="0"/>
              <w:right w:val="single" w:color="000000" w:sz="8"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c>
          <w:tcPr>
            <w:tcW w:w="2021" w:type="dxa"/>
            <w:tcBorders>
              <w:top w:val="nil"/>
              <w:left w:val="nil"/>
              <w:bottom w:val="single" w:color="000000" w:sz="12" w:space="0"/>
              <w:right w:val="single" w:color="000000" w:sz="12" w:space="0"/>
            </w:tcBorders>
            <w:noWrap w:val="0"/>
            <w:tcMar>
              <w:top w:w="15" w:type="dxa"/>
              <w:left w:w="15" w:type="dxa"/>
              <w:bottom w:w="15" w:type="dxa"/>
              <w:right w:w="15" w:type="dxa"/>
            </w:tcMar>
            <w:vAlign w:val="center"/>
          </w:tcPr>
          <w:p>
            <w:pPr>
              <w:widowControl/>
              <w:snapToGrid w:val="0"/>
              <w:spacing w:line="600" w:lineRule="exact"/>
              <w:ind w:left="315" w:hanging="315"/>
              <w:jc w:val="center"/>
              <w:rPr>
                <w:rFonts w:hint="eastAsia" w:ascii="仿宋" w:hAnsi="仿宋" w:eastAsia="仿宋" w:cs="宋体"/>
                <w:color w:val="010101"/>
                <w:kern w:val="0"/>
                <w:szCs w:val="21"/>
                <w:lang w:bidi="ar"/>
              </w:rPr>
            </w:pPr>
          </w:p>
        </w:tc>
      </w:tr>
    </w:tbl>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单位新成立，本年度无专项资金。</w:t>
      </w:r>
    </w:p>
    <w:p>
      <w:pPr>
        <w:adjustRightInd w:val="0"/>
        <w:snapToGrid w:val="0"/>
        <w:spacing w:line="600" w:lineRule="exact"/>
        <w:ind w:left="480" w:hanging="48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3、专项资金的管理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四、部门整体支出绩效评价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根据年度重点和日常工作安排，各项工作取得了新成绩和突破；前面通过对部门整体支出情况的概述和实际支出情况的分析，部门整体支出绩效目标管理情况评价如下：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在收支预算内，确保完成以下整体目标：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eastAsia="楷体_GB2312"/>
          <w:b/>
          <w:sz w:val="32"/>
          <w:szCs w:val="32"/>
          <w:lang w:eastAsia="zh-CN"/>
        </w:rPr>
        <w:t>（</w:t>
      </w:r>
      <w:r>
        <w:rPr>
          <w:rFonts w:hint="eastAsia" w:eastAsia="楷体_GB2312"/>
          <w:b/>
          <w:sz w:val="32"/>
          <w:szCs w:val="32"/>
          <w:lang w:val="en-US" w:eastAsia="zh-CN"/>
        </w:rPr>
        <w:t>一）</w:t>
      </w:r>
      <w:r>
        <w:rPr>
          <w:rFonts w:hint="eastAsia" w:eastAsia="楷体_GB2312"/>
          <w:b/>
          <w:sz w:val="32"/>
          <w:szCs w:val="32"/>
        </w:rPr>
        <w:t>经济性评价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预算配置方面：编制数15人，在职人员6人，在编制控制范围内，在职人员控制率为40%。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预算执行方面：2020年初预算72.8万元，本年追加2万元，年末结存0万元。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eastAsia="楷体_GB2312"/>
          <w:b/>
          <w:sz w:val="32"/>
          <w:szCs w:val="32"/>
          <w:lang w:eastAsia="zh-CN"/>
        </w:rPr>
        <w:t>（</w:t>
      </w:r>
      <w:r>
        <w:rPr>
          <w:rFonts w:hint="eastAsia" w:eastAsia="楷体_GB2312"/>
          <w:b/>
          <w:sz w:val="32"/>
          <w:szCs w:val="32"/>
          <w:lang w:val="en-US" w:eastAsia="zh-CN"/>
        </w:rPr>
        <w:t>二）</w:t>
      </w:r>
      <w:r>
        <w:rPr>
          <w:rFonts w:hint="eastAsia" w:eastAsia="楷体_GB2312"/>
          <w:b/>
          <w:sz w:val="32"/>
          <w:szCs w:val="32"/>
        </w:rPr>
        <w:t>行政效能评价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管理制度健全性：严格落实各项管理制度，规范财务审批程序，严格各项费用支出标准、范围和程序的审核。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资金使用合规性：严格落实中央八项规定和有关公务支出标准，加强经费合法合规性审核和预算控制，严格按制度政策办事，资金使用合法合规，支出手续齐全，程序到位。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rPr>
      </w:pPr>
      <w:r>
        <w:rPr>
          <w:rFonts w:hint="eastAsia" w:eastAsia="楷体_GB2312"/>
          <w:b/>
          <w:sz w:val="32"/>
          <w:szCs w:val="32"/>
          <w:lang w:eastAsia="zh-CN"/>
        </w:rPr>
        <w:t>（</w:t>
      </w:r>
      <w:r>
        <w:rPr>
          <w:rFonts w:hint="eastAsia" w:eastAsia="楷体_GB2312"/>
          <w:b/>
          <w:sz w:val="32"/>
          <w:szCs w:val="32"/>
          <w:lang w:val="en-US" w:eastAsia="zh-CN"/>
        </w:rPr>
        <w:t>三）</w:t>
      </w:r>
      <w:r>
        <w:rPr>
          <w:rFonts w:hint="eastAsia" w:eastAsia="楷体_GB2312"/>
          <w:b/>
          <w:sz w:val="32"/>
          <w:szCs w:val="32"/>
        </w:rPr>
        <w:t>项目产出及实现的社会效益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部门履行职责对社会发展所带来的间接影响是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为县委县政府决策提供真实可靠的依据。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rPr>
      </w:pPr>
      <w:r>
        <w:rPr>
          <w:rFonts w:hint="eastAsia" w:eastAsia="楷体_GB2312"/>
          <w:b/>
          <w:sz w:val="32"/>
          <w:szCs w:val="32"/>
          <w:lang w:eastAsia="zh-CN"/>
        </w:rPr>
        <w:t>（</w:t>
      </w:r>
      <w:r>
        <w:rPr>
          <w:rFonts w:hint="eastAsia" w:eastAsia="楷体_GB2312"/>
          <w:b/>
          <w:sz w:val="32"/>
          <w:szCs w:val="32"/>
          <w:lang w:val="en-US" w:eastAsia="zh-CN"/>
        </w:rPr>
        <w:t>四）</w:t>
      </w:r>
      <w:r>
        <w:rPr>
          <w:rFonts w:hint="eastAsia" w:eastAsia="楷体_GB2312"/>
          <w:b/>
          <w:sz w:val="32"/>
          <w:szCs w:val="32"/>
        </w:rPr>
        <w:t>可持续性分析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年，我单位较好地完成了年初制定的工作目标任务，各个项目有序开展，整体支出平稳，较好地实现社会效益和可持续效益目标。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rPr>
      </w:pPr>
      <w:r>
        <w:rPr>
          <w:rFonts w:hint="eastAsia" w:eastAsia="楷体_GB2312"/>
          <w:b/>
          <w:sz w:val="32"/>
          <w:szCs w:val="32"/>
          <w:lang w:eastAsia="zh-CN"/>
        </w:rPr>
        <w:t>（</w:t>
      </w:r>
      <w:r>
        <w:rPr>
          <w:rFonts w:hint="eastAsia" w:eastAsia="楷体_GB2312"/>
          <w:b/>
          <w:sz w:val="32"/>
          <w:szCs w:val="32"/>
          <w:lang w:val="en-US" w:eastAsia="zh-CN"/>
        </w:rPr>
        <w:t>五）</w:t>
      </w:r>
      <w:r>
        <w:rPr>
          <w:rFonts w:hint="eastAsia" w:eastAsia="楷体_GB2312"/>
          <w:b/>
          <w:sz w:val="32"/>
          <w:szCs w:val="32"/>
        </w:rPr>
        <w:t>社会公众满意度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我单位对所有项目实施和整体社会效益及满意度等各项指标进行调查，群众对项目实施满意度达9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%，达到了预期效果。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sz w:val="32"/>
          <w:szCs w:val="32"/>
        </w:rPr>
      </w:pPr>
      <w:r>
        <w:rPr>
          <w:rFonts w:hint="eastAsia" w:eastAsia="楷体_GB2312"/>
          <w:b/>
          <w:sz w:val="32"/>
          <w:szCs w:val="32"/>
          <w:lang w:eastAsia="zh-CN"/>
        </w:rPr>
        <w:t>（</w:t>
      </w:r>
      <w:r>
        <w:rPr>
          <w:rFonts w:hint="eastAsia" w:eastAsia="楷体_GB2312"/>
          <w:b/>
          <w:sz w:val="32"/>
          <w:szCs w:val="32"/>
          <w:lang w:val="en-US" w:eastAsia="zh-CN"/>
        </w:rPr>
        <w:t>六）</w:t>
      </w:r>
      <w:r>
        <w:rPr>
          <w:rFonts w:hint="eastAsia" w:eastAsia="楷体_GB2312"/>
          <w:b/>
          <w:sz w:val="32"/>
          <w:szCs w:val="32"/>
        </w:rPr>
        <w:t>部门整体绩效得分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sz w:val="32"/>
          <w:szCs w:val="32"/>
          <w:lang w:val="en-US" w:eastAsia="zh-CN"/>
        </w:rPr>
        <w:t>五、</w:t>
      </w:r>
      <w:r>
        <w:rPr>
          <w:rFonts w:hint="eastAsia" w:ascii="黑体" w:hAnsi="黑体" w:eastAsia="黑体" w:cs="黑体"/>
          <w:b/>
          <w:sz w:val="32"/>
          <w:szCs w:val="32"/>
        </w:rPr>
        <w:t>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由于单位新成立，对预算资金的准确性不高，预算编制不够完整。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sz w:val="32"/>
          <w:szCs w:val="32"/>
          <w:lang w:val="en-US" w:eastAsia="zh-CN"/>
        </w:rPr>
        <w:t>六、改进意见及建议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细化预算编制工作，认真做好年初预算编制。进一步加强单位内部各股室的预算管理意识，严格按照预算编制的相关要求进行编制。加强财务管理，严格财务审核。强化单位财务管理，健全单位财务管理制度体系，规范单位财务行为。加强沟通，提前做好规划，及时支付相关费用。</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5B4C5"/>
    <w:multiLevelType w:val="singleLevel"/>
    <w:tmpl w:val="9255B4C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jRjZGViZWVhMzdmNzhlYmU5MTM3MGM4YjYwNWMifQ=="/>
  </w:docVars>
  <w:rsids>
    <w:rsidRoot w:val="2C7139E1"/>
    <w:rsid w:val="102D7A57"/>
    <w:rsid w:val="1DE11574"/>
    <w:rsid w:val="2A055A0F"/>
    <w:rsid w:val="2C7139E1"/>
    <w:rsid w:val="3D1168B3"/>
    <w:rsid w:val="41732C1A"/>
    <w:rsid w:val="42B43572"/>
    <w:rsid w:val="477800F5"/>
    <w:rsid w:val="5F83383E"/>
    <w:rsid w:val="671D030B"/>
    <w:rsid w:val="72A2454E"/>
    <w:rsid w:val="7B3B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left="150" w:hanging="150" w:hangingChars="15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line="240" w:lineRule="auto"/>
      <w:ind w:left="0" w:firstLine="0" w:firstLineChars="0"/>
      <w:jc w:val="left"/>
      <w:outlineLvl w:val="1"/>
    </w:pPr>
    <w:rPr>
      <w:rFonts w:hint="eastAsia" w:ascii="宋体" w:hAnsi="宋体"/>
      <w:b/>
      <w:kern w:val="0"/>
      <w:sz w:val="36"/>
      <w:szCs w:val="36"/>
    </w:rPr>
  </w:style>
  <w:style w:type="paragraph" w:styleId="4">
    <w:name w:val="heading 3"/>
    <w:basedOn w:val="1"/>
    <w:next w:val="1"/>
    <w:qFormat/>
    <w:uiPriority w:val="0"/>
    <w:pPr>
      <w:spacing w:before="100" w:beforeAutospacing="1" w:after="100" w:afterAutospacing="1" w:line="240" w:lineRule="auto"/>
      <w:ind w:left="0" w:firstLine="0" w:firstLineChars="0"/>
      <w:jc w:val="left"/>
      <w:outlineLvl w:val="2"/>
    </w:pPr>
    <w:rPr>
      <w:rFonts w:hint="eastAsia"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3005</Words>
  <Characters>3183</Characters>
  <Lines>0</Lines>
  <Paragraphs>0</Paragraphs>
  <TotalTime>15</TotalTime>
  <ScaleCrop>false</ScaleCrop>
  <LinksUpToDate>false</LinksUpToDate>
  <CharactersWithSpaces>3186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2021-07-21T00:25:00Z</dcterms:created>
  <dc:creator>可不可以</dc:creator>
  <cp:lastModifiedBy>朱亚林</cp:lastModifiedBy>
  <cp:lastPrinted>2021-11-02T08:17:00Z</cp:lastPrinted>
  <dcterms:modified xsi:type="dcterms:W3CDTF">2022-10-17T11:37:38Z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D43D5F3E6B814F599A767F1FF3944648</vt:lpwstr>
  </property>
</Properties>
</file>