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12" w:firstLineChars="298"/>
        <w:rPr>
          <w:rFonts w:ascii="宋体" w:cs="黑体"/>
          <w:b/>
          <w:color w:val="000000"/>
          <w:sz w:val="44"/>
          <w:szCs w:val="44"/>
        </w:rPr>
      </w:pPr>
      <w:r>
        <w:rPr>
          <w:rFonts w:ascii="宋体" w:hAnsi="宋体" w:cs="黑体"/>
          <w:b/>
          <w:color w:val="000000"/>
          <w:sz w:val="44"/>
          <w:szCs w:val="44"/>
        </w:rPr>
        <w:t>2020</w:t>
      </w:r>
      <w:r>
        <w:rPr>
          <w:rFonts w:hint="eastAsia" w:ascii="宋体" w:hAnsi="宋体" w:cs="黑体"/>
          <w:b/>
          <w:color w:val="000000"/>
          <w:sz w:val="44"/>
          <w:szCs w:val="44"/>
        </w:rPr>
        <w:t>年度部门整体支出绩效评价报告</w:t>
      </w:r>
    </w:p>
    <w:p>
      <w:pPr>
        <w:ind w:firstLine="1312" w:firstLineChars="298"/>
        <w:rPr>
          <w:rFonts w:ascii="宋体" w:cs="黑体"/>
          <w:b/>
          <w:color w:val="000000"/>
          <w:sz w:val="44"/>
          <w:szCs w:val="44"/>
        </w:rPr>
      </w:pPr>
    </w:p>
    <w:p>
      <w:pPr>
        <w:spacing w:line="560" w:lineRule="exact"/>
        <w:ind w:left="502" w:leftChars="228" w:firstLine="160" w:firstLineChars="50"/>
        <w:outlineLvl w:val="0"/>
        <w:rPr>
          <w:rFonts w:ascii="宋体"/>
          <w:b/>
          <w:sz w:val="32"/>
          <w:szCs w:val="32"/>
        </w:rPr>
      </w:pPr>
      <w:r>
        <w:rPr>
          <w:rFonts w:hint="eastAsia" w:ascii="宋体" w:hAnsi="宋体"/>
          <w:b/>
          <w:sz w:val="32"/>
          <w:szCs w:val="32"/>
        </w:rPr>
        <w:t>一、单位概况</w:t>
      </w:r>
    </w:p>
    <w:p>
      <w:pPr>
        <w:pStyle w:val="25"/>
        <w:spacing w:line="560" w:lineRule="exact"/>
        <w:ind w:firstLine="643" w:firstLineChars="200"/>
        <w:rPr>
          <w:rFonts w:ascii="宋体"/>
          <w:b/>
          <w:sz w:val="32"/>
          <w:szCs w:val="32"/>
        </w:rPr>
      </w:pPr>
      <w:r>
        <w:rPr>
          <w:rFonts w:hint="eastAsia" w:ascii="宋体" w:hAnsi="宋体"/>
          <w:b/>
          <w:sz w:val="32"/>
          <w:szCs w:val="32"/>
        </w:rPr>
        <w:t>（一）单位基本情况</w:t>
      </w:r>
    </w:p>
    <w:p>
      <w:pPr>
        <w:pStyle w:val="25"/>
        <w:spacing w:line="520" w:lineRule="exact"/>
        <w:ind w:firstLine="640" w:firstLineChars="200"/>
        <w:rPr>
          <w:rFonts w:ascii="宋体" w:cs="宋体"/>
          <w:color w:val="000000"/>
          <w:sz w:val="32"/>
          <w:szCs w:val="32"/>
        </w:rPr>
      </w:pPr>
      <w:r>
        <w:rPr>
          <w:rFonts w:hint="eastAsia" w:ascii="宋体" w:hAnsi="宋体"/>
          <w:sz w:val="32"/>
          <w:szCs w:val="32"/>
        </w:rPr>
        <w:t>我局内设</w:t>
      </w:r>
      <w:r>
        <w:rPr>
          <w:rFonts w:ascii="宋体" w:hAnsi="宋体"/>
          <w:sz w:val="32"/>
          <w:szCs w:val="32"/>
        </w:rPr>
        <w:t>9</w:t>
      </w:r>
      <w:r>
        <w:rPr>
          <w:rFonts w:hint="eastAsia" w:ascii="宋体" w:hAnsi="宋体"/>
          <w:sz w:val="32"/>
          <w:szCs w:val="32"/>
        </w:rPr>
        <w:t>个股室：办公室、财务股、人事教育股、政策法规与投资股、经济运行股、社会发展股、科技计划和成果转化股、信息技术及软件服务股、行政执法股</w:t>
      </w:r>
      <w:r>
        <w:rPr>
          <w:rFonts w:ascii="宋体" w:hAnsi="宋体"/>
          <w:sz w:val="32"/>
          <w:szCs w:val="32"/>
        </w:rPr>
        <w:t>(</w:t>
      </w:r>
      <w:r>
        <w:rPr>
          <w:rFonts w:hint="eastAsia" w:ascii="宋体" w:hAnsi="宋体"/>
          <w:sz w:val="32"/>
          <w:szCs w:val="32"/>
        </w:rPr>
        <w:t>加挂新邵县电力行政执法大队牌子</w:t>
      </w:r>
      <w:r>
        <w:rPr>
          <w:rFonts w:ascii="宋体" w:hAnsi="宋体"/>
          <w:sz w:val="32"/>
          <w:szCs w:val="32"/>
        </w:rPr>
        <w:t>)</w:t>
      </w:r>
      <w:r>
        <w:rPr>
          <w:rFonts w:hint="eastAsia" w:ascii="宋体" w:hAnsi="宋体"/>
          <w:sz w:val="32"/>
          <w:szCs w:val="32"/>
        </w:rPr>
        <w:t>。另有新邵县墙体材料改革办公室（加挂新邵县散装水泥办公室、新邵县室内装饰行业规范化管理办公室牌子）、新邵县科技情报所为股级全额拨款事业单位。</w:t>
      </w:r>
    </w:p>
    <w:p>
      <w:pPr>
        <w:spacing w:line="600" w:lineRule="exact"/>
        <w:ind w:firstLine="640" w:firstLineChars="200"/>
        <w:rPr>
          <w:rFonts w:ascii="宋体" w:cs="宋体"/>
          <w:sz w:val="32"/>
          <w:szCs w:val="32"/>
        </w:rPr>
      </w:pPr>
      <w:r>
        <w:rPr>
          <w:rFonts w:hint="eastAsia" w:ascii="宋体" w:hAnsi="宋体" w:cs="宋体"/>
          <w:sz w:val="32"/>
          <w:szCs w:val="32"/>
        </w:rPr>
        <w:t>我局编制人数</w:t>
      </w:r>
      <w:r>
        <w:rPr>
          <w:rFonts w:ascii="宋体" w:hAnsi="宋体" w:cs="宋体"/>
          <w:sz w:val="32"/>
          <w:szCs w:val="32"/>
        </w:rPr>
        <w:t>28</w:t>
      </w:r>
      <w:r>
        <w:rPr>
          <w:rFonts w:hint="eastAsia" w:ascii="宋体" w:hAnsi="宋体" w:cs="宋体"/>
          <w:sz w:val="32"/>
          <w:szCs w:val="32"/>
        </w:rPr>
        <w:t>人，实际在职人数</w:t>
      </w:r>
      <w:r>
        <w:rPr>
          <w:rFonts w:ascii="宋体" w:hAnsi="宋体" w:cs="宋体"/>
          <w:sz w:val="32"/>
          <w:szCs w:val="32"/>
        </w:rPr>
        <w:t>38</w:t>
      </w:r>
      <w:r>
        <w:rPr>
          <w:rFonts w:hint="eastAsia" w:ascii="宋体" w:hAnsi="宋体" w:cs="宋体"/>
          <w:sz w:val="32"/>
          <w:szCs w:val="32"/>
        </w:rPr>
        <w:t>人，离退休</w:t>
      </w:r>
      <w:r>
        <w:rPr>
          <w:rFonts w:ascii="宋体" w:hAnsi="宋体" w:cs="宋体"/>
          <w:sz w:val="32"/>
          <w:szCs w:val="32"/>
        </w:rPr>
        <w:t>64</w:t>
      </w:r>
      <w:r>
        <w:rPr>
          <w:rFonts w:hint="eastAsia" w:ascii="宋体" w:hAnsi="宋体" w:cs="宋体"/>
          <w:sz w:val="32"/>
          <w:szCs w:val="32"/>
        </w:rPr>
        <w:t>人，遗属补助人数</w:t>
      </w:r>
      <w:r>
        <w:rPr>
          <w:rFonts w:ascii="宋体" w:hAnsi="宋体" w:cs="宋体"/>
          <w:sz w:val="32"/>
          <w:szCs w:val="32"/>
        </w:rPr>
        <w:t>20</w:t>
      </w:r>
      <w:r>
        <w:rPr>
          <w:rFonts w:hint="eastAsia" w:ascii="宋体" w:hAnsi="宋体" w:cs="宋体"/>
          <w:sz w:val="32"/>
          <w:szCs w:val="32"/>
        </w:rPr>
        <w:t>人。</w:t>
      </w:r>
    </w:p>
    <w:p>
      <w:pPr>
        <w:pStyle w:val="26"/>
        <w:spacing w:line="560" w:lineRule="exact"/>
        <w:ind w:firstLine="482" w:firstLineChars="150"/>
        <w:rPr>
          <w:rFonts w:ascii="宋体" w:hAnsi="宋体" w:eastAsia="宋体"/>
          <w:b/>
          <w:szCs w:val="32"/>
        </w:rPr>
      </w:pPr>
      <w:r>
        <w:rPr>
          <w:rFonts w:hint="eastAsia" w:ascii="宋体" w:hAnsi="宋体" w:eastAsia="宋体"/>
          <w:b/>
          <w:szCs w:val="32"/>
        </w:rPr>
        <w:t>（二）主要工作职责</w:t>
      </w:r>
    </w:p>
    <w:p>
      <w:pPr>
        <w:shd w:val="clear" w:color="auto" w:fill="FFFFFF"/>
        <w:spacing w:line="600" w:lineRule="exact"/>
        <w:ind w:firstLine="633" w:firstLineChars="198"/>
        <w:rPr>
          <w:rFonts w:ascii="宋体" w:cs="宋体"/>
          <w:sz w:val="32"/>
          <w:szCs w:val="32"/>
        </w:rPr>
      </w:pPr>
      <w:r>
        <w:rPr>
          <w:rFonts w:hint="eastAsia" w:ascii="宋体" w:hAnsi="宋体"/>
          <w:sz w:val="32"/>
          <w:szCs w:val="32"/>
        </w:rPr>
        <w:t>贯彻执行国家和省、市有关国民经济运行、科学技术发展和信息化工作的方针政策和法律法规</w:t>
      </w:r>
      <w:r>
        <w:rPr>
          <w:rFonts w:ascii="宋体"/>
          <w:sz w:val="32"/>
          <w:szCs w:val="32"/>
        </w:rPr>
        <w:t>,</w:t>
      </w:r>
      <w:r>
        <w:rPr>
          <w:rFonts w:hint="eastAsia" w:ascii="宋体" w:hAnsi="宋体"/>
          <w:sz w:val="32"/>
          <w:szCs w:val="32"/>
        </w:rPr>
        <w:t>起草科技和工业信息化工作的地方规范性文件并组织实施；组织拟订高新技术发展及产业化、科技促进农业农村和社会发展的规划、政策和措施；牵头建立统一的县级科技管理平台和科研项目资金协调、评估、监管机制；负责引进国外和国内智力工作；指导、协调全县科技和工业信息化领域的对外交流与合作；负责全县科技和工业信息化领域的日常经济运行调节；负责国防科技工业的综合协调和管理，组织推进军民两技术转移及产业化工作；负责中小企业和非公有制经济发展的宏观指导；承担全县民用爆炸物品的行业管理工作，负责民用爆炸物品生产许可和销售许可的监督管理；完成县委和县政府交办的其他任务。</w:t>
      </w:r>
    </w:p>
    <w:p>
      <w:pPr>
        <w:spacing w:line="560" w:lineRule="exact"/>
        <w:ind w:left="154" w:leftChars="70" w:firstLine="471" w:firstLineChars="147"/>
        <w:rPr>
          <w:rFonts w:ascii="宋体"/>
          <w:b/>
          <w:sz w:val="32"/>
          <w:szCs w:val="32"/>
        </w:rPr>
      </w:pPr>
      <w:r>
        <w:rPr>
          <w:rFonts w:hint="eastAsia" w:ascii="宋体" w:hAnsi="宋体"/>
          <w:b/>
          <w:sz w:val="32"/>
          <w:szCs w:val="32"/>
        </w:rPr>
        <w:t>（三）</w:t>
      </w:r>
      <w:r>
        <w:rPr>
          <w:rFonts w:ascii="宋体" w:hAnsi="宋体"/>
          <w:b/>
          <w:sz w:val="32"/>
          <w:szCs w:val="32"/>
        </w:rPr>
        <w:t>2020</w:t>
      </w:r>
      <w:r>
        <w:rPr>
          <w:rFonts w:hint="eastAsia" w:ascii="宋体" w:hAnsi="宋体"/>
          <w:b/>
          <w:sz w:val="32"/>
          <w:szCs w:val="32"/>
        </w:rPr>
        <w:t>年度工作计划</w:t>
      </w:r>
    </w:p>
    <w:p>
      <w:pPr>
        <w:spacing w:line="560" w:lineRule="exact"/>
        <w:ind w:firstLine="640" w:firstLineChars="200"/>
        <w:rPr>
          <w:rFonts w:ascii="宋体"/>
          <w:sz w:val="32"/>
          <w:szCs w:val="32"/>
        </w:rPr>
      </w:pPr>
      <w:r>
        <w:rPr>
          <w:rFonts w:hint="eastAsia" w:ascii="宋体" w:hAnsi="宋体" w:cs="宋体"/>
          <w:sz w:val="32"/>
          <w:szCs w:val="32"/>
        </w:rPr>
        <w:t>为认真贯彻执行新《预算法》和相关上级文件精神，强化预算监督，规范收支行为，促进财务管理，提高资金使用效益，</w:t>
      </w:r>
      <w:r>
        <w:rPr>
          <w:rFonts w:hint="eastAsia" w:ascii="宋体" w:hAnsi="宋体"/>
          <w:sz w:val="32"/>
          <w:szCs w:val="32"/>
        </w:rPr>
        <w:t>在县委、县政府的正确领导和人大的监督支持下，我局以科学发展观为指导，仍以创优活动为载体，严格制度，科学预算，规范程序，压缩支出。</w:t>
      </w:r>
      <w:r>
        <w:rPr>
          <w:rFonts w:ascii="宋体" w:hAnsi="宋体"/>
          <w:sz w:val="32"/>
          <w:szCs w:val="32"/>
        </w:rPr>
        <w:t>2020</w:t>
      </w:r>
      <w:r>
        <w:rPr>
          <w:rFonts w:hint="eastAsia" w:ascii="宋体" w:hAnsi="宋体"/>
          <w:sz w:val="32"/>
          <w:szCs w:val="32"/>
        </w:rPr>
        <w:t>年度财务收支计划如下：</w:t>
      </w:r>
    </w:p>
    <w:p>
      <w:pPr>
        <w:widowControl w:val="0"/>
        <w:numPr>
          <w:ilvl w:val="0"/>
          <w:numId w:val="1"/>
        </w:numPr>
        <w:adjustRightInd/>
        <w:snapToGrid/>
        <w:spacing w:after="0" w:line="600" w:lineRule="exact"/>
        <w:ind w:firstLine="720"/>
        <w:jc w:val="both"/>
        <w:rPr>
          <w:rFonts w:ascii="宋体" w:cs="宋体"/>
          <w:sz w:val="32"/>
          <w:szCs w:val="32"/>
        </w:rPr>
      </w:pPr>
      <w:r>
        <w:rPr>
          <w:rFonts w:hint="eastAsia" w:ascii="宋体" w:hAnsi="宋体" w:cs="宋体"/>
          <w:b/>
          <w:sz w:val="32"/>
          <w:szCs w:val="32"/>
        </w:rPr>
        <w:t>收入预算：</w:t>
      </w:r>
      <w:r>
        <w:rPr>
          <w:rFonts w:ascii="宋体" w:hAnsi="宋体" w:cs="宋体"/>
          <w:sz w:val="32"/>
          <w:szCs w:val="32"/>
        </w:rPr>
        <w:t>2020</w:t>
      </w:r>
      <w:r>
        <w:rPr>
          <w:rFonts w:hint="eastAsia" w:ascii="宋体" w:hAnsi="宋体" w:cs="宋体"/>
          <w:sz w:val="32"/>
          <w:szCs w:val="32"/>
        </w:rPr>
        <w:t>年部门预算数</w:t>
      </w:r>
      <w:r>
        <w:rPr>
          <w:rFonts w:ascii="宋体" w:hAnsi="宋体" w:cs="宋体"/>
          <w:sz w:val="32"/>
          <w:szCs w:val="32"/>
        </w:rPr>
        <w:t>864</w:t>
      </w:r>
      <w:r>
        <w:rPr>
          <w:rFonts w:hint="eastAsia" w:ascii="宋体" w:hAnsi="宋体" w:cs="宋体"/>
          <w:sz w:val="32"/>
          <w:szCs w:val="32"/>
        </w:rPr>
        <w:t>万元，同比上年减少</w:t>
      </w:r>
      <w:r>
        <w:rPr>
          <w:rFonts w:ascii="宋体" w:hAnsi="宋体" w:cs="宋体"/>
          <w:sz w:val="32"/>
          <w:szCs w:val="32"/>
        </w:rPr>
        <w:t>362</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下降</w:t>
      </w:r>
      <w:r>
        <w:rPr>
          <w:rFonts w:ascii="宋体" w:hAnsi="宋体" w:cs="宋体"/>
          <w:sz w:val="32"/>
          <w:szCs w:val="32"/>
        </w:rPr>
        <w:t>42%</w:t>
      </w:r>
      <w:r>
        <w:rPr>
          <w:rFonts w:hint="eastAsia" w:ascii="宋体" w:hAnsi="宋体" w:cs="宋体"/>
          <w:sz w:val="32"/>
          <w:szCs w:val="32"/>
        </w:rPr>
        <w:t>，其中：基本经费拨款</w:t>
      </w:r>
      <w:r>
        <w:rPr>
          <w:rFonts w:ascii="宋体" w:hAnsi="宋体" w:cs="宋体"/>
          <w:sz w:val="32"/>
          <w:szCs w:val="32"/>
        </w:rPr>
        <w:t>392</w:t>
      </w:r>
      <w:r>
        <w:rPr>
          <w:rFonts w:hint="eastAsia" w:ascii="宋体" w:hAnsi="宋体" w:cs="宋体"/>
          <w:sz w:val="32"/>
          <w:szCs w:val="32"/>
        </w:rPr>
        <w:t>万元，专项经费拨款</w:t>
      </w:r>
      <w:r>
        <w:rPr>
          <w:rFonts w:ascii="宋体" w:hAnsi="宋体" w:cs="宋体"/>
          <w:sz w:val="32"/>
          <w:szCs w:val="32"/>
        </w:rPr>
        <w:t>472</w:t>
      </w:r>
      <w:r>
        <w:rPr>
          <w:rFonts w:hint="eastAsia" w:ascii="宋体" w:hAnsi="宋体" w:cs="宋体"/>
          <w:sz w:val="32"/>
          <w:szCs w:val="32"/>
        </w:rPr>
        <w:t>万元。</w:t>
      </w:r>
    </w:p>
    <w:p>
      <w:pPr>
        <w:widowControl w:val="0"/>
        <w:numPr>
          <w:ilvl w:val="0"/>
          <w:numId w:val="1"/>
        </w:numPr>
        <w:adjustRightInd/>
        <w:snapToGrid/>
        <w:spacing w:after="0" w:line="600" w:lineRule="exact"/>
        <w:ind w:firstLine="765" w:firstLineChars="239"/>
        <w:jc w:val="both"/>
        <w:rPr>
          <w:rFonts w:ascii="宋体" w:cs="宋体"/>
          <w:color w:val="000000"/>
          <w:sz w:val="32"/>
          <w:szCs w:val="32"/>
        </w:rPr>
      </w:pPr>
      <w:r>
        <w:rPr>
          <w:rFonts w:hint="eastAsia" w:ascii="宋体" w:hAnsi="宋体" w:cs="宋体"/>
          <w:b/>
          <w:sz w:val="32"/>
          <w:szCs w:val="32"/>
        </w:rPr>
        <w:t>支出预算：</w:t>
      </w:r>
      <w:r>
        <w:rPr>
          <w:rFonts w:ascii="宋体" w:hAnsi="宋体" w:cs="宋体"/>
          <w:sz w:val="32"/>
          <w:szCs w:val="32"/>
        </w:rPr>
        <w:t>2020</w:t>
      </w:r>
      <w:r>
        <w:rPr>
          <w:rFonts w:hint="eastAsia" w:ascii="宋体" w:hAnsi="宋体" w:cs="宋体"/>
          <w:sz w:val="32"/>
          <w:szCs w:val="32"/>
        </w:rPr>
        <w:t>年部门预算数</w:t>
      </w:r>
      <w:r>
        <w:rPr>
          <w:rFonts w:ascii="宋体" w:hAnsi="宋体" w:cs="宋体"/>
          <w:sz w:val="32"/>
          <w:szCs w:val="32"/>
        </w:rPr>
        <w:t>864</w:t>
      </w:r>
      <w:r>
        <w:rPr>
          <w:rFonts w:hint="eastAsia" w:ascii="宋体" w:hAnsi="宋体" w:cs="宋体"/>
          <w:sz w:val="32"/>
          <w:szCs w:val="32"/>
        </w:rPr>
        <w:t>万元，同比上年减少</w:t>
      </w:r>
      <w:r>
        <w:rPr>
          <w:rFonts w:ascii="宋体" w:hAnsi="宋体" w:cs="宋体"/>
          <w:sz w:val="32"/>
          <w:szCs w:val="32"/>
        </w:rPr>
        <w:t>362</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下降</w:t>
      </w:r>
      <w:r>
        <w:rPr>
          <w:rFonts w:ascii="宋体" w:hAnsi="宋体" w:cs="宋体"/>
          <w:sz w:val="32"/>
          <w:szCs w:val="32"/>
        </w:rPr>
        <w:t>42%</w:t>
      </w:r>
      <w:r>
        <w:rPr>
          <w:rFonts w:hint="eastAsia" w:ascii="宋体" w:hAnsi="宋体" w:cs="宋体"/>
          <w:sz w:val="32"/>
          <w:szCs w:val="32"/>
        </w:rPr>
        <w:t>，其中：科学技术支出</w:t>
      </w:r>
      <w:r>
        <w:rPr>
          <w:rFonts w:ascii="宋体" w:hAnsi="宋体" w:cs="宋体"/>
          <w:sz w:val="32"/>
          <w:szCs w:val="32"/>
        </w:rPr>
        <w:t>204</w:t>
      </w:r>
      <w:r>
        <w:rPr>
          <w:rFonts w:hint="eastAsia" w:ascii="宋体" w:hAnsi="宋体" w:cs="宋体"/>
          <w:sz w:val="32"/>
          <w:szCs w:val="32"/>
        </w:rPr>
        <w:t>万元，社会保障和就业支出</w:t>
      </w:r>
      <w:r>
        <w:rPr>
          <w:rFonts w:ascii="宋体" w:hAnsi="宋体" w:cs="宋体"/>
          <w:sz w:val="32"/>
          <w:szCs w:val="32"/>
        </w:rPr>
        <w:t>41</w:t>
      </w:r>
      <w:r>
        <w:rPr>
          <w:rFonts w:hint="eastAsia" w:ascii="宋体" w:hAnsi="宋体" w:cs="宋体"/>
          <w:sz w:val="32"/>
          <w:szCs w:val="32"/>
        </w:rPr>
        <w:t>万元，卫生健康支出</w:t>
      </w:r>
      <w:r>
        <w:rPr>
          <w:rFonts w:ascii="宋体" w:hAnsi="宋体" w:cs="宋体"/>
          <w:sz w:val="32"/>
          <w:szCs w:val="32"/>
        </w:rPr>
        <w:t>9</w:t>
      </w:r>
      <w:r>
        <w:rPr>
          <w:rFonts w:hint="eastAsia" w:ascii="宋体" w:hAnsi="宋体" w:cs="宋体"/>
          <w:sz w:val="32"/>
          <w:szCs w:val="32"/>
        </w:rPr>
        <w:t>万元，资源勘探信息等支出</w:t>
      </w:r>
      <w:r>
        <w:rPr>
          <w:rFonts w:ascii="宋体" w:hAnsi="宋体" w:cs="宋体"/>
          <w:sz w:val="32"/>
          <w:szCs w:val="32"/>
        </w:rPr>
        <w:t>581</w:t>
      </w:r>
      <w:r>
        <w:rPr>
          <w:rFonts w:hint="eastAsia" w:ascii="宋体" w:hAnsi="宋体" w:cs="宋体"/>
          <w:sz w:val="32"/>
          <w:szCs w:val="32"/>
        </w:rPr>
        <w:t>万元，住房保障支出</w:t>
      </w:r>
      <w:r>
        <w:rPr>
          <w:rFonts w:ascii="宋体" w:hAnsi="宋体" w:cs="宋体"/>
          <w:sz w:val="32"/>
          <w:szCs w:val="32"/>
        </w:rPr>
        <w:t>29</w:t>
      </w:r>
      <w:r>
        <w:rPr>
          <w:rFonts w:hint="eastAsia" w:ascii="宋体" w:hAnsi="宋体" w:cs="宋体"/>
          <w:sz w:val="32"/>
          <w:szCs w:val="32"/>
        </w:rPr>
        <w:t>万元（按功能科目分）。</w:t>
      </w:r>
    </w:p>
    <w:p>
      <w:pPr>
        <w:spacing w:line="560" w:lineRule="exact"/>
        <w:ind w:left="504" w:leftChars="229" w:firstLine="237" w:firstLineChars="74"/>
        <w:rPr>
          <w:rFonts w:ascii="宋体" w:cs="宋体"/>
          <w:b/>
          <w:sz w:val="32"/>
          <w:szCs w:val="32"/>
        </w:rPr>
      </w:pPr>
      <w:r>
        <w:rPr>
          <w:rFonts w:ascii="宋体" w:hAnsi="宋体" w:cs="宋体"/>
          <w:b/>
          <w:sz w:val="32"/>
          <w:szCs w:val="32"/>
        </w:rPr>
        <w:t>3</w:t>
      </w:r>
      <w:r>
        <w:rPr>
          <w:rFonts w:hint="eastAsia" w:ascii="宋体" w:hAnsi="宋体" w:cs="宋体"/>
          <w:b/>
          <w:sz w:val="32"/>
          <w:szCs w:val="32"/>
        </w:rPr>
        <w:t>、依法组织收入，规范收入预算管理</w:t>
      </w:r>
    </w:p>
    <w:p>
      <w:pPr>
        <w:spacing w:line="560" w:lineRule="exact"/>
        <w:ind w:firstLine="640" w:firstLineChars="200"/>
        <w:rPr>
          <w:rFonts w:ascii="宋体" w:cs="宋体"/>
          <w:sz w:val="32"/>
          <w:szCs w:val="32"/>
        </w:rPr>
      </w:pPr>
      <w:r>
        <w:rPr>
          <w:rFonts w:hint="eastAsia" w:ascii="宋体" w:hAnsi="宋体" w:cs="宋体"/>
          <w:sz w:val="32"/>
          <w:szCs w:val="32"/>
        </w:rPr>
        <w:t>我局自新《预算法》实施以来，紧紧围绕县委、县政府中心工作一，进一步加大工作力度，依法组织各项收入，并按照规定的科目、级次、缴库方式，及时足额上缴国库或财政专户。严格执行中央和省市有关政策规定，对取消、停征、免征的行政事业性收费和政府性基金，绝不拖延或采取其他名目、方式变相收取。</w:t>
      </w:r>
    </w:p>
    <w:p>
      <w:pPr>
        <w:numPr>
          <w:ilvl w:val="0"/>
          <w:numId w:val="2"/>
        </w:numPr>
        <w:adjustRightInd/>
        <w:snapToGrid/>
        <w:spacing w:after="0" w:line="560" w:lineRule="exact"/>
        <w:ind w:left="1091" w:leftChars="342" w:hanging="339" w:hangingChars="106"/>
        <w:rPr>
          <w:rFonts w:ascii="宋体" w:cs="宋体"/>
          <w:b/>
          <w:sz w:val="32"/>
          <w:szCs w:val="32"/>
        </w:rPr>
      </w:pPr>
      <w:r>
        <w:rPr>
          <w:rFonts w:hint="eastAsia" w:ascii="宋体" w:hAnsi="宋体" w:cs="宋体"/>
          <w:b/>
          <w:sz w:val="32"/>
          <w:szCs w:val="32"/>
        </w:rPr>
        <w:t>严格预算执行，强化支出预算管理</w:t>
      </w:r>
    </w:p>
    <w:p>
      <w:pPr>
        <w:spacing w:line="560" w:lineRule="exact"/>
        <w:ind w:firstLine="640" w:firstLineChars="200"/>
        <w:rPr>
          <w:rFonts w:ascii="宋体" w:cs="宋体"/>
          <w:b/>
          <w:sz w:val="32"/>
          <w:szCs w:val="32"/>
        </w:rPr>
      </w:pPr>
      <w:r>
        <w:rPr>
          <w:rFonts w:hint="eastAsia" w:ascii="宋体" w:hAnsi="宋体" w:cs="宋体"/>
          <w:sz w:val="32"/>
          <w:szCs w:val="32"/>
        </w:rPr>
        <w:t>一是进一步强化预算约束，严格按照县人代会批准预算定的科目、项目、金额执行，绝不超预算、无预算支出。二是强化政府采购预算管理，规范政府采购程序。三是在年度预算执行过程中，无特殊情况，原则上不再追加经费。四是加快资金拨付进度。基本支出按序时进度支付，项目支出根据项目进度和规定程序及时支付，在确保资金使用效益和安全的前提下，加快预算支出进度，采取切实措施，消化、减少以前年度结余结转资金。五是推进预算公开透明。坚持财务公开，每个月向群众公开单位财务情况。切实解决单位干部群众反映强烈的财务问题。通过民主生活会、机关干部座谈会等方式听取干部群众对财务管理的意见，在征求意见的基础上科学决策。</w:t>
      </w:r>
    </w:p>
    <w:p>
      <w:pPr>
        <w:spacing w:line="600" w:lineRule="exact"/>
        <w:ind w:left="482" w:hanging="482"/>
        <w:rPr>
          <w:rFonts w:ascii="宋体"/>
          <w:b/>
          <w:bCs/>
          <w:sz w:val="32"/>
          <w:szCs w:val="32"/>
        </w:rPr>
      </w:pPr>
      <w:r>
        <w:rPr>
          <w:rFonts w:hint="eastAsia" w:ascii="宋体" w:hAnsi="宋体"/>
          <w:b/>
          <w:sz w:val="32"/>
          <w:szCs w:val="32"/>
        </w:rPr>
        <w:t>二、部门整体支出规模、使用方向和内容</w:t>
      </w:r>
      <w:r>
        <w:rPr>
          <w:rFonts w:hint="eastAsia" w:ascii="宋体" w:hAnsi="宋体"/>
          <w:b/>
          <w:bCs/>
          <w:sz w:val="32"/>
          <w:szCs w:val="32"/>
        </w:rPr>
        <w:t>（金额：万元）</w:t>
      </w:r>
    </w:p>
    <w:p>
      <w:pPr>
        <w:spacing w:line="600" w:lineRule="exact"/>
        <w:ind w:left="480" w:hanging="480"/>
        <w:rPr>
          <w:rFonts w:ascii="宋体"/>
          <w:sz w:val="32"/>
          <w:szCs w:val="32"/>
        </w:rPr>
      </w:pPr>
      <w:r>
        <w:rPr>
          <w:rFonts w:hint="eastAsia" w:ascii="宋体" w:hAnsi="宋体"/>
          <w:sz w:val="32"/>
          <w:szCs w:val="32"/>
        </w:rPr>
        <w:t>（一）年度预算收支情况</w:t>
      </w:r>
    </w:p>
    <w:p>
      <w:pPr>
        <w:spacing w:line="600" w:lineRule="exact"/>
        <w:ind w:left="480" w:hanging="480"/>
        <w:rPr>
          <w:rFonts w:ascii="宋体"/>
          <w:sz w:val="32"/>
          <w:szCs w:val="32"/>
        </w:rPr>
      </w:pPr>
      <w:r>
        <w:rPr>
          <w:rFonts w:ascii="宋体" w:hAnsi="宋体"/>
          <w:sz w:val="32"/>
          <w:szCs w:val="32"/>
        </w:rPr>
        <w:t>1.</w:t>
      </w:r>
      <w:r>
        <w:rPr>
          <w:rFonts w:hint="eastAsia" w:ascii="宋体" w:hAnsi="宋体"/>
          <w:sz w:val="32"/>
          <w:szCs w:val="32"/>
        </w:rPr>
        <w:t>年初预算收支</w:t>
      </w:r>
    </w:p>
    <w:tbl>
      <w:tblPr>
        <w:tblStyle w:val="10"/>
        <w:tblpPr w:leftFromText="180" w:rightFromText="180" w:vertAnchor="text" w:horzAnchor="page" w:tblpXSpec="center" w:tblpY="442"/>
        <w:tblOverlap w:val="never"/>
        <w:tblW w:w="8680" w:type="dxa"/>
        <w:jc w:val="center"/>
        <w:tblLayout w:type="fixed"/>
        <w:tblCellMar>
          <w:top w:w="0" w:type="dxa"/>
          <w:left w:w="0" w:type="dxa"/>
          <w:bottom w:w="0" w:type="dxa"/>
          <w:right w:w="0" w:type="dxa"/>
        </w:tblCellMar>
      </w:tblPr>
      <w:tblGrid>
        <w:gridCol w:w="2135"/>
        <w:gridCol w:w="1736"/>
        <w:gridCol w:w="1624"/>
        <w:gridCol w:w="1344"/>
        <w:gridCol w:w="1841"/>
      </w:tblGrid>
      <w:tr>
        <w:tblPrEx>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spacing w:line="600" w:lineRule="exact"/>
              <w:ind w:left="482" w:hanging="482"/>
              <w:jc w:val="center"/>
              <w:textAlignment w:val="center"/>
              <w:rPr>
                <w:rFonts w:ascii="宋体" w:cs="微软雅黑"/>
                <w:color w:val="010101"/>
                <w:sz w:val="32"/>
                <w:szCs w:val="32"/>
              </w:rPr>
            </w:pPr>
            <w:r>
              <w:rPr>
                <w:rFonts w:hint="eastAsia" w:ascii="宋体" w:hAnsi="宋体" w:cs="宋体"/>
                <w:b/>
                <w:color w:val="000000"/>
                <w:sz w:val="32"/>
                <w:szCs w:val="32"/>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2" w:hanging="482"/>
              <w:jc w:val="center"/>
              <w:textAlignment w:val="center"/>
              <w:rPr>
                <w:rFonts w:ascii="宋体" w:cs="微软雅黑"/>
                <w:color w:val="010101"/>
                <w:sz w:val="32"/>
                <w:szCs w:val="32"/>
              </w:rPr>
            </w:pPr>
            <w:r>
              <w:rPr>
                <w:rFonts w:hint="eastAsia" w:ascii="宋体" w:hAnsi="宋体" w:cs="宋体"/>
                <w:b/>
                <w:color w:val="000000"/>
                <w:sz w:val="32"/>
                <w:szCs w:val="32"/>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2" w:hanging="482"/>
              <w:jc w:val="center"/>
              <w:textAlignment w:val="center"/>
              <w:rPr>
                <w:rFonts w:ascii="宋体" w:cs="微软雅黑"/>
                <w:color w:val="010101"/>
                <w:sz w:val="32"/>
                <w:szCs w:val="32"/>
              </w:rPr>
            </w:pPr>
            <w:r>
              <w:rPr>
                <w:rFonts w:hint="eastAsia" w:ascii="宋体" w:hAnsi="宋体" w:cs="宋体"/>
                <w:b/>
                <w:color w:val="000000"/>
                <w:sz w:val="32"/>
                <w:szCs w:val="32"/>
              </w:rPr>
              <w:t>较上年增减变化</w:t>
            </w:r>
          </w:p>
        </w:tc>
      </w:tr>
      <w:tr>
        <w:tblPrEx>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rPr>
                <w:rFonts w:ascii="宋体" w:cs="Arial"/>
                <w:color w:val="333333"/>
                <w:sz w:val="32"/>
                <w:szCs w:val="32"/>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2" w:hanging="482"/>
              <w:jc w:val="center"/>
              <w:textAlignment w:val="center"/>
              <w:rPr>
                <w:rFonts w:ascii="宋体" w:cs="微软雅黑"/>
                <w:color w:val="010101"/>
                <w:sz w:val="32"/>
                <w:szCs w:val="32"/>
              </w:rPr>
            </w:pPr>
            <w:r>
              <w:rPr>
                <w:rFonts w:ascii="宋体" w:hAnsi="宋体" w:cs="微软雅黑"/>
                <w:b/>
                <w:color w:val="000000"/>
                <w:sz w:val="32"/>
                <w:szCs w:val="32"/>
              </w:rPr>
              <w:t>2020</w:t>
            </w:r>
            <w:r>
              <w:rPr>
                <w:rFonts w:hint="eastAsia" w:ascii="宋体" w:hAnsi="宋体" w:cs="微软雅黑"/>
                <w:b/>
                <w:color w:val="000000"/>
                <w:sz w:val="32"/>
                <w:szCs w:val="32"/>
              </w:rPr>
              <w:t>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2" w:hanging="482"/>
              <w:jc w:val="center"/>
              <w:textAlignment w:val="center"/>
              <w:rPr>
                <w:rFonts w:ascii="宋体" w:cs="微软雅黑"/>
                <w:color w:val="010101"/>
                <w:sz w:val="32"/>
                <w:szCs w:val="32"/>
              </w:rPr>
            </w:pPr>
            <w:r>
              <w:rPr>
                <w:rFonts w:ascii="宋体" w:hAnsi="宋体" w:cs="微软雅黑"/>
                <w:b/>
                <w:color w:val="000000"/>
                <w:sz w:val="32"/>
                <w:szCs w:val="32"/>
              </w:rPr>
              <w:t>2019</w:t>
            </w:r>
            <w:r>
              <w:rPr>
                <w:rFonts w:hint="eastAsia" w:ascii="宋体" w:hAnsi="宋体" w:cs="宋体"/>
                <w:b/>
                <w:color w:val="000000"/>
                <w:sz w:val="32"/>
                <w:szCs w:val="32"/>
              </w:rPr>
              <w:t>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2" w:hanging="482"/>
              <w:jc w:val="center"/>
              <w:textAlignment w:val="center"/>
              <w:rPr>
                <w:rFonts w:ascii="宋体" w:cs="微软雅黑"/>
                <w:color w:val="010101"/>
                <w:sz w:val="32"/>
                <w:szCs w:val="32"/>
              </w:rPr>
            </w:pPr>
            <w:r>
              <w:rPr>
                <w:rFonts w:hint="eastAsia" w:ascii="宋体" w:hAnsi="宋体" w:cs="宋体"/>
                <w:b/>
                <w:color w:val="000000"/>
                <w:sz w:val="32"/>
                <w:szCs w:val="32"/>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2" w:hanging="482"/>
              <w:jc w:val="center"/>
              <w:textAlignment w:val="center"/>
              <w:rPr>
                <w:rFonts w:ascii="宋体" w:cs="微软雅黑"/>
                <w:color w:val="010101"/>
                <w:sz w:val="32"/>
                <w:szCs w:val="32"/>
              </w:rPr>
            </w:pPr>
            <w:r>
              <w:rPr>
                <w:rFonts w:hint="eastAsia" w:ascii="宋体" w:hAnsi="宋体" w:cs="宋体"/>
                <w:b/>
                <w:color w:val="000000"/>
                <w:sz w:val="32"/>
                <w:szCs w:val="32"/>
              </w:rPr>
              <w:t>比例</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2" w:hanging="482"/>
              <w:rPr>
                <w:rFonts w:ascii="宋体" w:cs="微软雅黑"/>
                <w:color w:val="010101"/>
                <w:sz w:val="32"/>
                <w:szCs w:val="32"/>
              </w:rPr>
            </w:pPr>
            <w:r>
              <w:rPr>
                <w:rFonts w:hint="eastAsia" w:ascii="宋体" w:hAnsi="宋体" w:cs="宋体"/>
                <w:b/>
                <w:color w:val="010101"/>
                <w:sz w:val="32"/>
                <w:szCs w:val="32"/>
              </w:rPr>
              <w:t>收入预算</w:t>
            </w:r>
          </w:p>
        </w:tc>
        <w:tc>
          <w:tcPr>
            <w:tcW w:w="1736" w:type="dxa"/>
            <w:tcBorders>
              <w:top w:val="nil"/>
              <w:left w:val="nil"/>
              <w:bottom w:val="single" w:color="auto" w:sz="8" w:space="0"/>
              <w:right w:val="single" w:color="auto" w:sz="8" w:space="0"/>
            </w:tcBorders>
            <w:tcMar>
              <w:left w:w="108" w:type="dxa"/>
              <w:right w:w="108" w:type="dxa"/>
            </w:tcMar>
            <w:vAlign w:val="center"/>
          </w:tcPr>
          <w:p>
            <w:pPr>
              <w:ind w:left="480" w:hanging="480"/>
              <w:jc w:val="right"/>
              <w:rPr>
                <w:rFonts w:ascii="宋体" w:cs="微软雅黑"/>
                <w:color w:val="010101"/>
                <w:sz w:val="32"/>
                <w:szCs w:val="32"/>
              </w:rPr>
            </w:pPr>
            <w:r>
              <w:rPr>
                <w:rFonts w:ascii="宋体" w:hAnsi="宋体" w:cs="微软雅黑"/>
                <w:color w:val="010101"/>
                <w:sz w:val="32"/>
                <w:szCs w:val="32"/>
              </w:rPr>
              <w:t>864.74</w:t>
            </w:r>
          </w:p>
        </w:tc>
        <w:tc>
          <w:tcPr>
            <w:tcW w:w="1624" w:type="dxa"/>
            <w:tcBorders>
              <w:top w:val="nil"/>
              <w:left w:val="nil"/>
              <w:bottom w:val="single" w:color="auto" w:sz="8" w:space="0"/>
              <w:right w:val="single" w:color="auto" w:sz="8" w:space="0"/>
            </w:tcBorders>
            <w:tcMar>
              <w:left w:w="108" w:type="dxa"/>
              <w:right w:w="108" w:type="dxa"/>
            </w:tcMar>
            <w:vAlign w:val="center"/>
          </w:tcPr>
          <w:p>
            <w:pPr>
              <w:spacing w:line="560" w:lineRule="exact"/>
              <w:ind w:left="480" w:right="126" w:hanging="480"/>
              <w:jc w:val="right"/>
              <w:rPr>
                <w:rFonts w:ascii="宋体" w:cs="微软雅黑"/>
                <w:color w:val="010101"/>
                <w:sz w:val="32"/>
                <w:szCs w:val="32"/>
              </w:rPr>
            </w:pPr>
            <w:r>
              <w:rPr>
                <w:rFonts w:ascii="宋体" w:hAnsi="宋体" w:cs="微软雅黑"/>
                <w:color w:val="010101"/>
                <w:sz w:val="32"/>
                <w:szCs w:val="32"/>
              </w:rPr>
              <w:t>740.75</w:t>
            </w:r>
          </w:p>
        </w:tc>
        <w:tc>
          <w:tcPr>
            <w:tcW w:w="134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right="126" w:hanging="480"/>
              <w:jc w:val="right"/>
              <w:rPr>
                <w:rFonts w:ascii="宋体" w:cs="微软雅黑"/>
                <w:color w:val="010101"/>
                <w:sz w:val="32"/>
                <w:szCs w:val="32"/>
              </w:rPr>
            </w:pPr>
            <w:r>
              <w:rPr>
                <w:rFonts w:ascii="宋体" w:hAnsi="宋体" w:cs="微软雅黑"/>
                <w:color w:val="010101"/>
                <w:sz w:val="32"/>
                <w:szCs w:val="32"/>
              </w:rPr>
              <w:t>123.99</w:t>
            </w:r>
          </w:p>
        </w:tc>
        <w:tc>
          <w:tcPr>
            <w:tcW w:w="1841"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微软雅黑"/>
                <w:color w:val="010101"/>
                <w:sz w:val="32"/>
                <w:szCs w:val="32"/>
              </w:rPr>
            </w:pPr>
            <w:r>
              <w:rPr>
                <w:rFonts w:ascii="宋体" w:hAnsi="宋体" w:cs="微软雅黑"/>
                <w:color w:val="010101"/>
                <w:sz w:val="32"/>
                <w:szCs w:val="32"/>
              </w:rPr>
              <w:t>16.74%</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rPr>
                <w:rFonts w:ascii="宋体" w:cs="微软雅黑"/>
                <w:color w:val="010101"/>
                <w:sz w:val="32"/>
                <w:szCs w:val="32"/>
              </w:rPr>
            </w:pPr>
            <w:r>
              <w:rPr>
                <w:rFonts w:hint="eastAsia" w:ascii="宋体" w:hAnsi="宋体" w:cs="宋体"/>
                <w:color w:val="010101"/>
                <w:sz w:val="32"/>
                <w:szCs w:val="32"/>
              </w:rPr>
              <w:t>其中：财政经费拨款</w:t>
            </w:r>
          </w:p>
        </w:tc>
        <w:tc>
          <w:tcPr>
            <w:tcW w:w="1736"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right="126" w:hanging="480"/>
              <w:jc w:val="right"/>
              <w:rPr>
                <w:rFonts w:ascii="宋体" w:cs="微软雅黑"/>
                <w:color w:val="010101"/>
                <w:sz w:val="32"/>
                <w:szCs w:val="32"/>
              </w:rPr>
            </w:pPr>
            <w:r>
              <w:rPr>
                <w:rFonts w:ascii="宋体" w:hAnsi="宋体" w:cs="微软雅黑"/>
                <w:color w:val="010101"/>
                <w:sz w:val="32"/>
                <w:szCs w:val="32"/>
              </w:rPr>
              <w:t>864.74</w:t>
            </w:r>
          </w:p>
        </w:tc>
        <w:tc>
          <w:tcPr>
            <w:tcW w:w="1624" w:type="dxa"/>
            <w:tcBorders>
              <w:top w:val="nil"/>
              <w:left w:val="nil"/>
              <w:bottom w:val="single" w:color="auto" w:sz="8" w:space="0"/>
              <w:right w:val="single" w:color="auto" w:sz="8" w:space="0"/>
            </w:tcBorders>
            <w:tcMar>
              <w:left w:w="108" w:type="dxa"/>
              <w:right w:w="108" w:type="dxa"/>
            </w:tcMar>
            <w:vAlign w:val="center"/>
          </w:tcPr>
          <w:p>
            <w:pPr>
              <w:spacing w:line="560" w:lineRule="exact"/>
              <w:ind w:left="480" w:right="126" w:hanging="480"/>
              <w:jc w:val="right"/>
              <w:rPr>
                <w:rFonts w:ascii="宋体" w:cs="微软雅黑"/>
                <w:color w:val="010101"/>
                <w:sz w:val="32"/>
                <w:szCs w:val="32"/>
              </w:rPr>
            </w:pPr>
            <w:r>
              <w:rPr>
                <w:rFonts w:ascii="宋体" w:hAnsi="宋体" w:cs="微软雅黑"/>
                <w:color w:val="010101"/>
                <w:sz w:val="32"/>
                <w:szCs w:val="32"/>
              </w:rPr>
              <w:t>740.75</w:t>
            </w:r>
          </w:p>
        </w:tc>
        <w:tc>
          <w:tcPr>
            <w:tcW w:w="134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right="126" w:hanging="480"/>
              <w:jc w:val="right"/>
              <w:rPr>
                <w:rFonts w:ascii="宋体" w:cs="微软雅黑"/>
                <w:color w:val="010101"/>
                <w:sz w:val="32"/>
                <w:szCs w:val="32"/>
              </w:rPr>
            </w:pPr>
            <w:r>
              <w:rPr>
                <w:rFonts w:ascii="宋体" w:hAnsi="宋体" w:cs="微软雅黑"/>
                <w:color w:val="010101"/>
                <w:sz w:val="32"/>
                <w:szCs w:val="32"/>
              </w:rPr>
              <w:t>123.99</w:t>
            </w:r>
          </w:p>
        </w:tc>
        <w:tc>
          <w:tcPr>
            <w:tcW w:w="1841"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微软雅黑"/>
                <w:color w:val="010101"/>
                <w:sz w:val="32"/>
                <w:szCs w:val="32"/>
              </w:rPr>
            </w:pPr>
            <w:r>
              <w:rPr>
                <w:rFonts w:ascii="宋体" w:hAnsi="宋体" w:cs="微软雅黑"/>
                <w:color w:val="010101"/>
                <w:sz w:val="32"/>
                <w:szCs w:val="32"/>
              </w:rPr>
              <w:t>16.74%</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2" w:hanging="482"/>
              <w:rPr>
                <w:rFonts w:ascii="宋体" w:cs="微软雅黑"/>
                <w:color w:val="010101"/>
                <w:sz w:val="32"/>
                <w:szCs w:val="32"/>
              </w:rPr>
            </w:pPr>
            <w:r>
              <w:rPr>
                <w:rFonts w:hint="eastAsia" w:ascii="宋体" w:hAnsi="宋体" w:cs="宋体"/>
                <w:b/>
                <w:color w:val="010101"/>
                <w:sz w:val="32"/>
                <w:szCs w:val="32"/>
              </w:rPr>
              <w:t>支出预算</w:t>
            </w:r>
          </w:p>
        </w:tc>
        <w:tc>
          <w:tcPr>
            <w:tcW w:w="1736"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right="126" w:hanging="480"/>
              <w:jc w:val="right"/>
              <w:rPr>
                <w:rFonts w:ascii="宋体" w:cs="微软雅黑"/>
                <w:color w:val="010101"/>
                <w:sz w:val="32"/>
                <w:szCs w:val="32"/>
              </w:rPr>
            </w:pPr>
            <w:r>
              <w:rPr>
                <w:rFonts w:ascii="宋体" w:hAnsi="宋体" w:cs="微软雅黑"/>
                <w:color w:val="010101"/>
                <w:sz w:val="32"/>
                <w:szCs w:val="32"/>
              </w:rPr>
              <w:t>864.74</w:t>
            </w:r>
          </w:p>
        </w:tc>
        <w:tc>
          <w:tcPr>
            <w:tcW w:w="1624" w:type="dxa"/>
            <w:tcBorders>
              <w:top w:val="nil"/>
              <w:left w:val="nil"/>
              <w:bottom w:val="single" w:color="auto" w:sz="8" w:space="0"/>
              <w:right w:val="single" w:color="auto" w:sz="8" w:space="0"/>
            </w:tcBorders>
            <w:tcMar>
              <w:left w:w="108" w:type="dxa"/>
              <w:right w:w="108" w:type="dxa"/>
            </w:tcMar>
            <w:vAlign w:val="center"/>
          </w:tcPr>
          <w:p>
            <w:pPr>
              <w:spacing w:line="560" w:lineRule="exact"/>
              <w:ind w:left="480" w:right="126" w:hanging="480"/>
              <w:jc w:val="right"/>
              <w:rPr>
                <w:rFonts w:ascii="宋体" w:cs="微软雅黑"/>
                <w:color w:val="010101"/>
                <w:sz w:val="32"/>
                <w:szCs w:val="32"/>
              </w:rPr>
            </w:pPr>
            <w:r>
              <w:rPr>
                <w:rFonts w:ascii="宋体" w:hAnsi="宋体" w:cs="微软雅黑"/>
                <w:color w:val="010101"/>
                <w:sz w:val="32"/>
                <w:szCs w:val="32"/>
              </w:rPr>
              <w:t>740.75</w:t>
            </w:r>
          </w:p>
        </w:tc>
        <w:tc>
          <w:tcPr>
            <w:tcW w:w="134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right="126" w:hanging="480"/>
              <w:jc w:val="right"/>
              <w:rPr>
                <w:rFonts w:ascii="宋体" w:cs="微软雅黑"/>
                <w:color w:val="010101"/>
                <w:sz w:val="32"/>
                <w:szCs w:val="32"/>
              </w:rPr>
            </w:pPr>
            <w:r>
              <w:rPr>
                <w:rFonts w:ascii="宋体" w:hAnsi="宋体" w:cs="微软雅黑"/>
                <w:color w:val="010101"/>
                <w:sz w:val="32"/>
                <w:szCs w:val="32"/>
              </w:rPr>
              <w:t>123.99</w:t>
            </w:r>
          </w:p>
        </w:tc>
        <w:tc>
          <w:tcPr>
            <w:tcW w:w="1841"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微软雅黑"/>
                <w:color w:val="010101"/>
                <w:sz w:val="32"/>
                <w:szCs w:val="32"/>
              </w:rPr>
            </w:pPr>
            <w:r>
              <w:rPr>
                <w:rFonts w:ascii="宋体" w:hAnsi="宋体" w:cs="微软雅黑"/>
                <w:color w:val="010101"/>
                <w:sz w:val="32"/>
                <w:szCs w:val="32"/>
              </w:rPr>
              <w:t>16.74%</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rPr>
                <w:rFonts w:ascii="宋体" w:cs="微软雅黑"/>
                <w:color w:val="010101"/>
                <w:sz w:val="32"/>
                <w:szCs w:val="32"/>
              </w:rPr>
            </w:pPr>
            <w:r>
              <w:rPr>
                <w:rFonts w:hint="eastAsia" w:ascii="宋体" w:hAnsi="宋体" w:cs="宋体"/>
                <w:color w:val="010101"/>
                <w:sz w:val="32"/>
                <w:szCs w:val="32"/>
              </w:rPr>
              <w:t>其中：基本支出</w:t>
            </w:r>
          </w:p>
        </w:tc>
        <w:tc>
          <w:tcPr>
            <w:tcW w:w="1736"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right="126" w:hanging="480"/>
              <w:jc w:val="right"/>
              <w:rPr>
                <w:rFonts w:ascii="宋体" w:cs="微软雅黑"/>
                <w:color w:val="010101"/>
                <w:sz w:val="32"/>
                <w:szCs w:val="32"/>
              </w:rPr>
            </w:pPr>
            <w:r>
              <w:rPr>
                <w:rFonts w:ascii="宋体" w:hAnsi="宋体" w:cs="微软雅黑"/>
                <w:color w:val="010101"/>
                <w:sz w:val="32"/>
                <w:szCs w:val="32"/>
              </w:rPr>
              <w:t>392.74</w:t>
            </w:r>
          </w:p>
        </w:tc>
        <w:tc>
          <w:tcPr>
            <w:tcW w:w="1624" w:type="dxa"/>
            <w:tcBorders>
              <w:top w:val="nil"/>
              <w:left w:val="nil"/>
              <w:bottom w:val="single" w:color="auto" w:sz="8" w:space="0"/>
              <w:right w:val="single" w:color="auto" w:sz="8" w:space="0"/>
            </w:tcBorders>
            <w:tcMar>
              <w:left w:w="108" w:type="dxa"/>
              <w:right w:w="108" w:type="dxa"/>
            </w:tcMar>
            <w:vAlign w:val="center"/>
          </w:tcPr>
          <w:p>
            <w:pPr>
              <w:spacing w:line="560" w:lineRule="exact"/>
              <w:ind w:left="480" w:right="126" w:hanging="480"/>
              <w:jc w:val="right"/>
              <w:rPr>
                <w:rFonts w:ascii="宋体" w:cs="微软雅黑"/>
                <w:color w:val="010101"/>
                <w:sz w:val="32"/>
                <w:szCs w:val="32"/>
              </w:rPr>
            </w:pPr>
            <w:r>
              <w:rPr>
                <w:rFonts w:ascii="宋体" w:hAnsi="宋体" w:cs="微软雅黑"/>
                <w:color w:val="010101"/>
                <w:sz w:val="32"/>
                <w:szCs w:val="32"/>
              </w:rPr>
              <w:t>447.75</w:t>
            </w:r>
          </w:p>
        </w:tc>
        <w:tc>
          <w:tcPr>
            <w:tcW w:w="134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right="126" w:hanging="480"/>
              <w:jc w:val="right"/>
              <w:rPr>
                <w:rFonts w:ascii="宋体" w:cs="微软雅黑"/>
                <w:color w:val="010101"/>
                <w:sz w:val="32"/>
                <w:szCs w:val="32"/>
              </w:rPr>
            </w:pPr>
            <w:r>
              <w:rPr>
                <w:rFonts w:ascii="宋体" w:hAnsi="宋体" w:cs="微软雅黑"/>
                <w:color w:val="010101"/>
                <w:sz w:val="32"/>
                <w:szCs w:val="32"/>
              </w:rPr>
              <w:t>-55.01</w:t>
            </w:r>
          </w:p>
        </w:tc>
        <w:tc>
          <w:tcPr>
            <w:tcW w:w="1841"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微软雅黑"/>
                <w:color w:val="010101"/>
                <w:sz w:val="32"/>
                <w:szCs w:val="32"/>
              </w:rPr>
            </w:pPr>
            <w:r>
              <w:rPr>
                <w:rFonts w:ascii="宋体" w:hAnsi="宋体" w:cs="微软雅黑"/>
                <w:color w:val="010101"/>
                <w:sz w:val="32"/>
                <w:szCs w:val="32"/>
              </w:rPr>
              <w:t>-12.29%</w:t>
            </w:r>
          </w:p>
        </w:tc>
      </w:tr>
      <w:tr>
        <w:tblPrEx>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4" w:space="0"/>
              <w:right w:val="single" w:color="auto" w:sz="8" w:space="0"/>
            </w:tcBorders>
            <w:tcMar>
              <w:left w:w="108" w:type="dxa"/>
              <w:right w:w="108" w:type="dxa"/>
            </w:tcMar>
            <w:vAlign w:val="center"/>
          </w:tcPr>
          <w:p>
            <w:pPr>
              <w:spacing w:line="600" w:lineRule="exact"/>
              <w:ind w:left="480" w:hanging="480"/>
              <w:rPr>
                <w:rFonts w:ascii="宋体" w:cs="微软雅黑"/>
                <w:color w:val="010101"/>
                <w:sz w:val="32"/>
                <w:szCs w:val="32"/>
              </w:rPr>
            </w:pPr>
            <w:r>
              <w:rPr>
                <w:rFonts w:hint="eastAsia" w:ascii="宋体" w:hAnsi="宋体" w:cs="宋体"/>
                <w:color w:val="010101"/>
                <w:sz w:val="32"/>
                <w:szCs w:val="32"/>
              </w:rPr>
              <w:t>其中：项目支出</w:t>
            </w:r>
          </w:p>
        </w:tc>
        <w:tc>
          <w:tcPr>
            <w:tcW w:w="1736" w:type="dxa"/>
            <w:tcBorders>
              <w:top w:val="nil"/>
              <w:left w:val="nil"/>
              <w:bottom w:val="single" w:color="auto" w:sz="4" w:space="0"/>
              <w:right w:val="single" w:color="auto" w:sz="8" w:space="0"/>
            </w:tcBorders>
            <w:tcMar>
              <w:left w:w="108" w:type="dxa"/>
              <w:right w:w="108" w:type="dxa"/>
            </w:tcMar>
            <w:vAlign w:val="center"/>
          </w:tcPr>
          <w:p>
            <w:pPr>
              <w:spacing w:line="600" w:lineRule="exact"/>
              <w:ind w:left="480" w:right="126" w:hanging="480"/>
              <w:jc w:val="right"/>
              <w:rPr>
                <w:rFonts w:ascii="宋体" w:cs="微软雅黑"/>
                <w:color w:val="010101"/>
                <w:sz w:val="32"/>
                <w:szCs w:val="32"/>
              </w:rPr>
            </w:pPr>
            <w:r>
              <w:rPr>
                <w:rFonts w:ascii="宋体" w:hAnsi="宋体" w:cs="微软雅黑"/>
                <w:color w:val="010101"/>
                <w:sz w:val="32"/>
                <w:szCs w:val="32"/>
              </w:rPr>
              <w:t>472</w:t>
            </w:r>
          </w:p>
        </w:tc>
        <w:tc>
          <w:tcPr>
            <w:tcW w:w="1624" w:type="dxa"/>
            <w:tcBorders>
              <w:top w:val="nil"/>
              <w:left w:val="nil"/>
              <w:bottom w:val="single" w:color="auto" w:sz="4" w:space="0"/>
              <w:right w:val="single" w:color="auto" w:sz="8" w:space="0"/>
            </w:tcBorders>
            <w:tcMar>
              <w:left w:w="108" w:type="dxa"/>
              <w:right w:w="108" w:type="dxa"/>
            </w:tcMar>
            <w:vAlign w:val="center"/>
          </w:tcPr>
          <w:p>
            <w:pPr>
              <w:spacing w:line="560" w:lineRule="exact"/>
              <w:ind w:left="480" w:right="126" w:hanging="480"/>
              <w:jc w:val="right"/>
              <w:rPr>
                <w:rFonts w:ascii="宋体" w:cs="微软雅黑"/>
                <w:color w:val="010101"/>
                <w:sz w:val="32"/>
                <w:szCs w:val="32"/>
              </w:rPr>
            </w:pPr>
            <w:r>
              <w:rPr>
                <w:rFonts w:ascii="宋体" w:hAnsi="宋体" w:cs="微软雅黑"/>
                <w:color w:val="010101"/>
                <w:sz w:val="32"/>
                <w:szCs w:val="32"/>
              </w:rPr>
              <w:t>293</w:t>
            </w:r>
          </w:p>
        </w:tc>
        <w:tc>
          <w:tcPr>
            <w:tcW w:w="1344" w:type="dxa"/>
            <w:tcBorders>
              <w:top w:val="nil"/>
              <w:left w:val="nil"/>
              <w:bottom w:val="single" w:color="auto" w:sz="4" w:space="0"/>
              <w:right w:val="single" w:color="auto" w:sz="8" w:space="0"/>
            </w:tcBorders>
            <w:tcMar>
              <w:left w:w="108" w:type="dxa"/>
              <w:right w:w="108" w:type="dxa"/>
            </w:tcMar>
            <w:vAlign w:val="center"/>
          </w:tcPr>
          <w:p>
            <w:pPr>
              <w:spacing w:line="600" w:lineRule="exact"/>
              <w:ind w:left="480" w:right="126" w:hanging="480"/>
              <w:jc w:val="right"/>
              <w:rPr>
                <w:rFonts w:ascii="宋体" w:cs="微软雅黑"/>
                <w:color w:val="010101"/>
                <w:sz w:val="32"/>
                <w:szCs w:val="32"/>
              </w:rPr>
            </w:pPr>
            <w:r>
              <w:rPr>
                <w:rFonts w:ascii="宋体" w:hAnsi="宋体" w:cs="微软雅黑"/>
                <w:color w:val="010101"/>
                <w:sz w:val="32"/>
                <w:szCs w:val="32"/>
              </w:rPr>
              <w:t>179</w:t>
            </w:r>
          </w:p>
        </w:tc>
        <w:tc>
          <w:tcPr>
            <w:tcW w:w="1841" w:type="dxa"/>
            <w:tcBorders>
              <w:top w:val="nil"/>
              <w:left w:val="nil"/>
              <w:bottom w:val="single" w:color="auto" w:sz="4" w:space="0"/>
              <w:right w:val="single" w:color="auto" w:sz="8" w:space="0"/>
            </w:tcBorders>
            <w:tcMar>
              <w:left w:w="108" w:type="dxa"/>
              <w:right w:w="108" w:type="dxa"/>
            </w:tcMar>
            <w:vAlign w:val="center"/>
          </w:tcPr>
          <w:p>
            <w:pPr>
              <w:spacing w:line="600" w:lineRule="exact"/>
              <w:ind w:left="480" w:hanging="480"/>
              <w:jc w:val="center"/>
              <w:rPr>
                <w:rFonts w:ascii="宋体" w:cs="微软雅黑"/>
                <w:color w:val="010101"/>
                <w:sz w:val="32"/>
                <w:szCs w:val="32"/>
              </w:rPr>
            </w:pPr>
            <w:r>
              <w:rPr>
                <w:rFonts w:ascii="宋体" w:hAnsi="宋体" w:cs="微软雅黑"/>
                <w:color w:val="010101"/>
                <w:sz w:val="32"/>
                <w:szCs w:val="32"/>
              </w:rPr>
              <w:t>61.09%</w:t>
            </w:r>
          </w:p>
        </w:tc>
      </w:tr>
    </w:tbl>
    <w:p>
      <w:pPr>
        <w:spacing w:line="600" w:lineRule="exact"/>
        <w:ind w:firstLine="640" w:firstLineChars="200"/>
        <w:rPr>
          <w:rFonts w:ascii="宋体"/>
          <w:sz w:val="32"/>
          <w:szCs w:val="32"/>
        </w:rPr>
      </w:pPr>
      <w:r>
        <w:rPr>
          <w:rFonts w:hint="eastAsia" w:ascii="宋体" w:hAnsi="宋体"/>
          <w:sz w:val="32"/>
          <w:szCs w:val="32"/>
        </w:rPr>
        <w:t>根据年初预算批复，与上年比较，主要是基本支出减少</w:t>
      </w:r>
      <w:r>
        <w:rPr>
          <w:rFonts w:ascii="宋体" w:hAnsi="宋体"/>
          <w:sz w:val="32"/>
          <w:szCs w:val="32"/>
        </w:rPr>
        <w:t>55.01</w:t>
      </w:r>
      <w:r>
        <w:rPr>
          <w:rFonts w:hint="eastAsia" w:ascii="宋体" w:hAnsi="宋体"/>
          <w:sz w:val="32"/>
          <w:szCs w:val="32"/>
        </w:rPr>
        <w:t>万元，项目支出增加</w:t>
      </w:r>
      <w:r>
        <w:rPr>
          <w:rFonts w:ascii="宋体" w:hAnsi="宋体"/>
          <w:sz w:val="32"/>
          <w:szCs w:val="32"/>
        </w:rPr>
        <w:t>179</w:t>
      </w:r>
      <w:r>
        <w:rPr>
          <w:rFonts w:hint="eastAsia" w:ascii="宋体" w:hAnsi="宋体"/>
          <w:sz w:val="32"/>
          <w:szCs w:val="32"/>
        </w:rPr>
        <w:t>万元，原因是与科技局合并，项目支出预算增加。</w:t>
      </w:r>
    </w:p>
    <w:p>
      <w:pPr>
        <w:spacing w:line="600" w:lineRule="exact"/>
        <w:ind w:left="480" w:hanging="480"/>
        <w:rPr>
          <w:rFonts w:ascii="宋体"/>
          <w:sz w:val="32"/>
          <w:szCs w:val="32"/>
        </w:rPr>
      </w:pPr>
      <w:r>
        <w:rPr>
          <w:rFonts w:ascii="宋体" w:hAnsi="宋体"/>
          <w:sz w:val="32"/>
          <w:szCs w:val="32"/>
        </w:rPr>
        <w:t>2.</w:t>
      </w:r>
      <w:r>
        <w:rPr>
          <w:rFonts w:hint="eastAsia" w:ascii="宋体" w:hAnsi="宋体"/>
          <w:sz w:val="32"/>
          <w:szCs w:val="32"/>
        </w:rPr>
        <w:t>财政预算整体支出使用范围、方向和内容</w:t>
      </w:r>
    </w:p>
    <w:tbl>
      <w:tblPr>
        <w:tblStyle w:val="10"/>
        <w:tblW w:w="0" w:type="auto"/>
        <w:jc w:val="center"/>
        <w:tblLayout w:type="fixed"/>
        <w:tblCellMar>
          <w:top w:w="0" w:type="dxa"/>
          <w:left w:w="0" w:type="dxa"/>
          <w:bottom w:w="0" w:type="dxa"/>
          <w:right w:w="0" w:type="dxa"/>
        </w:tblCellMar>
      </w:tblPr>
      <w:tblGrid>
        <w:gridCol w:w="2859"/>
        <w:gridCol w:w="1748"/>
        <w:gridCol w:w="1331"/>
        <w:gridCol w:w="2379"/>
      </w:tblGrid>
      <w:tr>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工资福利支出</w:t>
            </w:r>
          </w:p>
        </w:tc>
        <w:tc>
          <w:tcPr>
            <w:tcW w:w="174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325.22</w:t>
            </w:r>
          </w:p>
        </w:tc>
        <w:tc>
          <w:tcPr>
            <w:tcW w:w="1331"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cs="宋体"/>
                <w:bCs/>
                <w:color w:val="000000"/>
                <w:sz w:val="32"/>
                <w:szCs w:val="32"/>
              </w:rPr>
              <w:t>0</w:t>
            </w:r>
          </w:p>
        </w:tc>
        <w:tc>
          <w:tcPr>
            <w:tcW w:w="237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325.22</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商品和服务支出</w:t>
            </w:r>
          </w:p>
        </w:tc>
        <w:tc>
          <w:tcPr>
            <w:tcW w:w="174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56.42</w:t>
            </w:r>
          </w:p>
        </w:tc>
        <w:tc>
          <w:tcPr>
            <w:tcW w:w="1331"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472</w:t>
            </w:r>
          </w:p>
        </w:tc>
        <w:tc>
          <w:tcPr>
            <w:tcW w:w="237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528.42</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对个人和家庭的补助</w:t>
            </w:r>
          </w:p>
        </w:tc>
        <w:tc>
          <w:tcPr>
            <w:tcW w:w="174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11.1</w:t>
            </w:r>
          </w:p>
        </w:tc>
        <w:tc>
          <w:tcPr>
            <w:tcW w:w="1331"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cs="宋体"/>
                <w:bCs/>
                <w:color w:val="000000"/>
                <w:sz w:val="32"/>
                <w:szCs w:val="32"/>
              </w:rPr>
              <w:t>0</w:t>
            </w:r>
          </w:p>
        </w:tc>
        <w:tc>
          <w:tcPr>
            <w:tcW w:w="237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11.1</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合</w:t>
            </w:r>
            <w:r>
              <w:rPr>
                <w:rFonts w:ascii="宋体" w:cs="宋体"/>
                <w:bCs/>
                <w:color w:val="000000"/>
                <w:sz w:val="32"/>
                <w:szCs w:val="32"/>
              </w:rPr>
              <w:t> </w:t>
            </w:r>
            <w:r>
              <w:rPr>
                <w:rFonts w:hint="eastAsia" w:ascii="宋体" w:hAnsi="宋体" w:cs="宋体"/>
                <w:bCs/>
                <w:color w:val="000000"/>
                <w:sz w:val="32"/>
                <w:szCs w:val="32"/>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392.74</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472</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864.74</w:t>
            </w:r>
          </w:p>
        </w:tc>
      </w:tr>
    </w:tbl>
    <w:p>
      <w:pPr>
        <w:spacing w:line="600" w:lineRule="exact"/>
        <w:ind w:left="480" w:hanging="480"/>
        <w:rPr>
          <w:rFonts w:ascii="宋体"/>
          <w:sz w:val="32"/>
          <w:szCs w:val="32"/>
        </w:rPr>
      </w:pPr>
      <w:r>
        <w:rPr>
          <w:rFonts w:hint="eastAsia" w:ascii="宋体" w:hAnsi="宋体"/>
          <w:sz w:val="32"/>
          <w:szCs w:val="32"/>
        </w:rPr>
        <w:t>（二）年度收支决算情况</w:t>
      </w:r>
    </w:p>
    <w:p>
      <w:pPr>
        <w:spacing w:line="600" w:lineRule="exact"/>
        <w:ind w:left="480" w:hanging="480"/>
        <w:rPr>
          <w:rFonts w:ascii="宋体"/>
          <w:sz w:val="32"/>
          <w:szCs w:val="32"/>
        </w:rPr>
      </w:pPr>
      <w:r>
        <w:rPr>
          <w:rFonts w:ascii="宋体" w:hAnsi="宋体"/>
          <w:sz w:val="32"/>
          <w:szCs w:val="32"/>
        </w:rPr>
        <w:t>1.</w:t>
      </w:r>
      <w:r>
        <w:rPr>
          <w:rFonts w:hint="eastAsia" w:ascii="宋体" w:hAnsi="宋体"/>
          <w:sz w:val="32"/>
          <w:szCs w:val="32"/>
        </w:rPr>
        <w:t>年度收入决算</w:t>
      </w:r>
    </w:p>
    <w:tbl>
      <w:tblPr>
        <w:tblStyle w:val="10"/>
        <w:tblW w:w="0" w:type="auto"/>
        <w:jc w:val="center"/>
        <w:tblLayout w:type="fixed"/>
        <w:tblCellMar>
          <w:top w:w="0" w:type="dxa"/>
          <w:left w:w="0" w:type="dxa"/>
          <w:bottom w:w="0" w:type="dxa"/>
          <w:right w:w="0" w:type="dxa"/>
        </w:tblCellMar>
      </w:tblPr>
      <w:tblGrid>
        <w:gridCol w:w="2346"/>
        <w:gridCol w:w="1693"/>
        <w:gridCol w:w="1820"/>
        <w:gridCol w:w="2264"/>
      </w:tblGrid>
      <w:tr>
        <w:tblPrEx>
          <w:tblCellMar>
            <w:top w:w="0" w:type="dxa"/>
            <w:left w:w="0" w:type="dxa"/>
            <w:bottom w:w="0" w:type="dxa"/>
            <w:right w:w="0" w:type="dxa"/>
          </w:tblCellMar>
        </w:tblPrEx>
        <w:trPr>
          <w:trHeight w:val="564" w:hRule="atLeast"/>
          <w:jc w:val="center"/>
        </w:trPr>
        <w:tc>
          <w:tcPr>
            <w:tcW w:w="2346"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差额</w:t>
            </w:r>
          </w:p>
        </w:tc>
      </w:tr>
      <w:tr>
        <w:tblPrEx>
          <w:tblCellMar>
            <w:top w:w="0" w:type="dxa"/>
            <w:left w:w="0" w:type="dxa"/>
            <w:bottom w:w="0" w:type="dxa"/>
            <w:right w:w="0" w:type="dxa"/>
          </w:tblCellMar>
        </w:tblPrEx>
        <w:trPr>
          <w:trHeight w:val="599" w:hRule="atLeast"/>
          <w:jc w:val="center"/>
        </w:trPr>
        <w:tc>
          <w:tcPr>
            <w:tcW w:w="2346"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财政拨款收入</w:t>
            </w:r>
          </w:p>
        </w:tc>
        <w:tc>
          <w:tcPr>
            <w:tcW w:w="169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864.74</w:t>
            </w:r>
          </w:p>
        </w:tc>
        <w:tc>
          <w:tcPr>
            <w:tcW w:w="1820"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1064.7</w:t>
            </w:r>
          </w:p>
        </w:tc>
        <w:tc>
          <w:tcPr>
            <w:tcW w:w="226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199.96</w:t>
            </w:r>
          </w:p>
        </w:tc>
      </w:tr>
      <w:tr>
        <w:tblPrEx>
          <w:tblCellMar>
            <w:top w:w="0" w:type="dxa"/>
            <w:left w:w="0" w:type="dxa"/>
            <w:bottom w:w="0" w:type="dxa"/>
            <w:right w:w="0" w:type="dxa"/>
          </w:tblCellMar>
        </w:tblPrEx>
        <w:trPr>
          <w:trHeight w:val="599" w:hRule="atLeast"/>
          <w:jc w:val="center"/>
        </w:trPr>
        <w:tc>
          <w:tcPr>
            <w:tcW w:w="2346"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小计</w:t>
            </w:r>
          </w:p>
        </w:tc>
        <w:tc>
          <w:tcPr>
            <w:tcW w:w="169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864.74</w:t>
            </w:r>
          </w:p>
        </w:tc>
        <w:tc>
          <w:tcPr>
            <w:tcW w:w="1820"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1064.7</w:t>
            </w:r>
          </w:p>
        </w:tc>
        <w:tc>
          <w:tcPr>
            <w:tcW w:w="226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199.96</w:t>
            </w:r>
          </w:p>
        </w:tc>
      </w:tr>
    </w:tbl>
    <w:p>
      <w:pPr>
        <w:spacing w:line="600" w:lineRule="exact"/>
        <w:rPr>
          <w:rFonts w:ascii="宋体"/>
          <w:sz w:val="32"/>
          <w:szCs w:val="32"/>
        </w:rPr>
      </w:pPr>
      <w:r>
        <w:rPr>
          <w:rFonts w:ascii="宋体" w:hAnsi="宋体"/>
          <w:sz w:val="32"/>
          <w:szCs w:val="32"/>
        </w:rPr>
        <w:t xml:space="preserve">    </w:t>
      </w:r>
      <w:r>
        <w:rPr>
          <w:rFonts w:hint="eastAsia" w:ascii="宋体" w:hAnsi="宋体" w:cs="宋体"/>
          <w:bCs/>
          <w:color w:val="000000"/>
          <w:sz w:val="32"/>
          <w:szCs w:val="32"/>
        </w:rPr>
        <w:t>决算金额比预算金额多出</w:t>
      </w:r>
      <w:r>
        <w:rPr>
          <w:rFonts w:ascii="宋体" w:hAnsi="宋体"/>
          <w:sz w:val="32"/>
          <w:szCs w:val="32"/>
        </w:rPr>
        <w:t>199.96</w:t>
      </w:r>
      <w:r>
        <w:rPr>
          <w:rFonts w:hint="eastAsia" w:ascii="宋体" w:hAnsi="宋体"/>
          <w:sz w:val="32"/>
          <w:szCs w:val="32"/>
        </w:rPr>
        <w:t>万元的主要原因是预算调整。</w:t>
      </w:r>
    </w:p>
    <w:p>
      <w:pPr>
        <w:spacing w:line="600" w:lineRule="exact"/>
        <w:ind w:left="480" w:hanging="480"/>
        <w:rPr>
          <w:rFonts w:ascii="宋体"/>
          <w:sz w:val="32"/>
          <w:szCs w:val="32"/>
        </w:rPr>
      </w:pPr>
      <w:r>
        <w:rPr>
          <w:rFonts w:ascii="宋体" w:hAnsi="宋体"/>
          <w:sz w:val="32"/>
          <w:szCs w:val="32"/>
        </w:rPr>
        <w:t>2.</w:t>
      </w:r>
      <w:r>
        <w:rPr>
          <w:rFonts w:hint="eastAsia" w:ascii="宋体" w:hAnsi="宋体"/>
          <w:sz w:val="32"/>
          <w:szCs w:val="32"/>
        </w:rPr>
        <w:t>年度预算支出决算及结余</w:t>
      </w:r>
    </w:p>
    <w:tbl>
      <w:tblPr>
        <w:tblStyle w:val="10"/>
        <w:tblW w:w="8254" w:type="dxa"/>
        <w:tblInd w:w="1115" w:type="dxa"/>
        <w:tblLayout w:type="fixed"/>
        <w:tblCellMar>
          <w:top w:w="0" w:type="dxa"/>
          <w:left w:w="0" w:type="dxa"/>
          <w:bottom w:w="0" w:type="dxa"/>
          <w:right w:w="0" w:type="dxa"/>
        </w:tblCellMar>
      </w:tblPr>
      <w:tblGrid>
        <w:gridCol w:w="1739"/>
        <w:gridCol w:w="2268"/>
        <w:gridCol w:w="1984"/>
        <w:gridCol w:w="2263"/>
      </w:tblGrid>
      <w:tr>
        <w:tblPrEx>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预算支出类别</w:t>
            </w:r>
          </w:p>
        </w:tc>
        <w:tc>
          <w:tcPr>
            <w:tcW w:w="226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决算金额</w:t>
            </w:r>
          </w:p>
        </w:tc>
        <w:tc>
          <w:tcPr>
            <w:tcW w:w="2263"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基本支出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392.74</w:t>
            </w: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788.7</w:t>
            </w:r>
          </w:p>
        </w:tc>
        <w:tc>
          <w:tcPr>
            <w:tcW w:w="2263"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395.96</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项目支出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472</w:t>
            </w: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276</w:t>
            </w:r>
          </w:p>
        </w:tc>
        <w:tc>
          <w:tcPr>
            <w:tcW w:w="2263"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-196</w:t>
            </w:r>
          </w:p>
        </w:tc>
      </w:tr>
      <w:tr>
        <w:tblPrEx>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小计</w:t>
            </w:r>
          </w:p>
        </w:tc>
        <w:tc>
          <w:tcPr>
            <w:tcW w:w="226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864.74</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1064.7</w:t>
            </w:r>
          </w:p>
        </w:tc>
        <w:tc>
          <w:tcPr>
            <w:tcW w:w="2263"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199.96</w:t>
            </w:r>
          </w:p>
        </w:tc>
      </w:tr>
    </w:tbl>
    <w:p>
      <w:pPr>
        <w:spacing w:line="600" w:lineRule="exact"/>
        <w:ind w:firstLine="640" w:firstLineChars="200"/>
        <w:rPr>
          <w:rFonts w:ascii="宋体"/>
          <w:sz w:val="32"/>
          <w:szCs w:val="32"/>
        </w:rPr>
      </w:pPr>
      <w:r>
        <w:rPr>
          <w:rFonts w:hint="eastAsia" w:ascii="宋体" w:hAnsi="宋体" w:cs="宋体"/>
          <w:bCs/>
          <w:color w:val="000000"/>
          <w:sz w:val="32"/>
          <w:szCs w:val="32"/>
        </w:rPr>
        <w:t>决算金额比预算金额增加</w:t>
      </w:r>
      <w:r>
        <w:rPr>
          <w:rFonts w:ascii="宋体" w:hAnsi="宋体" w:cs="宋体"/>
          <w:bCs/>
          <w:color w:val="000000"/>
          <w:sz w:val="32"/>
          <w:szCs w:val="32"/>
        </w:rPr>
        <w:t>1</w:t>
      </w:r>
      <w:r>
        <w:rPr>
          <w:rFonts w:ascii="宋体" w:hAnsi="宋体"/>
          <w:sz w:val="32"/>
          <w:szCs w:val="32"/>
        </w:rPr>
        <w:t>99.96</w:t>
      </w:r>
      <w:r>
        <w:rPr>
          <w:rFonts w:hint="eastAsia" w:ascii="宋体" w:hAnsi="宋体"/>
          <w:sz w:val="32"/>
          <w:szCs w:val="32"/>
        </w:rPr>
        <w:t>万元的主要原因是预算调整。</w:t>
      </w:r>
    </w:p>
    <w:p>
      <w:pPr>
        <w:spacing w:line="600" w:lineRule="exact"/>
        <w:ind w:left="480" w:hanging="480"/>
        <w:outlineLvl w:val="0"/>
        <w:rPr>
          <w:rFonts w:ascii="宋体"/>
          <w:sz w:val="32"/>
          <w:szCs w:val="32"/>
        </w:rPr>
      </w:pPr>
      <w:r>
        <w:rPr>
          <w:rFonts w:hint="eastAsia" w:ascii="宋体" w:hAnsi="宋体"/>
          <w:sz w:val="32"/>
          <w:szCs w:val="32"/>
        </w:rPr>
        <w:t>三、部门整体支出管理及使用情况</w:t>
      </w:r>
    </w:p>
    <w:p>
      <w:pPr>
        <w:pStyle w:val="3"/>
        <w:widowControl/>
        <w:spacing w:before="0" w:beforeAutospacing="0" w:after="0" w:afterAutospacing="0" w:line="600" w:lineRule="exact"/>
        <w:jc w:val="both"/>
        <w:rPr>
          <w:b w:val="0"/>
          <w:kern w:val="2"/>
          <w:sz w:val="32"/>
          <w:szCs w:val="32"/>
        </w:rPr>
      </w:pPr>
      <w:bookmarkStart w:id="0" w:name="_Toc419142208"/>
      <w:r>
        <w:rPr>
          <w:rFonts w:hint="eastAsia"/>
          <w:b w:val="0"/>
          <w:kern w:val="2"/>
          <w:sz w:val="32"/>
          <w:szCs w:val="32"/>
        </w:rPr>
        <w:t>（一）基本支出管理</w:t>
      </w:r>
      <w:bookmarkEnd w:id="0"/>
    </w:p>
    <w:p>
      <w:pPr>
        <w:pStyle w:val="4"/>
        <w:widowControl/>
        <w:spacing w:before="0" w:beforeAutospacing="0" w:after="0" w:afterAutospacing="0" w:line="600" w:lineRule="exact"/>
        <w:rPr>
          <w:b w:val="0"/>
          <w:kern w:val="2"/>
          <w:sz w:val="32"/>
          <w:szCs w:val="32"/>
        </w:rPr>
      </w:pPr>
      <w:r>
        <w:rPr>
          <w:b w:val="0"/>
          <w:kern w:val="2"/>
          <w:sz w:val="32"/>
          <w:szCs w:val="32"/>
        </w:rPr>
        <w:t>1</w:t>
      </w:r>
      <w:r>
        <w:rPr>
          <w:rFonts w:hint="eastAsia"/>
          <w:b w:val="0"/>
          <w:kern w:val="2"/>
          <w:sz w:val="32"/>
          <w:szCs w:val="32"/>
        </w:rPr>
        <w:t>、基本支出总额使用和管理</w:t>
      </w:r>
    </w:p>
    <w:tbl>
      <w:tblPr>
        <w:tblStyle w:val="10"/>
        <w:tblW w:w="0" w:type="auto"/>
        <w:jc w:val="center"/>
        <w:tblLayout w:type="fixed"/>
        <w:tblCellMar>
          <w:top w:w="0" w:type="dxa"/>
          <w:left w:w="0" w:type="dxa"/>
          <w:bottom w:w="0" w:type="dxa"/>
          <w:right w:w="0" w:type="dxa"/>
        </w:tblCellMar>
      </w:tblPr>
      <w:tblGrid>
        <w:gridCol w:w="2392"/>
        <w:gridCol w:w="1666"/>
        <w:gridCol w:w="1604"/>
        <w:gridCol w:w="2438"/>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cs="宋体"/>
                <w:bCs/>
                <w:color w:val="000000"/>
                <w:sz w:val="32"/>
                <w:szCs w:val="32"/>
              </w:rPr>
              <w:t> </w:t>
            </w:r>
            <w:r>
              <w:rPr>
                <w:rFonts w:hint="eastAsia" w:ascii="宋体" w:hAnsi="宋体" w:cs="宋体"/>
                <w:bCs/>
                <w:color w:val="000000"/>
                <w:sz w:val="32"/>
                <w:szCs w:val="32"/>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节约</w:t>
            </w:r>
            <w:r>
              <w:rPr>
                <w:rFonts w:ascii="宋体" w:hAnsi="宋体" w:cs="宋体"/>
                <w:bCs/>
                <w:color w:val="000000"/>
                <w:sz w:val="32"/>
                <w:szCs w:val="32"/>
              </w:rPr>
              <w:t>/</w:t>
            </w:r>
            <w:r>
              <w:rPr>
                <w:rFonts w:hint="eastAsia" w:ascii="宋体" w:hAnsi="宋体" w:cs="宋体"/>
                <w:bCs/>
                <w:color w:val="000000"/>
                <w:sz w:val="32"/>
                <w:szCs w:val="32"/>
              </w:rPr>
              <w:t>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工资福利支出</w:t>
            </w:r>
          </w:p>
        </w:tc>
        <w:tc>
          <w:tcPr>
            <w:tcW w:w="1666"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325.22</w:t>
            </w:r>
          </w:p>
        </w:tc>
        <w:tc>
          <w:tcPr>
            <w:tcW w:w="160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427.12</w:t>
            </w:r>
          </w:p>
        </w:tc>
        <w:tc>
          <w:tcPr>
            <w:tcW w:w="243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101.9</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商品和服务支出</w:t>
            </w:r>
          </w:p>
        </w:tc>
        <w:tc>
          <w:tcPr>
            <w:tcW w:w="1666"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56.42</w:t>
            </w:r>
          </w:p>
        </w:tc>
        <w:tc>
          <w:tcPr>
            <w:tcW w:w="160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309.5</w:t>
            </w:r>
          </w:p>
        </w:tc>
        <w:tc>
          <w:tcPr>
            <w:tcW w:w="243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253.08</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对个人和家庭的补助</w:t>
            </w:r>
          </w:p>
        </w:tc>
        <w:tc>
          <w:tcPr>
            <w:tcW w:w="1666"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11.1</w:t>
            </w:r>
          </w:p>
        </w:tc>
        <w:tc>
          <w:tcPr>
            <w:tcW w:w="160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49.34</w:t>
            </w:r>
          </w:p>
        </w:tc>
        <w:tc>
          <w:tcPr>
            <w:tcW w:w="243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38.24</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资本性支出</w:t>
            </w:r>
          </w:p>
        </w:tc>
        <w:tc>
          <w:tcPr>
            <w:tcW w:w="1666"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p>
        </w:tc>
        <w:tc>
          <w:tcPr>
            <w:tcW w:w="1604"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2.74</w:t>
            </w:r>
          </w:p>
        </w:tc>
        <w:tc>
          <w:tcPr>
            <w:tcW w:w="243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2.74</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hint="eastAsia" w:ascii="宋体" w:hAnsi="宋体" w:cs="宋体"/>
                <w:bCs/>
                <w:color w:val="000000"/>
                <w:sz w:val="32"/>
                <w:szCs w:val="32"/>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t>392.74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fldChar w:fldCharType="begin"/>
            </w:r>
            <w:r>
              <w:rPr>
                <w:rFonts w:ascii="宋体" w:hAnsi="宋体" w:cs="宋体"/>
                <w:bCs/>
                <w:color w:val="000000"/>
                <w:sz w:val="32"/>
                <w:szCs w:val="32"/>
              </w:rPr>
              <w:instrText xml:space="preserve"> = sum(C2:C5) \* MERGEFORMAT </w:instrText>
            </w:r>
            <w:r>
              <w:rPr>
                <w:rFonts w:ascii="宋体" w:hAnsi="宋体" w:cs="宋体"/>
                <w:bCs/>
                <w:color w:val="000000"/>
                <w:sz w:val="32"/>
                <w:szCs w:val="32"/>
              </w:rPr>
              <w:fldChar w:fldCharType="separate"/>
            </w:r>
            <w:r>
              <w:rPr>
                <w:rFonts w:ascii="宋体" w:hAnsi="宋体" w:cs="宋体"/>
                <w:bCs/>
                <w:color w:val="000000"/>
                <w:sz w:val="32"/>
                <w:szCs w:val="32"/>
              </w:rPr>
              <w:t>788.7</w:t>
            </w:r>
            <w:r>
              <w:rPr>
                <w:rFonts w:ascii="宋体" w:hAnsi="宋体" w:cs="宋体"/>
                <w:bCs/>
                <w:color w:val="000000"/>
                <w:sz w:val="32"/>
                <w:szCs w:val="32"/>
              </w:rPr>
              <w:fldChar w:fldCharType="end"/>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textAlignment w:val="center"/>
              <w:rPr>
                <w:rFonts w:ascii="宋体" w:cs="宋体"/>
                <w:bCs/>
                <w:color w:val="000000"/>
                <w:sz w:val="32"/>
                <w:szCs w:val="32"/>
              </w:rPr>
            </w:pPr>
            <w:r>
              <w:rPr>
                <w:rFonts w:ascii="宋体" w:hAnsi="宋体" w:cs="宋体"/>
                <w:bCs/>
                <w:color w:val="000000"/>
                <w:sz w:val="32"/>
                <w:szCs w:val="32"/>
              </w:rPr>
              <w:fldChar w:fldCharType="begin"/>
            </w:r>
            <w:r>
              <w:rPr>
                <w:rFonts w:ascii="宋体" w:hAnsi="宋体" w:cs="宋体"/>
                <w:bCs/>
                <w:color w:val="000000"/>
                <w:sz w:val="32"/>
                <w:szCs w:val="32"/>
              </w:rPr>
              <w:instrText xml:space="preserve"> = sum(D2:D5) \* MERGEFORMAT </w:instrText>
            </w:r>
            <w:r>
              <w:rPr>
                <w:rFonts w:ascii="宋体" w:hAnsi="宋体" w:cs="宋体"/>
                <w:bCs/>
                <w:color w:val="000000"/>
                <w:sz w:val="32"/>
                <w:szCs w:val="32"/>
              </w:rPr>
              <w:fldChar w:fldCharType="separate"/>
            </w:r>
            <w:r>
              <w:rPr>
                <w:rFonts w:ascii="宋体" w:hAnsi="宋体" w:cs="宋体"/>
                <w:bCs/>
                <w:color w:val="000000"/>
                <w:sz w:val="32"/>
                <w:szCs w:val="32"/>
              </w:rPr>
              <w:t>395.96</w:t>
            </w:r>
            <w:r>
              <w:rPr>
                <w:rFonts w:ascii="宋体" w:hAnsi="宋体" w:cs="宋体"/>
                <w:bCs/>
                <w:color w:val="000000"/>
                <w:sz w:val="32"/>
                <w:szCs w:val="32"/>
              </w:rPr>
              <w:fldChar w:fldCharType="end"/>
            </w:r>
          </w:p>
        </w:tc>
      </w:tr>
    </w:tbl>
    <w:p>
      <w:pPr>
        <w:spacing w:line="600" w:lineRule="exact"/>
        <w:ind w:left="480" w:hanging="480"/>
        <w:rPr>
          <w:rFonts w:ascii="宋体"/>
          <w:sz w:val="32"/>
          <w:szCs w:val="32"/>
        </w:rPr>
      </w:pPr>
      <w:r>
        <w:rPr>
          <w:rFonts w:ascii="宋体" w:hAnsi="宋体"/>
          <w:sz w:val="32"/>
          <w:szCs w:val="32"/>
        </w:rPr>
        <w:t>2</w:t>
      </w:r>
      <w:r>
        <w:rPr>
          <w:rFonts w:hint="eastAsia" w:ascii="宋体" w:hAnsi="宋体"/>
          <w:sz w:val="32"/>
          <w:szCs w:val="32"/>
        </w:rPr>
        <w:t>、基本支出中各费用明细支出管理</w:t>
      </w:r>
    </w:p>
    <w:p>
      <w:pPr>
        <w:spacing w:line="600" w:lineRule="exact"/>
        <w:ind w:left="480" w:hanging="480"/>
        <w:rPr>
          <w:rFonts w:ascii="宋体"/>
          <w:sz w:val="32"/>
          <w:szCs w:val="32"/>
        </w:rPr>
      </w:pPr>
      <w:r>
        <w:rPr>
          <w:rFonts w:hint="eastAsia" w:ascii="宋体" w:hAnsi="宋体"/>
          <w:sz w:val="32"/>
          <w:szCs w:val="32"/>
        </w:rPr>
        <w:t>（</w:t>
      </w:r>
      <w:r>
        <w:rPr>
          <w:rFonts w:ascii="宋体" w:hAnsi="宋体"/>
          <w:sz w:val="32"/>
          <w:szCs w:val="32"/>
        </w:rPr>
        <w:t>1</w:t>
      </w:r>
      <w:r>
        <w:rPr>
          <w:rFonts w:hint="eastAsia" w:ascii="宋体" w:hAnsi="宋体"/>
          <w:sz w:val="32"/>
          <w:szCs w:val="32"/>
        </w:rPr>
        <w:t>）工资福利支出</w:t>
      </w:r>
    </w:p>
    <w:tbl>
      <w:tblPr>
        <w:tblStyle w:val="10"/>
        <w:tblW w:w="0" w:type="auto"/>
        <w:jc w:val="center"/>
        <w:tblLayout w:type="fixed"/>
        <w:tblCellMar>
          <w:top w:w="0" w:type="dxa"/>
          <w:left w:w="0" w:type="dxa"/>
          <w:bottom w:w="0" w:type="dxa"/>
          <w:right w:w="0" w:type="dxa"/>
        </w:tblCellMar>
      </w:tblPr>
      <w:tblGrid>
        <w:gridCol w:w="2431"/>
        <w:gridCol w:w="1134"/>
        <w:gridCol w:w="1134"/>
        <w:gridCol w:w="1417"/>
        <w:gridCol w:w="1664"/>
      </w:tblGrid>
      <w:tr>
        <w:tblPrEx>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费用项目</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预算金额</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节约</w:t>
            </w:r>
            <w:r>
              <w:rPr>
                <w:rFonts w:ascii="宋体" w:hAnsi="宋体" w:cs="宋体"/>
                <w:color w:val="010101"/>
                <w:sz w:val="32"/>
                <w:szCs w:val="32"/>
              </w:rPr>
              <w:t>/</w:t>
            </w:r>
            <w:r>
              <w:rPr>
                <w:rFonts w:hint="eastAsia" w:ascii="宋体" w:hAnsi="宋体" w:cs="宋体"/>
                <w:color w:val="010101"/>
                <w:sz w:val="32"/>
                <w:szCs w:val="32"/>
              </w:rPr>
              <w:t>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节约</w:t>
            </w:r>
            <w:r>
              <w:rPr>
                <w:rFonts w:ascii="宋体" w:hAnsi="宋体" w:cs="宋体"/>
                <w:color w:val="010101"/>
                <w:sz w:val="32"/>
                <w:szCs w:val="32"/>
              </w:rPr>
              <w:t>/</w:t>
            </w:r>
            <w:r>
              <w:rPr>
                <w:rFonts w:hint="eastAsia" w:ascii="宋体" w:hAnsi="宋体" w:cs="宋体"/>
                <w:color w:val="010101"/>
                <w:sz w:val="32"/>
                <w:szCs w:val="32"/>
              </w:rPr>
              <w:t>超支率</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基本工资</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149.78</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154.81</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5.03</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3.36%</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津贴补贴</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83.25</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83.13</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-0.12</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-0.14%</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奖金</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12.48</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112.2</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99.72</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799.04%</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伙食补助费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15.41</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15.41</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绩效工资</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机关事业单位基本养老保险缴费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37.28</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36.57</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-0.71</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-1.9%</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职业年金缴费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职工基本医疗保险缴费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9.44</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16.4</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6.96</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73.73%</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公务员医疗补助缴费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其他社会保障缴费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3.52</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6.1</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2.58</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73.3%</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住房公积金</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29.46</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-29.46</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医疗费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其他工资福利支出</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2.5</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2.5</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合计</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325.22</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427.12</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bCs/>
                <w:color w:val="000000"/>
                <w:sz w:val="32"/>
                <w:szCs w:val="32"/>
              </w:rPr>
              <w:t>101.91</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31.34%</w:t>
            </w:r>
          </w:p>
        </w:tc>
      </w:tr>
    </w:tbl>
    <w:p>
      <w:pPr>
        <w:spacing w:line="600" w:lineRule="exact"/>
        <w:rPr>
          <w:rFonts w:ascii="宋体"/>
          <w:sz w:val="32"/>
          <w:szCs w:val="32"/>
        </w:rPr>
      </w:pPr>
      <w:r>
        <w:rPr>
          <w:rFonts w:ascii="宋体" w:hAnsi="宋体"/>
          <w:sz w:val="32"/>
          <w:szCs w:val="32"/>
        </w:rPr>
        <w:t xml:space="preserve">    </w:t>
      </w:r>
      <w:r>
        <w:rPr>
          <w:rFonts w:hint="eastAsia" w:ascii="宋体" w:hAnsi="宋体"/>
          <w:sz w:val="32"/>
          <w:szCs w:val="32"/>
        </w:rPr>
        <w:t>工资福利支出超支的主要原因是上年度的奖金等福利待遇在本年发放。</w:t>
      </w:r>
    </w:p>
    <w:p>
      <w:pPr>
        <w:spacing w:line="600" w:lineRule="exact"/>
        <w:ind w:left="480" w:hanging="480"/>
        <w:rPr>
          <w:rFonts w:ascii="宋体"/>
          <w:sz w:val="32"/>
          <w:szCs w:val="32"/>
        </w:rPr>
      </w:pPr>
      <w:r>
        <w:rPr>
          <w:rFonts w:hint="eastAsia" w:ascii="宋体" w:hAnsi="宋体"/>
          <w:sz w:val="32"/>
          <w:szCs w:val="32"/>
        </w:rPr>
        <w:t>（</w:t>
      </w:r>
      <w:r>
        <w:rPr>
          <w:rFonts w:ascii="宋体" w:hAnsi="宋体"/>
          <w:sz w:val="32"/>
          <w:szCs w:val="32"/>
        </w:rPr>
        <w:t>2</w:t>
      </w:r>
      <w:r>
        <w:rPr>
          <w:rFonts w:hint="eastAsia" w:ascii="宋体" w:hAnsi="宋体"/>
          <w:sz w:val="32"/>
          <w:szCs w:val="32"/>
        </w:rPr>
        <w:t>）商品和服务支出</w:t>
      </w:r>
    </w:p>
    <w:tbl>
      <w:tblPr>
        <w:tblStyle w:val="10"/>
        <w:tblW w:w="0" w:type="auto"/>
        <w:jc w:val="center"/>
        <w:tblLayout w:type="fixed"/>
        <w:tblCellMar>
          <w:top w:w="0" w:type="dxa"/>
          <w:left w:w="0" w:type="dxa"/>
          <w:bottom w:w="0" w:type="dxa"/>
          <w:right w:w="0" w:type="dxa"/>
        </w:tblCellMar>
      </w:tblPr>
      <w:tblGrid>
        <w:gridCol w:w="2133"/>
        <w:gridCol w:w="1398"/>
        <w:gridCol w:w="1537"/>
        <w:gridCol w:w="1429"/>
        <w:gridCol w:w="1643"/>
      </w:tblGrid>
      <w:tr>
        <w:tblPrEx>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rPr>
                <w:rFonts w:ascii="宋体" w:cs="宋体"/>
                <w:color w:val="010101"/>
                <w:sz w:val="32"/>
                <w:szCs w:val="32"/>
              </w:rPr>
            </w:pPr>
            <w:bookmarkStart w:id="3" w:name="_GoBack"/>
            <w:bookmarkEnd w:id="3"/>
            <w:r>
              <w:rPr>
                <w:rFonts w:hint="eastAsia" w:ascii="宋体" w:hAnsi="宋体" w:cs="宋体"/>
                <w:color w:val="010101"/>
                <w:sz w:val="32"/>
                <w:szCs w:val="32"/>
              </w:rPr>
              <w:t>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办公费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6</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10.34</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4.34</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72.33%</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印刷费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4.4</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4.4</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咨询费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7.99</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7.99</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手续费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水费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0.1</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0.82</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0.71</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电费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0.8</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3.8</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710%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邮电费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1.2</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6.4</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5.2</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433.33%</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取暖费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物业管理费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差旅费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14</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29.07</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15.07</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107.64%</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因公出国（境）费用</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维修（护）费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0.66</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0.66</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租赁费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1.4</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1.4</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会议费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0.2</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7.15</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6.95</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培训费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0.2</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4.64</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4.44</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公务接待费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2.55</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0.55</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27.5%</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专用材料费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被装购置费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专用燃料费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劳务费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3.21</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3.21</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委托业务费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工会经费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15.96</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8.96</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128%</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福利费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公务用车运行维护费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其他交通费</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24.92</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27.01</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2.09</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8.39%</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税金及附加费用</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其他商品和服务支出</w:t>
            </w:r>
          </w:p>
        </w:tc>
        <w:tc>
          <w:tcPr>
            <w:tcW w:w="1398"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37"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184.11</w:t>
            </w:r>
          </w:p>
        </w:tc>
        <w:tc>
          <w:tcPr>
            <w:tcW w:w="1429"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184.11</w:t>
            </w:r>
          </w:p>
        </w:tc>
        <w:tc>
          <w:tcPr>
            <w:tcW w:w="1643" w:type="dxa"/>
            <w:tcBorders>
              <w:top w:val="nil"/>
              <w:left w:val="nil"/>
              <w:bottom w:val="single" w:color="auto" w:sz="8" w:space="0"/>
              <w:right w:val="single" w:color="auto" w:sz="8" w:space="0"/>
            </w:tcBorders>
            <w:tcMar>
              <w:left w:w="108" w:type="dxa"/>
              <w:right w:w="108"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56.42</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309.5</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253.08</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448.56%</w:t>
            </w:r>
          </w:p>
        </w:tc>
      </w:tr>
    </w:tbl>
    <w:p>
      <w:pPr>
        <w:spacing w:line="600" w:lineRule="exact"/>
        <w:ind w:firstLine="640" w:firstLineChars="200"/>
        <w:rPr>
          <w:rFonts w:ascii="宋体"/>
          <w:sz w:val="32"/>
          <w:szCs w:val="32"/>
        </w:rPr>
      </w:pPr>
      <w:r>
        <w:rPr>
          <w:rFonts w:hint="eastAsia" w:ascii="宋体" w:hAnsi="宋体"/>
          <w:sz w:val="32"/>
          <w:szCs w:val="32"/>
        </w:rPr>
        <w:t>商品和服务支出增加的主要原因是年初预算的部分项目支出用于弥补基本支出的不足，列支于商品和服务支出。</w:t>
      </w:r>
    </w:p>
    <w:p>
      <w:pPr>
        <w:spacing w:line="600" w:lineRule="exact"/>
        <w:ind w:left="480" w:hanging="480"/>
        <w:rPr>
          <w:rFonts w:ascii="宋体"/>
          <w:sz w:val="32"/>
          <w:szCs w:val="32"/>
        </w:rPr>
      </w:pPr>
      <w:r>
        <w:rPr>
          <w:rFonts w:hint="eastAsia" w:ascii="宋体" w:hAnsi="宋体"/>
          <w:sz w:val="32"/>
          <w:szCs w:val="32"/>
        </w:rPr>
        <w:t>（</w:t>
      </w:r>
      <w:r>
        <w:rPr>
          <w:rFonts w:ascii="宋体" w:hAnsi="宋体"/>
          <w:sz w:val="32"/>
          <w:szCs w:val="32"/>
        </w:rPr>
        <w:t>3</w:t>
      </w:r>
      <w:r>
        <w:rPr>
          <w:rFonts w:hint="eastAsia" w:ascii="宋体" w:hAnsi="宋体"/>
          <w:sz w:val="32"/>
          <w:szCs w:val="32"/>
        </w:rPr>
        <w:t>）对个人和家庭的补助</w:t>
      </w:r>
    </w:p>
    <w:tbl>
      <w:tblPr>
        <w:tblStyle w:val="10"/>
        <w:tblW w:w="8295" w:type="dxa"/>
        <w:tblInd w:w="960" w:type="dxa"/>
        <w:tblLayout w:type="fixed"/>
        <w:tblCellMar>
          <w:top w:w="0" w:type="dxa"/>
          <w:left w:w="0" w:type="dxa"/>
          <w:bottom w:w="0" w:type="dxa"/>
          <w:right w:w="0" w:type="dxa"/>
        </w:tblCellMar>
      </w:tblPr>
      <w:tblGrid>
        <w:gridCol w:w="1470"/>
        <w:gridCol w:w="924"/>
        <w:gridCol w:w="1560"/>
        <w:gridCol w:w="1875"/>
        <w:gridCol w:w="2466"/>
      </w:tblGrid>
      <w:tr>
        <w:tblPrEx>
          <w:tblCellMar>
            <w:top w:w="0" w:type="dxa"/>
            <w:left w:w="0" w:type="dxa"/>
            <w:bottom w:w="0" w:type="dxa"/>
            <w:right w:w="0" w:type="dxa"/>
          </w:tblCellMar>
        </w:tblPrEx>
        <w:trPr>
          <w:trHeight w:val="464" w:hRule="atLeast"/>
        </w:trPr>
        <w:tc>
          <w:tcPr>
            <w:tcW w:w="1470"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支出项目</w:t>
            </w:r>
          </w:p>
        </w:tc>
        <w:tc>
          <w:tcPr>
            <w:tcW w:w="92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结余</w:t>
            </w:r>
            <w:r>
              <w:rPr>
                <w:rFonts w:ascii="宋体" w:hAnsi="宋体" w:cs="宋体"/>
                <w:color w:val="010101"/>
                <w:sz w:val="32"/>
                <w:szCs w:val="32"/>
              </w:rPr>
              <w:t>/</w:t>
            </w:r>
            <w:r>
              <w:rPr>
                <w:rFonts w:hint="eastAsia" w:ascii="宋体" w:hAnsi="宋体" w:cs="宋体"/>
                <w:color w:val="010101"/>
                <w:sz w:val="32"/>
                <w:szCs w:val="32"/>
              </w:rPr>
              <w:t>超支金额</w:t>
            </w:r>
          </w:p>
        </w:tc>
        <w:tc>
          <w:tcPr>
            <w:tcW w:w="2466"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结余</w:t>
            </w:r>
            <w:r>
              <w:rPr>
                <w:rFonts w:ascii="宋体" w:hAnsi="宋体" w:cs="宋体"/>
                <w:color w:val="010101"/>
                <w:sz w:val="32"/>
                <w:szCs w:val="32"/>
              </w:rPr>
              <w:t>/</w:t>
            </w:r>
            <w:r>
              <w:rPr>
                <w:rFonts w:hint="eastAsia" w:ascii="宋体" w:hAnsi="宋体" w:cs="宋体"/>
                <w:color w:val="010101"/>
                <w:sz w:val="32"/>
                <w:szCs w:val="32"/>
              </w:rPr>
              <w:t>超支率</w:t>
            </w: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离休费</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3.9</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3.9</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退休费</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27.02</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27.02</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退职（役）费</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抚恤金</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3.52</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3.52</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生活补助</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11.1</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-11.1</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救济费</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11.12</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11.12</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医疗费补助</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助学金</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奖励金</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个人农业生产补贴</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13" w:hRule="atLeast"/>
        </w:trPr>
        <w:tc>
          <w:tcPr>
            <w:tcW w:w="14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其他对个人和家庭的补助支出</w:t>
            </w:r>
          </w:p>
        </w:tc>
        <w:tc>
          <w:tcPr>
            <w:tcW w:w="924"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3.79</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3.79</w:t>
            </w:r>
          </w:p>
        </w:tc>
        <w:tc>
          <w:tcPr>
            <w:tcW w:w="2466" w:type="dxa"/>
            <w:tcBorders>
              <w:top w:val="nil"/>
              <w:left w:val="nil"/>
              <w:bottom w:val="single" w:color="000000" w:sz="8" w:space="0"/>
              <w:right w:val="single" w:color="000000" w:sz="8" w:space="0"/>
            </w:tcBorders>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451" w:hRule="atLeast"/>
        </w:trPr>
        <w:tc>
          <w:tcPr>
            <w:tcW w:w="1470"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合计</w:t>
            </w:r>
          </w:p>
        </w:tc>
        <w:tc>
          <w:tcPr>
            <w:tcW w:w="92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11.1</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49.34</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38.25</w:t>
            </w:r>
          </w:p>
        </w:tc>
        <w:tc>
          <w:tcPr>
            <w:tcW w:w="2466"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344.59%</w:t>
            </w:r>
          </w:p>
        </w:tc>
      </w:tr>
    </w:tbl>
    <w:p>
      <w:pPr>
        <w:spacing w:line="600" w:lineRule="exact"/>
        <w:ind w:firstLine="640" w:firstLineChars="200"/>
        <w:rPr>
          <w:rFonts w:ascii="宋体"/>
          <w:sz w:val="32"/>
          <w:szCs w:val="32"/>
        </w:rPr>
      </w:pPr>
      <w:r>
        <w:rPr>
          <w:rFonts w:hint="eastAsia" w:ascii="宋体" w:hAnsi="宋体"/>
          <w:sz w:val="32"/>
          <w:szCs w:val="32"/>
        </w:rPr>
        <w:t>对个人和家庭的补助超支的主要原因是离休费、退休费、抚恤金等未纳入年初预算。</w:t>
      </w:r>
    </w:p>
    <w:p>
      <w:pPr>
        <w:spacing w:line="600" w:lineRule="exact"/>
        <w:ind w:left="480" w:hanging="480"/>
        <w:rPr>
          <w:rFonts w:ascii="宋体"/>
          <w:sz w:val="32"/>
          <w:szCs w:val="32"/>
        </w:rPr>
      </w:pPr>
      <w:r>
        <w:rPr>
          <w:rFonts w:hint="eastAsia" w:ascii="宋体" w:hAnsi="宋体"/>
          <w:sz w:val="32"/>
          <w:szCs w:val="32"/>
        </w:rPr>
        <w:t>（二）“三公经费”支出使用和管理</w:t>
      </w:r>
    </w:p>
    <w:p>
      <w:pPr>
        <w:spacing w:line="600" w:lineRule="exact"/>
        <w:ind w:left="480" w:hanging="480"/>
        <w:rPr>
          <w:rFonts w:ascii="宋体"/>
          <w:sz w:val="32"/>
          <w:szCs w:val="32"/>
        </w:rPr>
      </w:pPr>
      <w:bookmarkStart w:id="1" w:name="_Toc419142213"/>
      <w:r>
        <w:rPr>
          <w:rFonts w:ascii="宋体" w:hAnsi="宋体"/>
          <w:sz w:val="32"/>
          <w:szCs w:val="32"/>
        </w:rPr>
        <w:t>1</w:t>
      </w:r>
      <w:bookmarkEnd w:id="1"/>
      <w:r>
        <w:rPr>
          <w:rFonts w:hint="eastAsia" w:ascii="宋体" w:hAnsi="宋体"/>
          <w:sz w:val="32"/>
          <w:szCs w:val="32"/>
        </w:rPr>
        <w:t>、“三公经费”预算执行</w:t>
      </w:r>
    </w:p>
    <w:tbl>
      <w:tblPr>
        <w:tblStyle w:val="10"/>
        <w:tblW w:w="8436" w:type="dxa"/>
        <w:jc w:val="center"/>
        <w:tblLayout w:type="fixed"/>
        <w:tblCellMar>
          <w:top w:w="0" w:type="dxa"/>
          <w:left w:w="0" w:type="dxa"/>
          <w:bottom w:w="0" w:type="dxa"/>
          <w:right w:w="0" w:type="dxa"/>
        </w:tblCellMar>
      </w:tblPr>
      <w:tblGrid>
        <w:gridCol w:w="1632"/>
        <w:gridCol w:w="1065"/>
        <w:gridCol w:w="1125"/>
        <w:gridCol w:w="1005"/>
        <w:gridCol w:w="1170"/>
        <w:gridCol w:w="1149"/>
        <w:gridCol w:w="1290"/>
      </w:tblGrid>
      <w:tr>
        <w:tblPrEx>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结余</w:t>
            </w:r>
            <w:r>
              <w:rPr>
                <w:rFonts w:ascii="宋体" w:hAnsi="宋体" w:cs="宋体"/>
                <w:color w:val="010101"/>
                <w:sz w:val="32"/>
                <w:szCs w:val="32"/>
              </w:rPr>
              <w:t>/</w:t>
            </w:r>
            <w:r>
              <w:rPr>
                <w:rFonts w:hint="eastAsia" w:ascii="宋体" w:hAnsi="宋体" w:cs="宋体"/>
                <w:color w:val="010101"/>
                <w:sz w:val="32"/>
                <w:szCs w:val="32"/>
              </w:rPr>
              <w:t>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公务接待费</w:t>
            </w:r>
          </w:p>
        </w:tc>
        <w:tc>
          <w:tcPr>
            <w:tcW w:w="106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w:t>
            </w:r>
          </w:p>
        </w:tc>
        <w:tc>
          <w:tcPr>
            <w:tcW w:w="112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0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2.55</w:t>
            </w:r>
          </w:p>
        </w:tc>
        <w:tc>
          <w:tcPr>
            <w:tcW w:w="1170"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49"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0.55</w:t>
            </w:r>
          </w:p>
        </w:tc>
        <w:tc>
          <w:tcPr>
            <w:tcW w:w="1290"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公车运行维护费</w:t>
            </w:r>
          </w:p>
        </w:tc>
        <w:tc>
          <w:tcPr>
            <w:tcW w:w="106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2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0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70"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49"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290"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公务车购置费</w:t>
            </w:r>
          </w:p>
        </w:tc>
        <w:tc>
          <w:tcPr>
            <w:tcW w:w="106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2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0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70"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49"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290"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因公出国费用</w:t>
            </w:r>
          </w:p>
        </w:tc>
        <w:tc>
          <w:tcPr>
            <w:tcW w:w="106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2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05"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70"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49"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290" w:type="dxa"/>
            <w:tcBorders>
              <w:top w:val="nil"/>
              <w:left w:val="nil"/>
              <w:bottom w:val="single" w:color="000000" w:sz="8" w:space="0"/>
              <w:right w:val="single" w:color="000000" w:sz="8" w:space="0"/>
            </w:tcBorders>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w:t>
            </w:r>
          </w:p>
        </w:tc>
        <w:tc>
          <w:tcPr>
            <w:tcW w:w="1125" w:type="dxa"/>
            <w:tcBorders>
              <w:top w:val="nil"/>
              <w:left w:val="nil"/>
              <w:bottom w:val="single" w:color="000000" w:sz="8" w:space="0"/>
              <w:right w:val="single" w:color="000000" w:sz="8" w:space="0"/>
            </w:tcBorders>
            <w:shd w:val="clear" w:color="auto" w:fill="D9D9D9"/>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05" w:type="dxa"/>
            <w:tcBorders>
              <w:top w:val="nil"/>
              <w:left w:val="nil"/>
              <w:bottom w:val="single" w:color="000000" w:sz="8" w:space="0"/>
              <w:right w:val="single" w:color="000000" w:sz="8" w:space="0"/>
            </w:tcBorders>
            <w:shd w:val="clear" w:color="auto" w:fill="D9D9D9"/>
            <w:tcMar>
              <w:left w:w="15" w:type="dxa"/>
              <w:right w:w="15" w:type="dxa"/>
            </w:tcMa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2.55</w:t>
            </w:r>
          </w:p>
        </w:tc>
        <w:tc>
          <w:tcPr>
            <w:tcW w:w="1170" w:type="dxa"/>
            <w:tcBorders>
              <w:top w:val="nil"/>
              <w:left w:val="nil"/>
              <w:bottom w:val="single" w:color="000000" w:sz="8" w:space="0"/>
              <w:right w:val="single" w:color="000000" w:sz="8" w:space="0"/>
            </w:tcBorders>
            <w:shd w:val="clear" w:color="auto" w:fill="D9D9D9"/>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149" w:type="dxa"/>
            <w:tcBorders>
              <w:top w:val="nil"/>
              <w:left w:val="nil"/>
              <w:bottom w:val="single" w:color="000000" w:sz="8" w:space="0"/>
              <w:right w:val="single" w:color="000000" w:sz="8" w:space="0"/>
            </w:tcBorders>
            <w:shd w:val="clear" w:color="auto" w:fill="D9D9D9"/>
            <w:tcMar>
              <w:left w:w="15" w:type="dxa"/>
              <w:right w:w="15" w:type="dxa"/>
            </w:tcMa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0.55</w:t>
            </w:r>
          </w:p>
        </w:tc>
        <w:tc>
          <w:tcPr>
            <w:tcW w:w="1290" w:type="dxa"/>
            <w:tcBorders>
              <w:top w:val="nil"/>
              <w:left w:val="nil"/>
              <w:bottom w:val="single" w:color="000000" w:sz="8" w:space="0"/>
              <w:right w:val="single" w:color="000000" w:sz="8" w:space="0"/>
            </w:tcBorders>
            <w:shd w:val="clear" w:color="auto" w:fill="D9D9D9"/>
            <w:tcMar>
              <w:left w:w="15" w:type="dxa"/>
              <w:right w:w="15" w:type="dxa"/>
            </w:tcMa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bl>
    <w:p>
      <w:pPr>
        <w:spacing w:line="600" w:lineRule="exact"/>
        <w:rPr>
          <w:rFonts w:ascii="宋体"/>
          <w:sz w:val="32"/>
          <w:szCs w:val="32"/>
        </w:rPr>
      </w:pPr>
      <w:r>
        <w:rPr>
          <w:rFonts w:ascii="宋体" w:hAnsi="宋体"/>
          <w:sz w:val="32"/>
          <w:szCs w:val="32"/>
        </w:rPr>
        <w:t xml:space="preserve">    </w:t>
      </w:r>
      <w:r>
        <w:rPr>
          <w:rFonts w:hint="eastAsia" w:ascii="宋体" w:hAnsi="宋体"/>
          <w:sz w:val="32"/>
          <w:szCs w:val="32"/>
        </w:rPr>
        <w:t>决算金额与预算金额基本持平，按照上级要求，继续严控“三公经费”支出。</w:t>
      </w:r>
    </w:p>
    <w:p>
      <w:pPr>
        <w:spacing w:line="600" w:lineRule="exact"/>
        <w:ind w:left="480" w:hanging="480"/>
        <w:rPr>
          <w:rFonts w:ascii="宋体"/>
          <w:sz w:val="32"/>
          <w:szCs w:val="32"/>
        </w:rPr>
      </w:pPr>
      <w:r>
        <w:rPr>
          <w:rFonts w:ascii="宋体" w:hAnsi="宋体"/>
          <w:sz w:val="32"/>
          <w:szCs w:val="32"/>
        </w:rPr>
        <w:t>2</w:t>
      </w:r>
      <w:r>
        <w:rPr>
          <w:rFonts w:hint="eastAsia" w:ascii="宋体" w:hAnsi="宋体"/>
          <w:sz w:val="32"/>
          <w:szCs w:val="32"/>
        </w:rPr>
        <w:t>、“三公经费”与上年度比较</w:t>
      </w:r>
    </w:p>
    <w:tbl>
      <w:tblPr>
        <w:tblStyle w:val="10"/>
        <w:tblW w:w="0" w:type="auto"/>
        <w:jc w:val="center"/>
        <w:tblLayout w:type="fixed"/>
        <w:tblCellMar>
          <w:top w:w="0" w:type="dxa"/>
          <w:left w:w="0" w:type="dxa"/>
          <w:bottom w:w="0" w:type="dxa"/>
          <w:right w:w="0" w:type="dxa"/>
        </w:tblCellMar>
      </w:tblPr>
      <w:tblGrid>
        <w:gridCol w:w="1795"/>
        <w:gridCol w:w="1179"/>
        <w:gridCol w:w="1255"/>
        <w:gridCol w:w="1249"/>
        <w:gridCol w:w="2477"/>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增减率</w:t>
            </w:r>
            <w:r>
              <w:rPr>
                <w:rFonts w:ascii="宋体" w:hAnsi="宋体" w:cs="宋体"/>
                <w:color w:val="010101"/>
                <w:sz w:val="32"/>
                <w:szCs w:val="32"/>
              </w:rPr>
              <w:t>%</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公务接待费</w:t>
            </w:r>
          </w:p>
        </w:tc>
        <w:tc>
          <w:tcPr>
            <w:tcW w:w="1179"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2.55</w:t>
            </w:r>
          </w:p>
        </w:tc>
        <w:tc>
          <w:tcPr>
            <w:tcW w:w="1255"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2.19</w:t>
            </w:r>
          </w:p>
        </w:tc>
        <w:tc>
          <w:tcPr>
            <w:tcW w:w="1249"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0.36</w:t>
            </w:r>
          </w:p>
        </w:tc>
        <w:tc>
          <w:tcPr>
            <w:tcW w:w="2477"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16.44%</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公车运行维护费</w:t>
            </w:r>
          </w:p>
        </w:tc>
        <w:tc>
          <w:tcPr>
            <w:tcW w:w="1179"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公务车辆购置费</w:t>
            </w:r>
          </w:p>
        </w:tc>
        <w:tc>
          <w:tcPr>
            <w:tcW w:w="1179"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因公出国</w:t>
            </w:r>
            <w:r>
              <w:rPr>
                <w:rFonts w:ascii="宋体" w:hAnsi="宋体" w:cs="宋体"/>
                <w:color w:val="010101"/>
                <w:sz w:val="32"/>
                <w:szCs w:val="32"/>
              </w:rPr>
              <w:t>(</w:t>
            </w:r>
            <w:r>
              <w:rPr>
                <w:rFonts w:hint="eastAsia" w:ascii="宋体" w:hAnsi="宋体" w:cs="宋体"/>
                <w:color w:val="010101"/>
                <w:sz w:val="32"/>
                <w:szCs w:val="32"/>
              </w:rPr>
              <w:t>境</w:t>
            </w:r>
            <w:r>
              <w:rPr>
                <w:rFonts w:ascii="宋体" w:hAnsi="宋体" w:cs="宋体"/>
                <w:color w:val="010101"/>
                <w:sz w:val="32"/>
                <w:szCs w:val="32"/>
              </w:rPr>
              <w:t>)</w:t>
            </w:r>
            <w:r>
              <w:rPr>
                <w:rFonts w:hint="eastAsia" w:ascii="宋体" w:hAnsi="宋体" w:cs="宋体"/>
                <w:color w:val="010101"/>
                <w:sz w:val="32"/>
                <w:szCs w:val="32"/>
              </w:rPr>
              <w:t>费用</w:t>
            </w:r>
          </w:p>
        </w:tc>
        <w:tc>
          <w:tcPr>
            <w:tcW w:w="1179"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spacing w:line="600" w:lineRule="exact"/>
              <w:ind w:left="480" w:hanging="480"/>
              <w:jc w:val="center"/>
              <w:rPr>
                <w:rFonts w:ascii="宋体" w:cs="宋体"/>
                <w:color w:val="010101"/>
                <w:sz w:val="32"/>
                <w:szCs w:val="32"/>
              </w:rPr>
            </w:pPr>
          </w:p>
        </w:tc>
      </w:tr>
      <w:tr>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2.55</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2.19</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0.36</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16.44%</w:t>
            </w:r>
          </w:p>
        </w:tc>
      </w:tr>
    </w:tbl>
    <w:p>
      <w:pPr>
        <w:spacing w:line="600" w:lineRule="exact"/>
        <w:ind w:left="480" w:hanging="480"/>
        <w:rPr>
          <w:rFonts w:ascii="宋体"/>
          <w:sz w:val="32"/>
          <w:szCs w:val="32"/>
        </w:rPr>
      </w:pPr>
      <w:r>
        <w:rPr>
          <w:rFonts w:hint="eastAsia" w:ascii="宋体" w:hAnsi="宋体"/>
          <w:sz w:val="32"/>
          <w:szCs w:val="32"/>
        </w:rPr>
        <w:t>（三）专项支出管理</w:t>
      </w:r>
    </w:p>
    <w:p>
      <w:pPr>
        <w:spacing w:line="500" w:lineRule="exact"/>
        <w:ind w:left="480" w:hanging="480"/>
        <w:rPr>
          <w:rFonts w:ascii="宋体"/>
          <w:sz w:val="32"/>
          <w:szCs w:val="32"/>
        </w:rPr>
      </w:pPr>
      <w:r>
        <w:rPr>
          <w:rFonts w:ascii="宋体" w:hAnsi="宋体"/>
          <w:sz w:val="32"/>
          <w:szCs w:val="32"/>
        </w:rPr>
        <w:t>1</w:t>
      </w:r>
      <w:r>
        <w:rPr>
          <w:rFonts w:hint="eastAsia" w:ascii="宋体" w:hAnsi="宋体"/>
          <w:sz w:val="32"/>
          <w:szCs w:val="32"/>
        </w:rPr>
        <w:t>、专项资金基本情况及绩效目标</w:t>
      </w:r>
    </w:p>
    <w:p>
      <w:pPr>
        <w:shd w:val="clear" w:color="auto" w:fill="FFFFFF"/>
        <w:spacing w:line="600" w:lineRule="exact"/>
        <w:ind w:left="10" w:firstLine="771" w:firstLineChars="241"/>
        <w:rPr>
          <w:rFonts w:ascii="宋体" w:cs="宋体"/>
          <w:sz w:val="32"/>
          <w:szCs w:val="32"/>
        </w:rPr>
      </w:pPr>
      <w:r>
        <w:rPr>
          <w:rFonts w:ascii="宋体" w:hAnsi="宋体"/>
          <w:sz w:val="32"/>
          <w:szCs w:val="32"/>
        </w:rPr>
        <w:t>2020</w:t>
      </w:r>
      <w:r>
        <w:rPr>
          <w:rFonts w:hint="eastAsia" w:ascii="宋体" w:hAnsi="宋体"/>
          <w:sz w:val="32"/>
          <w:szCs w:val="32"/>
        </w:rPr>
        <w:t>年专项资金预算</w:t>
      </w:r>
      <w:r>
        <w:rPr>
          <w:rFonts w:ascii="宋体" w:hAnsi="宋体"/>
          <w:sz w:val="32"/>
          <w:szCs w:val="32"/>
        </w:rPr>
        <w:t>472</w:t>
      </w:r>
      <w:r>
        <w:rPr>
          <w:rFonts w:hint="eastAsia" w:ascii="宋体" w:hAnsi="宋体"/>
          <w:sz w:val="32"/>
          <w:szCs w:val="32"/>
        </w:rPr>
        <w:t>万元。一是全年没有调整、追加预算，上年没有结转项目资金。二是专项资金主要用于工业经济运行、科学技术发展和信息化等工作。三是专项资金绩效体现在</w:t>
      </w:r>
      <w:r>
        <w:rPr>
          <w:rFonts w:hint="eastAsia" w:ascii="宋体" w:hAnsi="宋体" w:cs="宋体"/>
          <w:color w:val="000000"/>
          <w:sz w:val="32"/>
          <w:szCs w:val="32"/>
        </w:rPr>
        <w:t>有力促进新邵工业经济和科学技术发展，改善安全生产环境，提升整体城镇工业发展水平。</w:t>
      </w:r>
    </w:p>
    <w:p>
      <w:pPr>
        <w:spacing w:line="600" w:lineRule="exact"/>
        <w:ind w:left="480" w:hanging="480"/>
        <w:rPr>
          <w:rFonts w:ascii="宋体"/>
          <w:sz w:val="32"/>
          <w:szCs w:val="32"/>
        </w:rPr>
      </w:pPr>
      <w:r>
        <w:rPr>
          <w:rFonts w:ascii="宋体" w:hAnsi="宋体"/>
          <w:sz w:val="32"/>
          <w:szCs w:val="32"/>
        </w:rPr>
        <w:t>2</w:t>
      </w:r>
      <w:r>
        <w:rPr>
          <w:rFonts w:hint="eastAsia" w:ascii="宋体" w:hAnsi="宋体"/>
          <w:sz w:val="32"/>
          <w:szCs w:val="32"/>
        </w:rPr>
        <w:t>、专项资金预算执行</w:t>
      </w:r>
    </w:p>
    <w:tbl>
      <w:tblPr>
        <w:tblStyle w:val="10"/>
        <w:tblW w:w="9176" w:type="dxa"/>
        <w:tblInd w:w="6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20"/>
        <w:gridCol w:w="990"/>
        <w:gridCol w:w="886"/>
        <w:gridCol w:w="914"/>
        <w:gridCol w:w="705"/>
        <w:gridCol w:w="1050"/>
        <w:gridCol w:w="1335"/>
        <w:gridCol w:w="10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220" w:type="dxa"/>
            <w:vMerge w:val="restart"/>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hint="eastAsia" w:ascii="宋体" w:hAnsi="宋体" w:cs="宋体"/>
                <w:color w:val="010101"/>
                <w:sz w:val="32"/>
                <w:szCs w:val="32"/>
              </w:rPr>
              <w:t>专项子目名称</w:t>
            </w:r>
          </w:p>
        </w:tc>
        <w:tc>
          <w:tcPr>
            <w:tcW w:w="3495" w:type="dxa"/>
            <w:gridSpan w:val="4"/>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本年预算可用指标</w:t>
            </w:r>
          </w:p>
        </w:tc>
        <w:tc>
          <w:tcPr>
            <w:tcW w:w="1050" w:type="dxa"/>
            <w:vMerge w:val="restart"/>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本年实际支出</w:t>
            </w:r>
          </w:p>
        </w:tc>
        <w:tc>
          <w:tcPr>
            <w:tcW w:w="1335" w:type="dxa"/>
            <w:vMerge w:val="restart"/>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本年</w:t>
            </w:r>
          </w:p>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结余</w:t>
            </w:r>
          </w:p>
        </w:tc>
        <w:tc>
          <w:tcPr>
            <w:tcW w:w="1076" w:type="dxa"/>
            <w:vMerge w:val="restart"/>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投入</w:t>
            </w:r>
          </w:p>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进度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4" w:hRule="atLeast"/>
        </w:trPr>
        <w:tc>
          <w:tcPr>
            <w:tcW w:w="2220" w:type="dxa"/>
            <w:vMerge w:val="continue"/>
            <w:vAlign w:val="center"/>
          </w:tcPr>
          <w:p>
            <w:pPr>
              <w:spacing w:line="600" w:lineRule="exact"/>
              <w:ind w:left="480" w:hanging="480"/>
              <w:rPr>
                <w:rFonts w:ascii="宋体" w:cs="宋体"/>
                <w:color w:val="010101"/>
                <w:sz w:val="32"/>
                <w:szCs w:val="32"/>
              </w:rPr>
            </w:pPr>
          </w:p>
        </w:tc>
        <w:tc>
          <w:tcPr>
            <w:tcW w:w="990" w:type="dxa"/>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上年</w:t>
            </w:r>
          </w:p>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结余</w:t>
            </w:r>
          </w:p>
        </w:tc>
        <w:tc>
          <w:tcPr>
            <w:tcW w:w="886" w:type="dxa"/>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年初</w:t>
            </w:r>
          </w:p>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预算</w:t>
            </w:r>
          </w:p>
        </w:tc>
        <w:tc>
          <w:tcPr>
            <w:tcW w:w="914" w:type="dxa"/>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本年</w:t>
            </w:r>
          </w:p>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追加</w:t>
            </w:r>
          </w:p>
        </w:tc>
        <w:tc>
          <w:tcPr>
            <w:tcW w:w="705" w:type="dxa"/>
            <w:vAlign w:val="center"/>
          </w:tcPr>
          <w:p>
            <w:pPr>
              <w:spacing w:line="600" w:lineRule="exact"/>
              <w:ind w:left="480" w:hanging="480"/>
              <w:jc w:val="center"/>
              <w:rPr>
                <w:rFonts w:ascii="宋体" w:cs="宋体"/>
                <w:color w:val="010101"/>
                <w:sz w:val="32"/>
                <w:szCs w:val="32"/>
              </w:rPr>
            </w:pPr>
            <w:r>
              <w:rPr>
                <w:rFonts w:hint="eastAsia" w:ascii="宋体" w:hAnsi="宋体" w:cs="宋体"/>
                <w:color w:val="010101"/>
                <w:sz w:val="32"/>
                <w:szCs w:val="32"/>
              </w:rPr>
              <w:t>合计</w:t>
            </w:r>
          </w:p>
        </w:tc>
        <w:tc>
          <w:tcPr>
            <w:tcW w:w="1050" w:type="dxa"/>
            <w:vMerge w:val="continue"/>
            <w:vAlign w:val="center"/>
          </w:tcPr>
          <w:p>
            <w:pPr>
              <w:spacing w:line="600" w:lineRule="exact"/>
              <w:ind w:left="480" w:hanging="480"/>
              <w:jc w:val="center"/>
              <w:rPr>
                <w:rFonts w:ascii="宋体" w:cs="宋体"/>
                <w:color w:val="010101"/>
                <w:sz w:val="32"/>
                <w:szCs w:val="32"/>
              </w:rPr>
            </w:pPr>
          </w:p>
        </w:tc>
        <w:tc>
          <w:tcPr>
            <w:tcW w:w="1335" w:type="dxa"/>
            <w:vMerge w:val="continue"/>
            <w:tcMar>
              <w:top w:w="0" w:type="dxa"/>
              <w:left w:w="0" w:type="dxa"/>
              <w:bottom w:w="0" w:type="dxa"/>
              <w:right w:w="0" w:type="dxa"/>
            </w:tcMar>
            <w:vAlign w:val="center"/>
          </w:tcPr>
          <w:p>
            <w:pPr>
              <w:spacing w:line="600" w:lineRule="exact"/>
              <w:ind w:left="480" w:hanging="480"/>
              <w:jc w:val="center"/>
              <w:rPr>
                <w:rFonts w:ascii="宋体" w:cs="宋体"/>
                <w:color w:val="010101"/>
                <w:sz w:val="32"/>
                <w:szCs w:val="32"/>
              </w:rPr>
            </w:pPr>
          </w:p>
        </w:tc>
        <w:tc>
          <w:tcPr>
            <w:tcW w:w="1076" w:type="dxa"/>
            <w:vMerge w:val="continue"/>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trPr>
        <w:tc>
          <w:tcPr>
            <w:tcW w:w="2220" w:type="dxa"/>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hint="eastAsia" w:ascii="宋体" w:hAnsi="宋体" w:cs="宋体"/>
                <w:sz w:val="32"/>
                <w:szCs w:val="32"/>
              </w:rPr>
              <w:t>电力执法工作经费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trPr>
        <w:tc>
          <w:tcPr>
            <w:tcW w:w="2220" w:type="dxa"/>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hint="eastAsia" w:ascii="宋体" w:hAnsi="宋体" w:cs="宋体"/>
                <w:sz w:val="32"/>
                <w:szCs w:val="32"/>
              </w:rPr>
              <w:t>工业发展“四一五”工程</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trPr>
        <w:tc>
          <w:tcPr>
            <w:tcW w:w="2220" w:type="dxa"/>
            <w:tcMar>
              <w:top w:w="15" w:type="dxa"/>
              <w:left w:w="15" w:type="dxa"/>
              <w:bottom w:w="15" w:type="dxa"/>
              <w:right w:w="15" w:type="dxa"/>
            </w:tcMar>
            <w:vAlign w:val="center"/>
          </w:tcPr>
          <w:p>
            <w:pPr>
              <w:tabs>
                <w:tab w:val="left" w:pos="630"/>
              </w:tabs>
              <w:spacing w:line="600" w:lineRule="exact"/>
              <w:rPr>
                <w:rFonts w:ascii="宋体" w:cs="宋体"/>
                <w:color w:val="010101"/>
                <w:sz w:val="32"/>
                <w:szCs w:val="32"/>
              </w:rPr>
            </w:pPr>
            <w:r>
              <w:rPr>
                <w:rFonts w:hint="eastAsia" w:ascii="宋体" w:hAnsi="宋体" w:cs="宋体"/>
                <w:sz w:val="32"/>
                <w:szCs w:val="32"/>
              </w:rPr>
              <w:t>新型工业化引导资金</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168</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168</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168</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trPr>
        <w:tc>
          <w:tcPr>
            <w:tcW w:w="2220" w:type="dxa"/>
            <w:tcMar>
              <w:top w:w="15" w:type="dxa"/>
              <w:left w:w="15" w:type="dxa"/>
              <w:bottom w:w="15" w:type="dxa"/>
              <w:right w:w="15" w:type="dxa"/>
            </w:tcMar>
            <w:vAlign w:val="center"/>
          </w:tcPr>
          <w:p>
            <w:pPr>
              <w:spacing w:line="600" w:lineRule="exact"/>
              <w:rPr>
                <w:rFonts w:ascii="宋体" w:cs="宋体"/>
                <w:color w:val="010101"/>
                <w:sz w:val="32"/>
                <w:szCs w:val="32"/>
              </w:rPr>
            </w:pPr>
            <w:r>
              <w:rPr>
                <w:rFonts w:hint="eastAsia" w:ascii="宋体" w:hAnsi="宋体" w:cs="宋体"/>
                <w:sz w:val="32"/>
                <w:szCs w:val="32"/>
              </w:rPr>
              <w:t>重点工程领域诚信体系建设和信息公开</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hint="eastAsia" w:ascii="宋体" w:hAnsi="宋体" w:cs="宋体"/>
                <w:sz w:val="32"/>
                <w:szCs w:val="32"/>
              </w:rPr>
              <w:t>推新专项经费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rPr>
                <w:rFonts w:ascii="宋体" w:cs="宋体"/>
                <w:color w:val="010101"/>
                <w:sz w:val="32"/>
                <w:szCs w:val="32"/>
              </w:rPr>
            </w:pPr>
            <w:r>
              <w:rPr>
                <w:rFonts w:hint="eastAsia" w:ascii="宋体" w:hAnsi="宋体" w:cs="宋体"/>
                <w:sz w:val="32"/>
                <w:szCs w:val="32"/>
              </w:rPr>
              <w:t>新型墙体改革材料、散装水泥工作经费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rPr>
                <w:rFonts w:ascii="宋体" w:cs="宋体"/>
                <w:color w:val="010101"/>
                <w:sz w:val="32"/>
                <w:szCs w:val="32"/>
              </w:rPr>
            </w:pPr>
            <w:r>
              <w:rPr>
                <w:rFonts w:hint="eastAsia" w:ascii="宋体" w:hAnsi="宋体" w:cs="宋体"/>
                <w:sz w:val="32"/>
                <w:szCs w:val="32"/>
              </w:rPr>
              <w:t>新增规模企业工作经费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rPr>
                <w:rFonts w:ascii="宋体" w:cs="宋体"/>
                <w:color w:val="010101"/>
                <w:sz w:val="32"/>
                <w:szCs w:val="32"/>
              </w:rPr>
            </w:pPr>
            <w:r>
              <w:rPr>
                <w:rFonts w:hint="eastAsia" w:ascii="宋体" w:hAnsi="宋体" w:cs="宋体"/>
                <w:sz w:val="32"/>
                <w:szCs w:val="32"/>
              </w:rPr>
              <w:t>信息化平台建设</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rPr>
                <w:rFonts w:ascii="宋体" w:cs="宋体"/>
                <w:color w:val="010101"/>
                <w:sz w:val="32"/>
                <w:szCs w:val="32"/>
              </w:rPr>
            </w:pPr>
            <w:r>
              <w:rPr>
                <w:rFonts w:hint="eastAsia" w:ascii="宋体" w:hAnsi="宋体" w:cs="宋体"/>
                <w:sz w:val="32"/>
                <w:szCs w:val="32"/>
              </w:rPr>
              <w:t>新办公楼租赁费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hint="eastAsia" w:ascii="宋体" w:hAnsi="宋体" w:cs="宋体"/>
                <w:sz w:val="32"/>
                <w:szCs w:val="32"/>
              </w:rPr>
              <w:t>招商工作经费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hint="eastAsia" w:ascii="宋体" w:hAnsi="宋体" w:cs="宋体"/>
                <w:sz w:val="32"/>
                <w:szCs w:val="32"/>
              </w:rPr>
              <w:t>安全生产专项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rPr>
                <w:rFonts w:ascii="宋体" w:cs="宋体"/>
                <w:color w:val="010101"/>
                <w:sz w:val="32"/>
                <w:szCs w:val="32"/>
              </w:rPr>
            </w:pPr>
            <w:r>
              <w:rPr>
                <w:rFonts w:hint="eastAsia" w:ascii="宋体" w:hAnsi="宋体" w:cs="宋体"/>
                <w:sz w:val="32"/>
                <w:szCs w:val="32"/>
              </w:rPr>
              <w:t>科技成果转移转化工作经费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16</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rPr>
                <w:rFonts w:ascii="宋体" w:cs="宋体"/>
                <w:color w:val="010101"/>
                <w:sz w:val="32"/>
                <w:szCs w:val="32"/>
              </w:rPr>
            </w:pPr>
            <w:r>
              <w:rPr>
                <w:rFonts w:hint="eastAsia" w:ascii="宋体" w:hAnsi="宋体" w:cs="宋体"/>
                <w:sz w:val="32"/>
                <w:szCs w:val="32"/>
              </w:rPr>
              <w:t>节能减排专项经费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hint="eastAsia" w:ascii="宋体" w:hAnsi="宋体" w:cs="宋体"/>
                <w:sz w:val="32"/>
                <w:szCs w:val="32"/>
              </w:rPr>
              <w:t>科技专项经费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152</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152</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152</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ascii="宋体" w:hAnsi="宋体" w:cs="宋体"/>
                <w:sz w:val="32"/>
                <w:szCs w:val="32"/>
              </w:rPr>
              <w:t>12396</w:t>
            </w:r>
            <w:r>
              <w:rPr>
                <w:rFonts w:hint="eastAsia" w:ascii="宋体" w:hAnsi="宋体" w:cs="宋体"/>
                <w:sz w:val="32"/>
                <w:szCs w:val="32"/>
              </w:rPr>
              <w:t>专项经费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8</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hint="eastAsia" w:ascii="宋体" w:hAnsi="宋体" w:cs="宋体"/>
                <w:sz w:val="32"/>
                <w:szCs w:val="32"/>
              </w:rPr>
              <w:t>科普宣传</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7</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rPr>
                <w:rFonts w:ascii="宋体" w:cs="宋体"/>
                <w:color w:val="010101"/>
                <w:sz w:val="32"/>
                <w:szCs w:val="32"/>
              </w:rPr>
            </w:pPr>
            <w:r>
              <w:rPr>
                <w:rFonts w:hint="eastAsia" w:ascii="宋体" w:hAnsi="宋体" w:cs="宋体"/>
                <w:sz w:val="32"/>
                <w:szCs w:val="32"/>
              </w:rPr>
              <w:t>科普培训工作经费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9</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9</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9</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rPr>
                <w:rFonts w:ascii="宋体" w:cs="宋体"/>
                <w:color w:val="010101"/>
                <w:sz w:val="32"/>
                <w:szCs w:val="32"/>
              </w:rPr>
            </w:pPr>
            <w:r>
              <w:rPr>
                <w:rFonts w:hint="eastAsia" w:ascii="宋体" w:hAnsi="宋体" w:cs="宋体"/>
                <w:sz w:val="32"/>
                <w:szCs w:val="32"/>
              </w:rPr>
              <w:t>科技情报所工作经费</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12</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12</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12</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cs="宋体"/>
                <w:color w:val="010101"/>
                <w:sz w:val="32"/>
                <w:szCs w:val="32"/>
              </w:rPr>
              <w:t>0</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220" w:type="dxa"/>
            <w:tcMar>
              <w:top w:w="15" w:type="dxa"/>
              <w:left w:w="15" w:type="dxa"/>
              <w:bottom w:w="15" w:type="dxa"/>
              <w:right w:w="15" w:type="dxa"/>
            </w:tcMar>
            <w:vAlign w:val="center"/>
          </w:tcPr>
          <w:p>
            <w:pPr>
              <w:spacing w:line="600" w:lineRule="exact"/>
              <w:ind w:left="480" w:hanging="480"/>
              <w:rPr>
                <w:rFonts w:ascii="宋体" w:cs="宋体"/>
                <w:color w:val="010101"/>
                <w:sz w:val="32"/>
                <w:szCs w:val="32"/>
              </w:rPr>
            </w:pPr>
            <w:r>
              <w:rPr>
                <w:rFonts w:hint="eastAsia" w:ascii="宋体" w:hAnsi="宋体" w:cs="宋体"/>
                <w:color w:val="010101"/>
                <w:sz w:val="32"/>
                <w:szCs w:val="32"/>
              </w:rPr>
              <w:t>合计</w:t>
            </w:r>
          </w:p>
        </w:tc>
        <w:tc>
          <w:tcPr>
            <w:tcW w:w="99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88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472</w:t>
            </w:r>
          </w:p>
        </w:tc>
        <w:tc>
          <w:tcPr>
            <w:tcW w:w="914"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p>
        </w:tc>
        <w:tc>
          <w:tcPr>
            <w:tcW w:w="70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472</w:t>
            </w:r>
          </w:p>
        </w:tc>
        <w:tc>
          <w:tcPr>
            <w:tcW w:w="1050"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320</w:t>
            </w:r>
          </w:p>
        </w:tc>
        <w:tc>
          <w:tcPr>
            <w:tcW w:w="1335"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152</w:t>
            </w:r>
          </w:p>
        </w:tc>
        <w:tc>
          <w:tcPr>
            <w:tcW w:w="1076" w:type="dxa"/>
            <w:tcMar>
              <w:top w:w="15" w:type="dxa"/>
              <w:left w:w="15" w:type="dxa"/>
              <w:bottom w:w="15" w:type="dxa"/>
              <w:right w:w="15" w:type="dxa"/>
            </w:tcMar>
            <w:vAlign w:val="center"/>
          </w:tcPr>
          <w:p>
            <w:pPr>
              <w:spacing w:line="600" w:lineRule="exact"/>
              <w:ind w:left="480" w:hanging="480"/>
              <w:jc w:val="center"/>
              <w:rPr>
                <w:rFonts w:ascii="宋体" w:cs="宋体"/>
                <w:color w:val="010101"/>
                <w:sz w:val="32"/>
                <w:szCs w:val="32"/>
              </w:rPr>
            </w:pPr>
            <w:r>
              <w:rPr>
                <w:rFonts w:ascii="宋体" w:hAnsi="宋体" w:cs="宋体"/>
                <w:color w:val="010101"/>
                <w:sz w:val="32"/>
                <w:szCs w:val="32"/>
              </w:rPr>
              <w:t>67.8%</w:t>
            </w:r>
          </w:p>
        </w:tc>
      </w:tr>
    </w:tbl>
    <w:p>
      <w:pPr>
        <w:spacing w:line="600" w:lineRule="exact"/>
        <w:ind w:left="10" w:firstLine="777" w:firstLineChars="243"/>
        <w:rPr>
          <w:rFonts w:ascii="宋体"/>
          <w:sz w:val="32"/>
          <w:szCs w:val="32"/>
        </w:rPr>
      </w:pPr>
      <w:r>
        <w:rPr>
          <w:rFonts w:hint="eastAsia" w:ascii="宋体" w:hAnsi="宋体"/>
          <w:sz w:val="32"/>
          <w:szCs w:val="32"/>
        </w:rPr>
        <w:t>科技专项经费之所以有结余，是因为财政年底才予以拨付到单位，次年年初才能分配到各个企业。</w:t>
      </w:r>
    </w:p>
    <w:p>
      <w:pPr>
        <w:spacing w:line="600" w:lineRule="exact"/>
        <w:ind w:left="480" w:hanging="480"/>
        <w:rPr>
          <w:rFonts w:ascii="宋体"/>
          <w:sz w:val="32"/>
          <w:szCs w:val="32"/>
        </w:rPr>
      </w:pPr>
      <w:r>
        <w:rPr>
          <w:rFonts w:ascii="宋体" w:hAnsi="宋体"/>
          <w:sz w:val="32"/>
          <w:szCs w:val="32"/>
        </w:rPr>
        <w:t>3</w:t>
      </w:r>
      <w:r>
        <w:rPr>
          <w:rFonts w:hint="eastAsia" w:ascii="宋体" w:hAnsi="宋体"/>
          <w:sz w:val="32"/>
          <w:szCs w:val="32"/>
        </w:rPr>
        <w:t>、专项资金的管理</w:t>
      </w:r>
    </w:p>
    <w:p>
      <w:pPr>
        <w:spacing w:line="600" w:lineRule="exact"/>
        <w:ind w:firstLine="640" w:firstLineChars="200"/>
        <w:rPr>
          <w:rFonts w:ascii="宋体"/>
          <w:sz w:val="32"/>
          <w:szCs w:val="32"/>
        </w:rPr>
      </w:pPr>
      <w:r>
        <w:rPr>
          <w:rFonts w:hint="eastAsia" w:ascii="宋体" w:hAnsi="宋体"/>
          <w:sz w:val="32"/>
          <w:szCs w:val="32"/>
        </w:rPr>
        <w:t>专项工作经费的使用严格按照财经法规执行，按进度进行投入资金，专款专用，厉行节约，规范财务行为，提高资金使用效益。</w:t>
      </w:r>
    </w:p>
    <w:p>
      <w:pPr>
        <w:pStyle w:val="2"/>
        <w:widowControl/>
        <w:spacing w:before="0" w:beforeAutospacing="0" w:after="0" w:afterAutospacing="0" w:line="600" w:lineRule="exact"/>
        <w:ind w:firstLine="640" w:firstLineChars="200"/>
        <w:jc w:val="both"/>
        <w:rPr>
          <w:rFonts w:cs="黑体"/>
          <w:b w:val="0"/>
          <w:color w:val="C00000"/>
          <w:sz w:val="32"/>
          <w:szCs w:val="32"/>
        </w:rPr>
      </w:pPr>
      <w:r>
        <w:rPr>
          <w:rFonts w:hint="eastAsia" w:cs="黑体"/>
          <w:b w:val="0"/>
          <w:sz w:val="32"/>
          <w:szCs w:val="32"/>
        </w:rPr>
        <w:t>四、部门整体支出绩效评价</w:t>
      </w:r>
    </w:p>
    <w:p>
      <w:pPr>
        <w:spacing w:line="600" w:lineRule="exact"/>
        <w:ind w:left="10" w:firstLine="627" w:firstLineChars="196"/>
        <w:rPr>
          <w:rFonts w:ascii="宋体"/>
          <w:sz w:val="32"/>
          <w:szCs w:val="32"/>
        </w:rPr>
      </w:pPr>
      <w:r>
        <w:rPr>
          <w:rFonts w:hint="eastAsia" w:ascii="宋体" w:hAnsi="宋体"/>
          <w:sz w:val="32"/>
          <w:szCs w:val="32"/>
        </w:rPr>
        <w:t>根据年度重点和日常工作安排，各项工作取得了新成绩和突破；前面通过对部门整体支出情况的概述和实际支出情况的分析，部门整体支出绩效目标管理情况评价如下：</w:t>
      </w:r>
    </w:p>
    <w:p>
      <w:pPr>
        <w:spacing w:line="600" w:lineRule="exact"/>
        <w:ind w:firstLine="640" w:firstLineChars="200"/>
        <w:rPr>
          <w:rFonts w:ascii="宋体"/>
          <w:sz w:val="32"/>
          <w:szCs w:val="32"/>
        </w:rPr>
      </w:pPr>
      <w:bookmarkStart w:id="2" w:name="_Toc419142222"/>
      <w:r>
        <w:rPr>
          <w:rFonts w:hint="eastAsia" w:ascii="宋体" w:hAnsi="宋体"/>
          <w:sz w:val="32"/>
          <w:szCs w:val="32"/>
        </w:rPr>
        <w:t>（一）经济性评价</w:t>
      </w:r>
      <w:bookmarkEnd w:id="2"/>
      <w:r>
        <w:rPr>
          <w:rFonts w:hint="eastAsia" w:ascii="宋体" w:hAnsi="宋体"/>
          <w:sz w:val="32"/>
          <w:szCs w:val="32"/>
        </w:rPr>
        <w:t>，一年来，单位严格遵守各项财务制度，严格按预算执行，量入为出，厉行节约，非生产性开支得到了有效控制，“三公”经费支出与上年基本持平。</w:t>
      </w:r>
    </w:p>
    <w:p>
      <w:pPr>
        <w:spacing w:line="600" w:lineRule="exact"/>
        <w:ind w:left="77" w:leftChars="35" w:firstLine="640" w:firstLineChars="200"/>
        <w:rPr>
          <w:rFonts w:ascii="宋体"/>
          <w:sz w:val="32"/>
          <w:szCs w:val="32"/>
        </w:rPr>
      </w:pPr>
      <w:r>
        <w:rPr>
          <w:rFonts w:hint="eastAsia" w:ascii="宋体" w:hAnsi="宋体"/>
          <w:sz w:val="32"/>
          <w:szCs w:val="32"/>
        </w:rPr>
        <w:t>（二）行政效能评价，对各项财务制度、公务接待、车辆运行、扶贫开支等各项制度更加完善，严格遵守，单位实行每月会审报账制，支付、审核、核算制度，保证资金及时、准确支付。</w:t>
      </w:r>
    </w:p>
    <w:p>
      <w:pPr>
        <w:shd w:val="clear" w:color="auto" w:fill="FFFFFF"/>
        <w:spacing w:line="600" w:lineRule="exact"/>
        <w:ind w:firstLine="633" w:firstLineChars="198"/>
        <w:rPr>
          <w:rFonts w:ascii="宋体" w:cs="宋体"/>
          <w:sz w:val="32"/>
          <w:szCs w:val="32"/>
        </w:rPr>
      </w:pPr>
      <w:r>
        <w:rPr>
          <w:rFonts w:hint="eastAsia" w:ascii="宋体" w:hAnsi="宋体"/>
          <w:sz w:val="32"/>
          <w:szCs w:val="32"/>
        </w:rPr>
        <w:t>（三）项目产出及实现的社会效益，一是贯彻执行国家和省、市有关国民经济运行、科学技术发展和信息化工作的方针政策和法律法规；二是高新技术发展及产业化、科技促进了农业农村和社会发展的规划、政策和措施；三是指导、协调全县科技和工业信息化领域的日常经济运行调节、对外交流与合作；四是承担全县民用爆炸物品的行业管理工作，负责民用爆炸物品生产许可和销售许可的监督管理。</w:t>
      </w:r>
    </w:p>
    <w:p>
      <w:pPr>
        <w:spacing w:line="560" w:lineRule="exact"/>
        <w:ind w:firstLine="640" w:firstLineChars="200"/>
        <w:rPr>
          <w:rFonts w:ascii="宋体" w:cs="仿宋"/>
          <w:sz w:val="32"/>
          <w:szCs w:val="32"/>
        </w:rPr>
      </w:pPr>
      <w:r>
        <w:rPr>
          <w:rFonts w:hint="eastAsia" w:ascii="宋体" w:hAnsi="宋体"/>
          <w:sz w:val="32"/>
          <w:szCs w:val="32"/>
        </w:rPr>
        <w:t>（四）可持续性分析，</w:t>
      </w:r>
      <w:r>
        <w:rPr>
          <w:rFonts w:hint="eastAsia" w:ascii="宋体" w:hAnsi="宋体" w:cs="仿宋"/>
          <w:sz w:val="32"/>
          <w:szCs w:val="32"/>
        </w:rPr>
        <w:t>一是明确了部门职责，规范了操作程序、方法，统一了工业经济运行调节与管理，制定了科学技术发展新方向，二是加强了组织领导和部门协作，在电力执法、安全生产、新型墙体材料上严格了主体责任追究。三是对联点村工作施行绩效奖励政策，村干部工作主动性明显增强。全年拨付给联点村的各项经费均实行绩效奖励政策，对扶贫、党建、综治等工作开展成效显著的，进行奖励，经费及时足额拨付。对工作开展滞后受到上级部门批评的，取消或推迟经费的拨付。</w:t>
      </w:r>
      <w:r>
        <w:rPr>
          <w:rFonts w:hint="eastAsia" w:ascii="宋体" w:hAnsi="宋体"/>
          <w:sz w:val="32"/>
          <w:szCs w:val="32"/>
        </w:rPr>
        <w:t>为新邵以后的各项发展做出了贡献。</w:t>
      </w:r>
    </w:p>
    <w:p>
      <w:pPr>
        <w:spacing w:line="600" w:lineRule="exact"/>
        <w:ind w:left="502" w:leftChars="228" w:firstLine="160" w:firstLineChars="50"/>
        <w:rPr>
          <w:rFonts w:ascii="宋体"/>
          <w:sz w:val="32"/>
          <w:szCs w:val="32"/>
        </w:rPr>
      </w:pPr>
      <w:r>
        <w:rPr>
          <w:rFonts w:hint="eastAsia" w:ascii="宋体" w:hAnsi="宋体"/>
          <w:sz w:val="32"/>
          <w:szCs w:val="32"/>
        </w:rPr>
        <w:t>（五）社会公众满意度</w:t>
      </w:r>
      <w:r>
        <w:rPr>
          <w:rFonts w:ascii="宋体" w:hAnsi="宋体"/>
          <w:sz w:val="32"/>
          <w:szCs w:val="32"/>
        </w:rPr>
        <w:t>&gt;95%</w:t>
      </w:r>
      <w:r>
        <w:rPr>
          <w:rFonts w:hint="eastAsia" w:ascii="宋体" w:hAnsi="宋体"/>
          <w:sz w:val="32"/>
          <w:szCs w:val="32"/>
        </w:rPr>
        <w:t>。</w:t>
      </w:r>
    </w:p>
    <w:p>
      <w:pPr>
        <w:spacing w:line="600" w:lineRule="exact"/>
        <w:ind w:left="502" w:leftChars="228" w:firstLine="160" w:firstLineChars="50"/>
        <w:rPr>
          <w:rFonts w:ascii="宋体"/>
          <w:sz w:val="32"/>
          <w:szCs w:val="32"/>
        </w:rPr>
      </w:pPr>
      <w:r>
        <w:rPr>
          <w:rFonts w:hint="eastAsia" w:ascii="宋体" w:hAnsi="宋体"/>
          <w:sz w:val="32"/>
          <w:szCs w:val="32"/>
        </w:rPr>
        <w:t>（六）部门整体绩效得分</w:t>
      </w:r>
      <w:r>
        <w:rPr>
          <w:rFonts w:ascii="宋体" w:hAnsi="宋体"/>
          <w:sz w:val="32"/>
          <w:szCs w:val="32"/>
        </w:rPr>
        <w:t>92</w:t>
      </w:r>
      <w:r>
        <w:rPr>
          <w:rFonts w:hint="eastAsia" w:ascii="宋体" w:hAnsi="宋体"/>
          <w:sz w:val="32"/>
          <w:szCs w:val="32"/>
        </w:rPr>
        <w:t>分。</w:t>
      </w:r>
    </w:p>
    <w:p>
      <w:pPr>
        <w:spacing w:line="600" w:lineRule="exact"/>
        <w:ind w:left="18" w:leftChars="8" w:firstLine="777" w:firstLineChars="243"/>
        <w:outlineLvl w:val="0"/>
        <w:rPr>
          <w:rFonts w:ascii="宋体"/>
          <w:sz w:val="32"/>
          <w:szCs w:val="32"/>
        </w:rPr>
      </w:pPr>
      <w:r>
        <w:rPr>
          <w:rFonts w:hint="eastAsia" w:ascii="宋体" w:hAnsi="宋体"/>
          <w:sz w:val="32"/>
          <w:szCs w:val="32"/>
        </w:rPr>
        <w:t>五、存在的主要问题</w:t>
      </w:r>
    </w:p>
    <w:p>
      <w:pPr>
        <w:spacing w:line="600" w:lineRule="exact"/>
        <w:ind w:left="20" w:leftChars="9" w:firstLine="620" w:firstLineChars="194"/>
        <w:outlineLvl w:val="0"/>
        <w:rPr>
          <w:rFonts w:ascii="宋体"/>
          <w:sz w:val="32"/>
          <w:szCs w:val="32"/>
        </w:rPr>
      </w:pPr>
      <w:r>
        <w:rPr>
          <w:rFonts w:hint="eastAsia" w:ascii="宋体" w:hAnsi="宋体"/>
          <w:sz w:val="32"/>
          <w:szCs w:val="32"/>
        </w:rPr>
        <w:t>年初预算安排公用经费太少，各项上级安排的中心工作必须完成，如创文、创卫、扶贫工作等非生产性开支较大，所以资金安排方面较困难。</w:t>
      </w:r>
    </w:p>
    <w:p>
      <w:pPr>
        <w:spacing w:line="600" w:lineRule="exact"/>
        <w:ind w:left="669" w:leftChars="304" w:firstLine="160" w:firstLineChars="50"/>
        <w:outlineLvl w:val="0"/>
        <w:rPr>
          <w:rFonts w:ascii="宋体"/>
          <w:sz w:val="32"/>
          <w:szCs w:val="32"/>
        </w:rPr>
      </w:pPr>
      <w:r>
        <w:rPr>
          <w:rFonts w:hint="eastAsia" w:ascii="宋体" w:hAnsi="宋体"/>
          <w:sz w:val="32"/>
          <w:szCs w:val="32"/>
        </w:rPr>
        <w:t>六、改进意见及建议</w:t>
      </w:r>
    </w:p>
    <w:p>
      <w:pPr>
        <w:spacing w:line="560" w:lineRule="exact"/>
        <w:ind w:firstLine="640" w:firstLineChars="200"/>
        <w:rPr>
          <w:rFonts w:ascii="宋体"/>
          <w:sz w:val="32"/>
          <w:szCs w:val="32"/>
        </w:rPr>
      </w:pPr>
      <w:r>
        <w:rPr>
          <w:rFonts w:hint="eastAsia" w:ascii="宋体" w:hAnsi="宋体"/>
          <w:sz w:val="32"/>
          <w:szCs w:val="32"/>
        </w:rPr>
        <w:t>（一）后续工作计划</w:t>
      </w:r>
      <w:r>
        <w:rPr>
          <w:rFonts w:ascii="宋体" w:hAnsi="宋体"/>
          <w:sz w:val="32"/>
          <w:szCs w:val="32"/>
        </w:rPr>
        <w:t xml:space="preserve">: </w:t>
      </w:r>
      <w:r>
        <w:rPr>
          <w:rFonts w:hint="eastAsia" w:ascii="宋体" w:hAnsi="宋体"/>
          <w:sz w:val="32"/>
          <w:szCs w:val="32"/>
        </w:rPr>
        <w:t>尽量控制基本支出和，“三公经费”力求保持，资金安排达到理想效果。</w:t>
      </w:r>
    </w:p>
    <w:p>
      <w:pPr>
        <w:spacing w:line="600" w:lineRule="exact"/>
        <w:ind w:firstLine="640" w:firstLineChars="200"/>
        <w:rPr>
          <w:rFonts w:ascii="宋体"/>
          <w:sz w:val="32"/>
          <w:szCs w:val="32"/>
        </w:rPr>
      </w:pPr>
      <w:r>
        <w:rPr>
          <w:rFonts w:hint="eastAsia" w:ascii="宋体" w:hAnsi="宋体"/>
          <w:sz w:val="32"/>
          <w:szCs w:val="32"/>
        </w:rPr>
        <w:t>（二）主要经验做法、存在的问题和建议</w:t>
      </w:r>
      <w:r>
        <w:rPr>
          <w:rFonts w:ascii="宋体" w:hAnsi="宋体"/>
          <w:sz w:val="32"/>
          <w:szCs w:val="32"/>
        </w:rPr>
        <w:t xml:space="preserve">: </w:t>
      </w:r>
      <w:r>
        <w:rPr>
          <w:rFonts w:hint="eastAsia" w:ascii="宋体" w:hAnsi="宋体"/>
          <w:sz w:val="32"/>
          <w:szCs w:val="32"/>
        </w:rPr>
        <w:t>一是根据存在的问题，本单位将夯实资产资金管理，更好地使用资产、资金，发挥最大效能。二是拓宽资金来源渠道，发挥好政府的导向作用。三是完善管理机制，明确责任。构建一个职责分明、科学规范、严格财经，具有可操作性的管理长效机制。</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3D491"/>
    <w:multiLevelType w:val="singleLevel"/>
    <w:tmpl w:val="39B3D491"/>
    <w:lvl w:ilvl="0" w:tentative="0">
      <w:start w:val="1"/>
      <w:numFmt w:val="decimal"/>
      <w:suff w:val="nothing"/>
      <w:lvlText w:val="%1、"/>
      <w:lvlJc w:val="left"/>
      <w:rPr>
        <w:rFonts w:ascii="Times New Roman" w:hAnsi="Times New Roman" w:eastAsia="Times New Roman" w:cs="Times New Roman"/>
      </w:rPr>
    </w:lvl>
  </w:abstractNum>
  <w:abstractNum w:abstractNumId="1">
    <w:nsid w:val="46F315FC"/>
    <w:multiLevelType w:val="multilevel"/>
    <w:tmpl w:val="46F315FC"/>
    <w:lvl w:ilvl="0" w:tentative="0">
      <w:start w:val="4"/>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TJmNjRjZGViZWVhMzdmNzhlYmU5MTM3MGM4YjYwNWMifQ=="/>
  </w:docVars>
  <w:rsids>
    <w:rsidRoot w:val="00D31D50"/>
    <w:rsid w:val="00323B43"/>
    <w:rsid w:val="003D37D8"/>
    <w:rsid w:val="00426133"/>
    <w:rsid w:val="004358AB"/>
    <w:rsid w:val="006F0425"/>
    <w:rsid w:val="008B7726"/>
    <w:rsid w:val="00D31D50"/>
    <w:rsid w:val="00E70B3C"/>
    <w:rsid w:val="00EF19E5"/>
    <w:rsid w:val="38D6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4"/>
    <w:qFormat/>
    <w:uiPriority w:val="99"/>
    <w:pPr>
      <w:widowControl w:val="0"/>
      <w:adjustRightInd/>
      <w:snapToGrid/>
      <w:spacing w:before="100" w:beforeAutospacing="1" w:after="100" w:afterAutospacing="1"/>
      <w:outlineLvl w:val="0"/>
    </w:pPr>
    <w:rPr>
      <w:rFonts w:ascii="宋体" w:hAnsi="宋体" w:eastAsia="宋体" w:cs="Times New Roman"/>
      <w:b/>
      <w:kern w:val="44"/>
      <w:sz w:val="48"/>
      <w:szCs w:val="48"/>
    </w:rPr>
  </w:style>
  <w:style w:type="paragraph" w:styleId="3">
    <w:name w:val="heading 2"/>
    <w:basedOn w:val="1"/>
    <w:next w:val="1"/>
    <w:link w:val="15"/>
    <w:qFormat/>
    <w:uiPriority w:val="99"/>
    <w:pPr>
      <w:widowControl w:val="0"/>
      <w:adjustRightInd/>
      <w:snapToGrid/>
      <w:spacing w:before="100" w:beforeAutospacing="1" w:after="100" w:afterAutospacing="1"/>
      <w:outlineLvl w:val="1"/>
    </w:pPr>
    <w:rPr>
      <w:rFonts w:ascii="宋体" w:hAnsi="宋体" w:eastAsia="宋体" w:cs="Times New Roman"/>
      <w:b/>
      <w:sz w:val="36"/>
      <w:szCs w:val="36"/>
    </w:rPr>
  </w:style>
  <w:style w:type="paragraph" w:styleId="4">
    <w:name w:val="heading 3"/>
    <w:basedOn w:val="1"/>
    <w:next w:val="1"/>
    <w:link w:val="16"/>
    <w:qFormat/>
    <w:uiPriority w:val="99"/>
    <w:pPr>
      <w:widowControl w:val="0"/>
      <w:adjustRightInd/>
      <w:snapToGrid/>
      <w:spacing w:before="100" w:beforeAutospacing="1" w:after="100" w:afterAutospacing="1"/>
      <w:outlineLvl w:val="2"/>
    </w:pPr>
    <w:rPr>
      <w:rFonts w:ascii="宋体" w:hAnsi="宋体" w:eastAsia="宋体" w:cs="Times New Roman"/>
      <w:b/>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7"/>
    <w:unhideWhenUsed/>
    <w:qFormat/>
    <w:uiPriority w:val="99"/>
    <w:pPr>
      <w:spacing w:after="120"/>
      <w:ind w:left="420" w:leftChars="200"/>
    </w:pPr>
  </w:style>
  <w:style w:type="paragraph" w:styleId="6">
    <w:name w:val="Balloon Text"/>
    <w:basedOn w:val="1"/>
    <w:link w:val="19"/>
    <w:semiHidden/>
    <w:qFormat/>
    <w:uiPriority w:val="99"/>
    <w:pPr>
      <w:widowControl w:val="0"/>
      <w:adjustRightInd/>
      <w:snapToGrid/>
      <w:spacing w:after="0"/>
      <w:jc w:val="both"/>
    </w:pPr>
    <w:rPr>
      <w:rFonts w:ascii="Calibri" w:hAnsi="Calibri" w:eastAsia="宋体" w:cs="Times New Roman"/>
      <w:kern w:val="2"/>
      <w:sz w:val="18"/>
      <w:szCs w:val="18"/>
    </w:rPr>
  </w:style>
  <w:style w:type="paragraph" w:styleId="7">
    <w:name w:val="footer"/>
    <w:basedOn w:val="1"/>
    <w:link w:val="13"/>
    <w:unhideWhenUsed/>
    <w:uiPriority w:val="99"/>
    <w:pPr>
      <w:tabs>
        <w:tab w:val="center" w:pos="4153"/>
        <w:tab w:val="right" w:pos="8306"/>
      </w:tabs>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9">
    <w:name w:val="Body Text First Indent 2"/>
    <w:basedOn w:val="5"/>
    <w:link w:val="18"/>
    <w:qFormat/>
    <w:uiPriority w:val="99"/>
    <w:pPr>
      <w:widowControl w:val="0"/>
      <w:adjustRightInd/>
      <w:snapToGrid/>
      <w:spacing w:before="100" w:beforeAutospacing="1" w:after="0"/>
      <w:ind w:left="0" w:firstLine="420" w:firstLineChars="200"/>
      <w:jc w:val="both"/>
    </w:pPr>
    <w:rPr>
      <w:rFonts w:ascii="Calibri" w:hAnsi="Calibri" w:eastAsia="宋体" w:cs="Times New Roman"/>
      <w:kern w:val="2"/>
      <w:sz w:val="21"/>
    </w:rPr>
  </w:style>
  <w:style w:type="character" w:customStyle="1" w:styleId="12">
    <w:name w:val="页眉 Char"/>
    <w:basedOn w:val="11"/>
    <w:link w:val="8"/>
    <w:qFormat/>
    <w:uiPriority w:val="99"/>
    <w:rPr>
      <w:rFonts w:ascii="Tahoma" w:hAnsi="Tahoma"/>
      <w:sz w:val="18"/>
      <w:szCs w:val="18"/>
    </w:rPr>
  </w:style>
  <w:style w:type="character" w:customStyle="1" w:styleId="13">
    <w:name w:val="页脚 Char"/>
    <w:basedOn w:val="11"/>
    <w:link w:val="7"/>
    <w:qFormat/>
    <w:uiPriority w:val="99"/>
    <w:rPr>
      <w:rFonts w:ascii="Tahoma" w:hAnsi="Tahoma"/>
      <w:sz w:val="18"/>
      <w:szCs w:val="18"/>
    </w:rPr>
  </w:style>
  <w:style w:type="character" w:customStyle="1" w:styleId="14">
    <w:name w:val="标题 1 Char"/>
    <w:basedOn w:val="11"/>
    <w:link w:val="2"/>
    <w:qFormat/>
    <w:uiPriority w:val="99"/>
    <w:rPr>
      <w:rFonts w:ascii="宋体" w:hAnsi="宋体" w:eastAsia="宋体" w:cs="Times New Roman"/>
      <w:b/>
      <w:kern w:val="44"/>
      <w:sz w:val="48"/>
      <w:szCs w:val="48"/>
    </w:rPr>
  </w:style>
  <w:style w:type="character" w:customStyle="1" w:styleId="15">
    <w:name w:val="标题 2 Char"/>
    <w:basedOn w:val="11"/>
    <w:link w:val="3"/>
    <w:qFormat/>
    <w:uiPriority w:val="99"/>
    <w:rPr>
      <w:rFonts w:ascii="宋体" w:hAnsi="宋体" w:eastAsia="宋体" w:cs="Times New Roman"/>
      <w:b/>
      <w:sz w:val="36"/>
      <w:szCs w:val="36"/>
    </w:rPr>
  </w:style>
  <w:style w:type="character" w:customStyle="1" w:styleId="16">
    <w:name w:val="标题 3 Char"/>
    <w:basedOn w:val="11"/>
    <w:link w:val="4"/>
    <w:qFormat/>
    <w:uiPriority w:val="99"/>
    <w:rPr>
      <w:rFonts w:ascii="宋体" w:hAnsi="宋体" w:eastAsia="宋体" w:cs="Times New Roman"/>
      <w:b/>
      <w:sz w:val="27"/>
      <w:szCs w:val="27"/>
    </w:rPr>
  </w:style>
  <w:style w:type="character" w:customStyle="1" w:styleId="17">
    <w:name w:val="正文文本缩进 Char"/>
    <w:basedOn w:val="11"/>
    <w:link w:val="5"/>
    <w:semiHidden/>
    <w:qFormat/>
    <w:uiPriority w:val="99"/>
    <w:rPr>
      <w:rFonts w:ascii="Tahoma" w:hAnsi="Tahoma"/>
    </w:rPr>
  </w:style>
  <w:style w:type="character" w:customStyle="1" w:styleId="18">
    <w:name w:val="正文首行缩进 2 Char"/>
    <w:basedOn w:val="17"/>
    <w:link w:val="9"/>
    <w:qFormat/>
    <w:uiPriority w:val="99"/>
    <w:rPr>
      <w:rFonts w:ascii="Calibri" w:hAnsi="Calibri" w:eastAsia="宋体" w:cs="Times New Roman"/>
      <w:kern w:val="2"/>
      <w:sz w:val="21"/>
    </w:rPr>
  </w:style>
  <w:style w:type="character" w:customStyle="1" w:styleId="19">
    <w:name w:val="批注框文本 Char"/>
    <w:basedOn w:val="11"/>
    <w:link w:val="6"/>
    <w:semiHidden/>
    <w:qFormat/>
    <w:uiPriority w:val="99"/>
    <w:rPr>
      <w:rFonts w:ascii="Calibri" w:hAnsi="Calibri" w:eastAsia="宋体" w:cs="Times New Roman"/>
      <w:kern w:val="2"/>
      <w:sz w:val="18"/>
      <w:szCs w:val="18"/>
    </w:rPr>
  </w:style>
  <w:style w:type="character" w:customStyle="1" w:styleId="20">
    <w:name w:val="Heading 1 Char"/>
    <w:basedOn w:val="11"/>
    <w:qFormat/>
    <w:locked/>
    <w:uiPriority w:val="99"/>
    <w:rPr>
      <w:rFonts w:cs="Times New Roman"/>
      <w:b/>
      <w:bCs/>
      <w:kern w:val="44"/>
      <w:sz w:val="44"/>
      <w:szCs w:val="44"/>
    </w:rPr>
  </w:style>
  <w:style w:type="character" w:customStyle="1" w:styleId="21">
    <w:name w:val="Heading 2 Char"/>
    <w:basedOn w:val="11"/>
    <w:semiHidden/>
    <w:qFormat/>
    <w:locked/>
    <w:uiPriority w:val="99"/>
    <w:rPr>
      <w:rFonts w:ascii="Cambria" w:hAnsi="Cambria" w:eastAsia="宋体" w:cs="Times New Roman"/>
      <w:b/>
      <w:bCs/>
      <w:sz w:val="32"/>
      <w:szCs w:val="32"/>
    </w:rPr>
  </w:style>
  <w:style w:type="character" w:customStyle="1" w:styleId="22">
    <w:name w:val="Heading 3 Char"/>
    <w:basedOn w:val="11"/>
    <w:semiHidden/>
    <w:qFormat/>
    <w:locked/>
    <w:uiPriority w:val="99"/>
    <w:rPr>
      <w:rFonts w:cs="Times New Roman"/>
      <w:b/>
      <w:bCs/>
      <w:sz w:val="32"/>
      <w:szCs w:val="32"/>
    </w:rPr>
  </w:style>
  <w:style w:type="paragraph" w:customStyle="1" w:styleId="23">
    <w:name w:val="Default"/>
    <w:qFormat/>
    <w:uiPriority w:val="99"/>
    <w:pPr>
      <w:widowControl w:val="0"/>
      <w:autoSpaceDE w:val="0"/>
      <w:autoSpaceDN w:val="0"/>
      <w:adjustRightInd w:val="0"/>
      <w:spacing w:after="0" w:line="240" w:lineRule="auto"/>
    </w:pPr>
    <w:rPr>
      <w:rFonts w:ascii="黑体" w:hAnsi="Calibri" w:eastAsia="黑体" w:cs="黑体"/>
      <w:color w:val="000000"/>
      <w:sz w:val="24"/>
      <w:szCs w:val="24"/>
      <w:lang w:val="en-US" w:eastAsia="zh-CN" w:bidi="ar-SA"/>
    </w:rPr>
  </w:style>
  <w:style w:type="paragraph" w:styleId="24">
    <w:name w:val="List Paragraph"/>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25">
    <w:name w:val="正文 New"/>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26">
    <w:name w:val="正文文本缩进 New"/>
    <w:basedOn w:val="25"/>
    <w:qFormat/>
    <w:uiPriority w:val="99"/>
    <w:pPr>
      <w:ind w:firstLine="668" w:firstLineChars="200"/>
    </w:pPr>
    <w:rPr>
      <w:rFonts w:eastAsia="方正仿宋简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2819</Words>
  <Characters>3102</Characters>
  <Lines>310</Lines>
  <Paragraphs>370</Paragraphs>
  <TotalTime>1</TotalTime>
  <ScaleCrop>false</ScaleCrop>
  <LinksUpToDate>false</LinksUpToDate>
  <CharactersWithSpaces>5551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朱亚林</dc:creator>
  <cp:lastModifiedBy>朱亚林</cp:lastModifiedBy>
  <dcterms:modified xsi:type="dcterms:W3CDTF">2022-10-17T15:04:28Z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67F633A25EAF438E9F9FA385F71B7CB3</vt:lpwstr>
  </property>
</Properties>
</file>