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left="147" w:hanging="147" w:hangingChars="46"/>
        <w:rPr>
          <w:rFonts w:ascii="仿宋" w:hAnsi="仿宋" w:eastAsia="仿宋"/>
          <w:sz w:val="32"/>
          <w:szCs w:val="32"/>
        </w:rPr>
      </w:pPr>
      <w:r>
        <w:rPr>
          <w:rFonts w:ascii="仿宋" w:hAnsi="仿宋" w:eastAsia="仿宋"/>
          <w:sz w:val="32"/>
          <w:szCs w:val="32"/>
        </w:rPr>
        <w:t>附件</w:t>
      </w:r>
      <w:r>
        <w:rPr>
          <w:rFonts w:hint="eastAsia" w:ascii="仿宋" w:hAnsi="仿宋" w:eastAsia="仿宋"/>
          <w:sz w:val="32"/>
          <w:szCs w:val="32"/>
        </w:rPr>
        <w:t>1</w:t>
      </w:r>
    </w:p>
    <w:p>
      <w:pPr>
        <w:spacing w:line="600" w:lineRule="exact"/>
        <w:ind w:left="540" w:hanging="540"/>
        <w:jc w:val="center"/>
        <w:rPr>
          <w:rFonts w:hint="eastAsia" w:ascii="仿宋" w:hAnsi="仿宋" w:eastAsia="仿宋"/>
          <w:sz w:val="36"/>
          <w:szCs w:val="36"/>
          <w:lang w:eastAsia="zh-CN"/>
        </w:rPr>
      </w:pPr>
      <w:r>
        <w:rPr>
          <w:rFonts w:hint="eastAsia" w:ascii="仿宋" w:hAnsi="仿宋" w:eastAsia="仿宋"/>
          <w:sz w:val="36"/>
          <w:szCs w:val="36"/>
        </w:rPr>
        <w:t>新邵县</w:t>
      </w:r>
      <w:r>
        <w:rPr>
          <w:rFonts w:hint="eastAsia" w:ascii="仿宋" w:hAnsi="仿宋" w:eastAsia="仿宋"/>
          <w:sz w:val="36"/>
          <w:szCs w:val="36"/>
          <w:lang w:eastAsia="zh-CN"/>
        </w:rPr>
        <w:t>公路建设养护中心</w:t>
      </w:r>
    </w:p>
    <w:p>
      <w:pPr>
        <w:spacing w:line="600" w:lineRule="exact"/>
        <w:ind w:left="540" w:hanging="540"/>
        <w:jc w:val="center"/>
        <w:rPr>
          <w:rFonts w:ascii="仿宋" w:hAnsi="仿宋" w:eastAsia="仿宋"/>
          <w:b/>
          <w:sz w:val="32"/>
          <w:szCs w:val="32"/>
        </w:rPr>
      </w:pPr>
      <w:r>
        <w:rPr>
          <w:rFonts w:ascii="仿宋" w:hAnsi="仿宋" w:eastAsia="仿宋"/>
          <w:sz w:val="36"/>
          <w:szCs w:val="36"/>
        </w:rPr>
        <w:t>20</w:t>
      </w:r>
      <w:r>
        <w:rPr>
          <w:rFonts w:hint="eastAsia" w:ascii="仿宋" w:hAnsi="仿宋" w:eastAsia="仿宋"/>
          <w:sz w:val="36"/>
          <w:szCs w:val="36"/>
        </w:rPr>
        <w:t>20</w:t>
      </w:r>
      <w:r>
        <w:rPr>
          <w:rFonts w:ascii="仿宋" w:hAnsi="仿宋" w:eastAsia="仿宋"/>
          <w:sz w:val="36"/>
          <w:szCs w:val="36"/>
        </w:rPr>
        <w:t>年度</w:t>
      </w:r>
      <w:r>
        <w:rPr>
          <w:rFonts w:hint="eastAsia" w:ascii="仿宋" w:hAnsi="仿宋" w:eastAsia="仿宋"/>
          <w:sz w:val="36"/>
          <w:szCs w:val="36"/>
        </w:rPr>
        <w:t>部门整体支出绩效自评报告</w:t>
      </w:r>
    </w:p>
    <w:p>
      <w:pPr>
        <w:numPr>
          <w:ilvl w:val="0"/>
          <w:numId w:val="1"/>
        </w:numPr>
        <w:adjustRightInd w:val="0"/>
        <w:snapToGrid w:val="0"/>
        <w:spacing w:line="600" w:lineRule="exact"/>
        <w:ind w:left="480" w:hanging="480"/>
        <w:outlineLvl w:val="0"/>
        <w:rPr>
          <w:rFonts w:ascii="仿宋" w:hAnsi="仿宋" w:eastAsia="仿宋"/>
          <w:sz w:val="32"/>
          <w:szCs w:val="32"/>
        </w:rPr>
      </w:pPr>
      <w:r>
        <w:rPr>
          <w:rFonts w:hint="eastAsia" w:ascii="仿宋" w:hAnsi="仿宋" w:eastAsia="仿宋"/>
          <w:sz w:val="32"/>
          <w:szCs w:val="32"/>
        </w:rPr>
        <w:t>部门</w:t>
      </w:r>
      <w:r>
        <w:rPr>
          <w:rFonts w:ascii="仿宋" w:hAnsi="仿宋" w:eastAsia="仿宋"/>
          <w:sz w:val="32"/>
          <w:szCs w:val="32"/>
        </w:rPr>
        <w:t>概况</w:t>
      </w:r>
    </w:p>
    <w:p>
      <w:pPr>
        <w:adjustRightInd w:val="0"/>
        <w:snapToGrid w:val="0"/>
        <w:spacing w:line="240" w:lineRule="auto"/>
        <w:ind w:left="0" w:firstLine="0" w:firstLineChars="0"/>
        <w:rPr>
          <w:rFonts w:hint="eastAsia" w:ascii="仿宋" w:hAnsi="仿宋" w:eastAsia="仿宋" w:cs="仿宋"/>
          <w:sz w:val="32"/>
          <w:szCs w:val="32"/>
        </w:rPr>
      </w:pPr>
      <w:r>
        <w:rPr>
          <w:rFonts w:hint="eastAsia" w:ascii="仿宋" w:hAnsi="仿宋" w:eastAsia="仿宋" w:cs="仿宋"/>
          <w:sz w:val="32"/>
          <w:szCs w:val="32"/>
        </w:rPr>
        <w:t>（一）部门基本情况</w:t>
      </w:r>
    </w:p>
    <w:p>
      <w:pPr>
        <w:spacing w:line="64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我局是全额拨款的正科级公益一类事业单位。现有</w:t>
      </w:r>
      <w:r>
        <w:rPr>
          <w:rFonts w:hint="eastAsia" w:ascii="仿宋" w:hAnsi="仿宋" w:eastAsia="仿宋" w:cs="仿宋"/>
          <w:sz w:val="32"/>
          <w:szCs w:val="32"/>
          <w:lang w:eastAsia="zh-CN"/>
        </w:rPr>
        <w:t>在职</w:t>
      </w:r>
      <w:r>
        <w:rPr>
          <w:rFonts w:hint="eastAsia" w:ascii="仿宋" w:hAnsi="仿宋" w:eastAsia="仿宋" w:cs="仿宋"/>
          <w:sz w:val="32"/>
          <w:szCs w:val="32"/>
        </w:rPr>
        <w:t>职工</w:t>
      </w:r>
      <w:r>
        <w:rPr>
          <w:rFonts w:hint="eastAsia" w:ascii="仿宋" w:hAnsi="仿宋" w:eastAsia="仿宋" w:cs="仿宋"/>
          <w:sz w:val="32"/>
          <w:szCs w:val="32"/>
          <w:lang w:val="en-US" w:eastAsia="zh-CN"/>
        </w:rPr>
        <w:t>198</w:t>
      </w:r>
      <w:r>
        <w:rPr>
          <w:rFonts w:hint="eastAsia" w:ascii="仿宋" w:hAnsi="仿宋" w:eastAsia="仿宋" w:cs="仿宋"/>
          <w:sz w:val="32"/>
          <w:szCs w:val="32"/>
        </w:rPr>
        <w:t>人，退休人员11</w:t>
      </w:r>
      <w:r>
        <w:rPr>
          <w:rFonts w:hint="eastAsia" w:ascii="仿宋" w:hAnsi="仿宋" w:eastAsia="仿宋" w:cs="仿宋"/>
          <w:sz w:val="32"/>
          <w:szCs w:val="32"/>
          <w:lang w:val="en-US" w:eastAsia="zh-CN"/>
        </w:rPr>
        <w:t>2</w:t>
      </w:r>
      <w:r>
        <w:rPr>
          <w:rFonts w:hint="eastAsia" w:ascii="仿宋" w:hAnsi="仿宋" w:eastAsia="仿宋" w:cs="仿宋"/>
          <w:sz w:val="32"/>
          <w:szCs w:val="32"/>
        </w:rPr>
        <w:t>人。下设8个股室，3个二级机构。我局肩负着新邵县9条干支线的公路养护工作，养护里程共计244.284km，其中：水泥路148.385km，油路95.899km。公路部门根据《公路法》等政策法规开展并实施各项工作，其主要任务是公路养护、路政管理和公路工程。</w:t>
      </w:r>
    </w:p>
    <w:p>
      <w:pPr>
        <w:numPr>
          <w:ilvl w:val="0"/>
          <w:numId w:val="2"/>
        </w:num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主要工作职责</w:t>
      </w:r>
    </w:p>
    <w:p>
      <w:pPr>
        <w:spacing w:line="640" w:lineRule="exact"/>
        <w:ind w:left="296" w:leftChars="141" w:firstLine="160" w:firstLineChars="50"/>
        <w:rPr>
          <w:rFonts w:hint="eastAsia" w:ascii="仿宋" w:hAnsi="仿宋" w:eastAsia="仿宋" w:cs="仿宋"/>
          <w:sz w:val="32"/>
          <w:szCs w:val="32"/>
        </w:rPr>
      </w:pPr>
      <w:r>
        <w:rPr>
          <w:rFonts w:hint="eastAsia" w:ascii="仿宋" w:hAnsi="仿宋" w:eastAsia="仿宋" w:cs="仿宋"/>
          <w:sz w:val="32"/>
          <w:szCs w:val="32"/>
        </w:rPr>
        <w:t>1、负责辖区内所管养公路养护和管理工作</w:t>
      </w:r>
    </w:p>
    <w:p>
      <w:pPr>
        <w:spacing w:line="640" w:lineRule="exact"/>
        <w:ind w:left="298" w:leftChars="142" w:firstLine="160" w:firstLineChars="50"/>
        <w:rPr>
          <w:rFonts w:hint="eastAsia" w:ascii="仿宋" w:hAnsi="仿宋" w:eastAsia="仿宋" w:cs="仿宋"/>
          <w:sz w:val="32"/>
          <w:szCs w:val="32"/>
        </w:rPr>
      </w:pPr>
      <w:r>
        <w:rPr>
          <w:rFonts w:hint="eastAsia" w:ascii="仿宋" w:hAnsi="仿宋" w:eastAsia="仿宋" w:cs="仿宋"/>
          <w:sz w:val="32"/>
          <w:szCs w:val="32"/>
        </w:rPr>
        <w:t>2、负责辖区内所管养公路的大中修工程、安保工程、灾害防治工程、水毁工程和危桥改造工程的实施</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3、负责辖区内所管养公路的路政管理工作</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4、负责辖区内所管养公路交通设施的管理、建设和维护</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5、负责辖区内所管养公路绿化工作</w:t>
      </w:r>
    </w:p>
    <w:p>
      <w:pPr>
        <w:adjustRightInd w:val="0"/>
        <w:snapToGrid w:val="0"/>
        <w:spacing w:line="600" w:lineRule="exact"/>
        <w:ind w:left="0" w:leftChars="0" w:firstLine="0" w:firstLineChars="0"/>
        <w:rPr>
          <w:rFonts w:hint="eastAsia" w:ascii="仿宋" w:hAnsi="仿宋" w:eastAsia="仿宋"/>
          <w:sz w:val="32"/>
          <w:szCs w:val="32"/>
        </w:rPr>
      </w:pPr>
      <w:r>
        <w:rPr>
          <w:rFonts w:hint="eastAsia" w:ascii="仿宋" w:hAnsi="仿宋" w:eastAsia="仿宋"/>
          <w:sz w:val="32"/>
          <w:szCs w:val="32"/>
        </w:rPr>
        <w:t>（三）2020年度工作计划</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1、强化安全监管，确保生产安全</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2、文明执法，提升路政形象</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3、搞好所管养公路日常养护和维护工作</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4、搞好所管养公路大中修工程、安保工程、灾害防治工程、水毁工程和危桥改造工程工作</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5、搞好所管养公路交通设施的管理、建设和维护工作</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6、搞好所管养公路的绿化工作</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7、加强公路应急救援建设</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8、加强党建工作，努力构建学习型、服务型、创新型、时代型的优秀党支部</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9、加强财务管理，健全内部控制和会审制度</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10、加强工会经费收支管理，为职工办实事，维护和保障好每一位职工的合法权益</w:t>
      </w:r>
    </w:p>
    <w:p>
      <w:pPr>
        <w:spacing w:line="640" w:lineRule="exact"/>
        <w:ind w:left="479" w:leftChars="228" w:firstLine="0" w:firstLineChars="0"/>
        <w:rPr>
          <w:rFonts w:hint="eastAsia" w:ascii="仿宋" w:hAnsi="仿宋" w:eastAsia="仿宋" w:cs="仿宋"/>
          <w:sz w:val="32"/>
          <w:szCs w:val="32"/>
        </w:rPr>
      </w:pPr>
      <w:r>
        <w:rPr>
          <w:rFonts w:hint="eastAsia" w:ascii="仿宋" w:hAnsi="仿宋" w:eastAsia="仿宋" w:cs="仿宋"/>
          <w:sz w:val="32"/>
          <w:szCs w:val="32"/>
        </w:rPr>
        <w:t>11、不定期组织人员学习培训，每年至少组织一次安全培训</w:t>
      </w:r>
    </w:p>
    <w:p>
      <w:pPr>
        <w:adjustRightInd w:val="0"/>
        <w:snapToGrid w:val="0"/>
        <w:spacing w:line="600" w:lineRule="exact"/>
        <w:ind w:left="0" w:leftChars="0" w:firstLine="0" w:firstLineChars="0"/>
        <w:rPr>
          <w:rFonts w:hint="eastAsia" w:ascii="仿宋" w:hAnsi="仿宋" w:eastAsia="仿宋"/>
          <w:sz w:val="32"/>
          <w:szCs w:val="32"/>
        </w:rPr>
      </w:pPr>
      <w:r>
        <w:rPr>
          <w:rFonts w:hint="eastAsia" w:ascii="仿宋" w:hAnsi="仿宋" w:eastAsia="仿宋"/>
          <w:sz w:val="32"/>
          <w:szCs w:val="32"/>
        </w:rPr>
        <w:t>二、部门整体支出规模、使用方向和内容</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w:t>
      </w:r>
      <w:r>
        <w:rPr>
          <w:rFonts w:ascii="仿宋" w:hAnsi="仿宋" w:eastAsia="仿宋"/>
          <w:sz w:val="32"/>
          <w:szCs w:val="32"/>
        </w:rPr>
        <w:t>一</w:t>
      </w:r>
      <w:r>
        <w:rPr>
          <w:rFonts w:hint="eastAsia" w:ascii="仿宋" w:hAnsi="仿宋" w:eastAsia="仿宋"/>
          <w:sz w:val="32"/>
          <w:szCs w:val="32"/>
        </w:rPr>
        <w:t>）年度预算收支情况</w:t>
      </w:r>
    </w:p>
    <w:tbl>
      <w:tblPr>
        <w:tblStyle w:val="6"/>
        <w:tblpPr w:leftFromText="180" w:rightFromText="180" w:vertAnchor="text" w:horzAnchor="page" w:tblpXSpec="center" w:tblpY="442"/>
        <w:tblOverlap w:val="never"/>
        <w:tblW w:w="8680" w:type="dxa"/>
        <w:jc w:val="center"/>
        <w:tblLayout w:type="fixed"/>
        <w:tblCellMar>
          <w:top w:w="0" w:type="dxa"/>
          <w:left w:w="0" w:type="dxa"/>
          <w:bottom w:w="0" w:type="dxa"/>
          <w:right w:w="0" w:type="dxa"/>
        </w:tblCellMar>
      </w:tblPr>
      <w:tblGrid>
        <w:gridCol w:w="2135"/>
        <w:gridCol w:w="1433"/>
        <w:gridCol w:w="1500"/>
        <w:gridCol w:w="1771"/>
        <w:gridCol w:w="1841"/>
      </w:tblGrid>
      <w:tr>
        <w:tblPrEx>
          <w:tblCellMar>
            <w:top w:w="0" w:type="dxa"/>
            <w:left w:w="0" w:type="dxa"/>
            <w:bottom w:w="0" w:type="dxa"/>
            <w:right w:w="0" w:type="dxa"/>
          </w:tblCellMar>
        </w:tblPrEx>
        <w:trPr>
          <w:trHeight w:val="337" w:hRule="atLeast"/>
          <w:jc w:val="center"/>
        </w:trPr>
        <w:tc>
          <w:tcPr>
            <w:tcW w:w="2135" w:type="dxa"/>
            <w:vMerge w:val="restart"/>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宋体"/>
                <w:b/>
                <w:color w:val="000000"/>
                <w:kern w:val="0"/>
                <w:szCs w:val="21"/>
                <w:lang w:bidi="ar"/>
              </w:rPr>
              <w:t>预算项目</w:t>
            </w:r>
          </w:p>
        </w:tc>
        <w:tc>
          <w:tcPr>
            <w:tcW w:w="2933" w:type="dxa"/>
            <w:gridSpan w:val="2"/>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宋体"/>
                <w:b/>
                <w:color w:val="000000"/>
                <w:kern w:val="0"/>
                <w:szCs w:val="21"/>
                <w:lang w:bidi="ar"/>
              </w:rPr>
              <w:t>预算金额</w:t>
            </w:r>
          </w:p>
        </w:tc>
        <w:tc>
          <w:tcPr>
            <w:tcW w:w="3612" w:type="dxa"/>
            <w:gridSpan w:val="2"/>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宋体"/>
                <w:b/>
                <w:color w:val="000000"/>
                <w:kern w:val="0"/>
                <w:szCs w:val="21"/>
                <w:lang w:bidi="ar"/>
              </w:rPr>
              <w:t>较上年增减变化</w:t>
            </w:r>
          </w:p>
        </w:tc>
      </w:tr>
      <w:tr>
        <w:tblPrEx>
          <w:tblCellMar>
            <w:top w:w="0" w:type="dxa"/>
            <w:left w:w="0" w:type="dxa"/>
            <w:bottom w:w="0" w:type="dxa"/>
            <w:right w:w="0" w:type="dxa"/>
          </w:tblCellMar>
        </w:tblPrEx>
        <w:trPr>
          <w:trHeight w:val="397" w:hRule="atLeast"/>
          <w:jc w:val="center"/>
        </w:trPr>
        <w:tc>
          <w:tcPr>
            <w:tcW w:w="2135" w:type="dxa"/>
            <w:vMerge w:val="continue"/>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snapToGrid w:val="0"/>
              <w:spacing w:line="600" w:lineRule="exact"/>
              <w:ind w:left="315" w:hanging="315"/>
              <w:rPr>
                <w:rFonts w:ascii="仿宋" w:hAnsi="仿宋" w:eastAsia="仿宋" w:cs="Arial"/>
                <w:color w:val="333333"/>
                <w:szCs w:val="21"/>
              </w:rPr>
            </w:pPr>
          </w:p>
        </w:tc>
        <w:tc>
          <w:tcPr>
            <w:tcW w:w="1433"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微软雅黑"/>
                <w:b/>
                <w:color w:val="000000"/>
                <w:kern w:val="0"/>
                <w:szCs w:val="21"/>
                <w:lang w:bidi="ar"/>
              </w:rPr>
              <w:t>2020</w:t>
            </w:r>
            <w:r>
              <w:rPr>
                <w:rFonts w:hint="eastAsia" w:ascii="仿宋" w:hAnsi="仿宋" w:eastAsia="仿宋" w:cs="宋体"/>
                <w:b/>
                <w:color w:val="000000"/>
                <w:kern w:val="0"/>
                <w:szCs w:val="21"/>
                <w:lang w:bidi="ar"/>
              </w:rPr>
              <w:t>年</w:t>
            </w:r>
          </w:p>
        </w:tc>
        <w:tc>
          <w:tcPr>
            <w:tcW w:w="1500"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微软雅黑"/>
                <w:b/>
                <w:color w:val="000000"/>
                <w:kern w:val="0"/>
                <w:szCs w:val="21"/>
                <w:lang w:bidi="ar"/>
              </w:rPr>
              <w:t>2019</w:t>
            </w:r>
            <w:r>
              <w:rPr>
                <w:rFonts w:hint="eastAsia" w:ascii="仿宋" w:hAnsi="仿宋" w:eastAsia="仿宋" w:cs="宋体"/>
                <w:b/>
                <w:color w:val="000000"/>
                <w:kern w:val="0"/>
                <w:szCs w:val="21"/>
                <w:lang w:bidi="ar"/>
              </w:rPr>
              <w:t>年</w:t>
            </w:r>
          </w:p>
        </w:tc>
        <w:tc>
          <w:tcPr>
            <w:tcW w:w="1771"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宋体"/>
                <w:b/>
                <w:color w:val="000000"/>
                <w:kern w:val="0"/>
                <w:szCs w:val="21"/>
                <w:lang w:bidi="ar"/>
              </w:rPr>
              <w:t>金额</w:t>
            </w:r>
          </w:p>
        </w:tc>
        <w:tc>
          <w:tcPr>
            <w:tcW w:w="1841"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6" w:hanging="316"/>
              <w:jc w:val="center"/>
              <w:textAlignment w:val="center"/>
              <w:rPr>
                <w:rFonts w:hint="eastAsia" w:ascii="仿宋" w:hAnsi="仿宋" w:eastAsia="仿宋" w:cs="微软雅黑"/>
                <w:color w:val="010101"/>
                <w:szCs w:val="21"/>
              </w:rPr>
            </w:pPr>
            <w:r>
              <w:rPr>
                <w:rFonts w:hint="eastAsia" w:ascii="仿宋" w:hAnsi="仿宋" w:eastAsia="仿宋" w:cs="宋体"/>
                <w:b/>
                <w:color w:val="000000"/>
                <w:kern w:val="0"/>
                <w:szCs w:val="21"/>
                <w:lang w:bidi="ar"/>
              </w:rPr>
              <w:t>比例</w:t>
            </w:r>
          </w:p>
        </w:tc>
      </w:tr>
      <w:tr>
        <w:tblPrEx>
          <w:tblCellMar>
            <w:top w:w="0" w:type="dxa"/>
            <w:left w:w="0" w:type="dxa"/>
            <w:bottom w:w="0" w:type="dxa"/>
            <w:right w:w="0" w:type="dxa"/>
          </w:tblCellMar>
        </w:tblPrEx>
        <w:trPr>
          <w:trHeight w:val="534" w:hRule="atLeast"/>
          <w:jc w:val="center"/>
        </w:trPr>
        <w:tc>
          <w:tcPr>
            <w:tcW w:w="2135"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6" w:hanging="316"/>
              <w:jc w:val="left"/>
              <w:rPr>
                <w:rFonts w:hint="eastAsia" w:ascii="仿宋" w:hAnsi="仿宋" w:eastAsia="仿宋" w:cs="微软雅黑"/>
                <w:color w:val="010101"/>
                <w:szCs w:val="21"/>
              </w:rPr>
            </w:pPr>
            <w:r>
              <w:rPr>
                <w:rFonts w:hint="eastAsia" w:ascii="仿宋" w:hAnsi="仿宋" w:eastAsia="仿宋" w:cs="宋体"/>
                <w:b/>
                <w:color w:val="010101"/>
                <w:kern w:val="0"/>
                <w:szCs w:val="21"/>
                <w:lang w:bidi="ar"/>
              </w:rPr>
              <w:t>收入预算</w:t>
            </w:r>
          </w:p>
        </w:tc>
        <w:tc>
          <w:tcPr>
            <w:tcW w:w="143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color w:val="010101"/>
                <w:kern w:val="2"/>
                <w:sz w:val="21"/>
                <w:szCs w:val="21"/>
                <w:lang w:val="en-US" w:eastAsia="zh-CN" w:bidi="ar-SA"/>
              </w:rPr>
            </w:pPr>
            <w:r>
              <w:rPr>
                <w:rFonts w:hint="eastAsia" w:ascii="仿宋" w:hAnsi="仿宋" w:eastAsia="仿宋" w:cs="微软雅黑"/>
                <w:color w:val="010101"/>
                <w:kern w:val="2"/>
                <w:sz w:val="21"/>
                <w:szCs w:val="21"/>
                <w:lang w:val="en-US" w:eastAsia="zh-CN" w:bidi="ar-SA"/>
              </w:rPr>
              <w:t>2915.9076</w:t>
            </w:r>
          </w:p>
        </w:tc>
        <w:tc>
          <w:tcPr>
            <w:tcW w:w="1500"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Cs w:val="21"/>
              </w:rPr>
              <w:t>2653.80</w:t>
            </w:r>
          </w:p>
        </w:tc>
        <w:tc>
          <w:tcPr>
            <w:tcW w:w="177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right="126"/>
              <w:jc w:val="center"/>
              <w:rPr>
                <w:rFonts w:hint="default" w:ascii="仿宋" w:hAnsi="仿宋" w:eastAsia="仿宋" w:cs="微软雅黑"/>
                <w:color w:val="010101"/>
                <w:szCs w:val="21"/>
                <w:lang w:val="en-US" w:eastAsia="zh-CN"/>
              </w:rPr>
            </w:pPr>
            <w:r>
              <w:rPr>
                <w:rFonts w:hint="eastAsia" w:ascii="仿宋" w:hAnsi="仿宋" w:eastAsia="仿宋" w:cs="微软雅黑"/>
                <w:color w:val="010101"/>
                <w:sz w:val="18"/>
                <w:szCs w:val="18"/>
                <w:lang w:eastAsia="zh-CN"/>
              </w:rPr>
              <w:t>增加</w:t>
            </w:r>
            <w:r>
              <w:rPr>
                <w:rFonts w:hint="eastAsia" w:ascii="仿宋" w:hAnsi="仿宋" w:eastAsia="仿宋" w:cs="微软雅黑"/>
                <w:color w:val="010101"/>
                <w:sz w:val="18"/>
                <w:szCs w:val="18"/>
                <w:lang w:val="en-US" w:eastAsia="zh-CN"/>
              </w:rPr>
              <w:t>262.1076</w:t>
            </w:r>
          </w:p>
        </w:tc>
        <w:tc>
          <w:tcPr>
            <w:tcW w:w="184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微软雅黑"/>
                <w:color w:val="010101"/>
                <w:szCs w:val="21"/>
                <w:lang w:val="en-US" w:eastAsia="zh-CN"/>
              </w:rPr>
            </w:pPr>
            <w:r>
              <w:rPr>
                <w:rFonts w:hint="eastAsia" w:ascii="仿宋" w:hAnsi="仿宋" w:eastAsia="仿宋" w:cs="微软雅黑"/>
                <w:color w:val="010101"/>
                <w:szCs w:val="21"/>
                <w:lang w:val="en-US" w:eastAsia="zh-CN"/>
              </w:rPr>
              <w:t>增加9.88%</w:t>
            </w:r>
          </w:p>
        </w:tc>
      </w:tr>
      <w:tr>
        <w:tblPrEx>
          <w:tblCellMar>
            <w:top w:w="0" w:type="dxa"/>
            <w:left w:w="0" w:type="dxa"/>
            <w:bottom w:w="0" w:type="dxa"/>
            <w:right w:w="0" w:type="dxa"/>
          </w:tblCellMar>
        </w:tblPrEx>
        <w:trPr>
          <w:trHeight w:val="534" w:hRule="atLeast"/>
          <w:jc w:val="center"/>
        </w:trPr>
        <w:tc>
          <w:tcPr>
            <w:tcW w:w="2135"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left"/>
              <w:rPr>
                <w:rFonts w:hint="eastAsia" w:ascii="仿宋" w:hAnsi="仿宋" w:eastAsia="仿宋" w:cs="微软雅黑"/>
                <w:color w:val="010101"/>
                <w:szCs w:val="21"/>
              </w:rPr>
            </w:pPr>
            <w:r>
              <w:rPr>
                <w:rFonts w:hint="eastAsia" w:ascii="仿宋" w:hAnsi="仿宋" w:eastAsia="仿宋" w:cs="宋体"/>
                <w:color w:val="010101"/>
                <w:kern w:val="0"/>
                <w:szCs w:val="21"/>
                <w:lang w:bidi="ar"/>
              </w:rPr>
              <w:t>其中：财政经费拨款</w:t>
            </w:r>
          </w:p>
        </w:tc>
        <w:tc>
          <w:tcPr>
            <w:tcW w:w="143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color w:val="010101"/>
                <w:kern w:val="2"/>
                <w:sz w:val="21"/>
                <w:szCs w:val="21"/>
                <w:lang w:val="en-US" w:eastAsia="zh-CN" w:bidi="ar-SA"/>
              </w:rPr>
            </w:pPr>
            <w:r>
              <w:rPr>
                <w:rFonts w:hint="eastAsia" w:ascii="仿宋" w:hAnsi="仿宋" w:eastAsia="仿宋" w:cs="微软雅黑"/>
                <w:color w:val="010101"/>
                <w:kern w:val="2"/>
                <w:sz w:val="21"/>
                <w:szCs w:val="21"/>
                <w:lang w:val="en-US" w:eastAsia="zh-CN" w:bidi="ar-SA"/>
              </w:rPr>
              <w:t>2915.9076</w:t>
            </w:r>
          </w:p>
        </w:tc>
        <w:tc>
          <w:tcPr>
            <w:tcW w:w="1500"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Cs w:val="21"/>
              </w:rPr>
              <w:t>2653.80</w:t>
            </w:r>
          </w:p>
        </w:tc>
        <w:tc>
          <w:tcPr>
            <w:tcW w:w="177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270" w:leftChars="0" w:right="126" w:rightChars="0" w:hanging="270"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 w:val="18"/>
                <w:szCs w:val="18"/>
                <w:lang w:eastAsia="zh-CN"/>
              </w:rPr>
              <w:t>增加</w:t>
            </w:r>
            <w:r>
              <w:rPr>
                <w:rFonts w:hint="eastAsia" w:ascii="仿宋" w:hAnsi="仿宋" w:eastAsia="仿宋" w:cs="微软雅黑"/>
                <w:color w:val="010101"/>
                <w:sz w:val="18"/>
                <w:szCs w:val="18"/>
                <w:lang w:val="en-US" w:eastAsia="zh-CN"/>
              </w:rPr>
              <w:t>262.1076</w:t>
            </w:r>
          </w:p>
        </w:tc>
        <w:tc>
          <w:tcPr>
            <w:tcW w:w="184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Cs w:val="21"/>
                <w:lang w:val="en-US" w:eastAsia="zh-CN"/>
              </w:rPr>
              <w:t>增加9.88%</w:t>
            </w:r>
          </w:p>
        </w:tc>
      </w:tr>
      <w:tr>
        <w:tblPrEx>
          <w:tblCellMar>
            <w:top w:w="0" w:type="dxa"/>
            <w:left w:w="0" w:type="dxa"/>
            <w:bottom w:w="0" w:type="dxa"/>
            <w:right w:w="0" w:type="dxa"/>
          </w:tblCellMar>
        </w:tblPrEx>
        <w:trPr>
          <w:trHeight w:val="534" w:hRule="atLeast"/>
          <w:jc w:val="center"/>
        </w:trPr>
        <w:tc>
          <w:tcPr>
            <w:tcW w:w="2135"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6" w:hanging="316"/>
              <w:jc w:val="left"/>
              <w:rPr>
                <w:rFonts w:hint="eastAsia" w:ascii="仿宋" w:hAnsi="仿宋" w:eastAsia="仿宋" w:cs="微软雅黑"/>
                <w:color w:val="010101"/>
                <w:szCs w:val="21"/>
              </w:rPr>
            </w:pPr>
            <w:r>
              <w:rPr>
                <w:rFonts w:hint="eastAsia" w:ascii="仿宋" w:hAnsi="仿宋" w:eastAsia="仿宋" w:cs="宋体"/>
                <w:b/>
                <w:color w:val="010101"/>
                <w:kern w:val="0"/>
                <w:szCs w:val="21"/>
                <w:lang w:bidi="ar"/>
              </w:rPr>
              <w:t>支出预算</w:t>
            </w:r>
          </w:p>
        </w:tc>
        <w:tc>
          <w:tcPr>
            <w:tcW w:w="143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color w:val="010101"/>
                <w:kern w:val="2"/>
                <w:sz w:val="21"/>
                <w:szCs w:val="21"/>
                <w:lang w:val="en-US" w:eastAsia="zh-CN" w:bidi="ar-SA"/>
              </w:rPr>
            </w:pPr>
            <w:r>
              <w:rPr>
                <w:rFonts w:hint="eastAsia" w:ascii="仿宋" w:hAnsi="仿宋" w:eastAsia="仿宋" w:cs="微软雅黑"/>
                <w:color w:val="010101"/>
                <w:kern w:val="2"/>
                <w:sz w:val="21"/>
                <w:szCs w:val="21"/>
                <w:lang w:val="en-US" w:eastAsia="zh-CN" w:bidi="ar-SA"/>
              </w:rPr>
              <w:t>2915.9076</w:t>
            </w:r>
          </w:p>
        </w:tc>
        <w:tc>
          <w:tcPr>
            <w:tcW w:w="1500"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color w:val="010101"/>
                <w:kern w:val="2"/>
                <w:sz w:val="21"/>
                <w:szCs w:val="21"/>
                <w:lang w:val="en-US" w:eastAsia="zh-CN" w:bidi="ar-SA"/>
              </w:rPr>
            </w:pPr>
            <w:r>
              <w:rPr>
                <w:rFonts w:hint="eastAsia" w:ascii="仿宋" w:hAnsi="仿宋" w:eastAsia="仿宋" w:cs="微软雅黑"/>
                <w:color w:val="010101"/>
                <w:kern w:val="2"/>
                <w:sz w:val="21"/>
                <w:szCs w:val="21"/>
                <w:lang w:val="en-US" w:eastAsia="zh-CN" w:bidi="ar-SA"/>
              </w:rPr>
              <w:t>2653.80</w:t>
            </w:r>
          </w:p>
        </w:tc>
        <w:tc>
          <w:tcPr>
            <w:tcW w:w="177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270" w:leftChars="0" w:right="126" w:rightChars="0" w:hanging="270"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 w:val="18"/>
                <w:szCs w:val="18"/>
                <w:lang w:eastAsia="zh-CN"/>
              </w:rPr>
              <w:t>增加</w:t>
            </w:r>
            <w:r>
              <w:rPr>
                <w:rFonts w:hint="eastAsia" w:ascii="仿宋" w:hAnsi="仿宋" w:eastAsia="仿宋" w:cs="微软雅黑"/>
                <w:color w:val="010101"/>
                <w:sz w:val="18"/>
                <w:szCs w:val="18"/>
                <w:lang w:val="en-US" w:eastAsia="zh-CN"/>
              </w:rPr>
              <w:t>262.1076</w:t>
            </w:r>
          </w:p>
        </w:tc>
        <w:tc>
          <w:tcPr>
            <w:tcW w:w="184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Cs w:val="21"/>
                <w:lang w:val="en-US" w:eastAsia="zh-CN"/>
              </w:rPr>
              <w:t>增加9.88%</w:t>
            </w:r>
          </w:p>
        </w:tc>
      </w:tr>
      <w:tr>
        <w:tblPrEx>
          <w:tblCellMar>
            <w:top w:w="0" w:type="dxa"/>
            <w:left w:w="0" w:type="dxa"/>
            <w:bottom w:w="0" w:type="dxa"/>
            <w:right w:w="0" w:type="dxa"/>
          </w:tblCellMar>
        </w:tblPrEx>
        <w:trPr>
          <w:trHeight w:val="534" w:hRule="atLeast"/>
          <w:jc w:val="center"/>
        </w:trPr>
        <w:tc>
          <w:tcPr>
            <w:tcW w:w="2135"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left"/>
              <w:rPr>
                <w:rFonts w:hint="eastAsia" w:ascii="仿宋" w:hAnsi="仿宋" w:eastAsia="仿宋" w:cs="微软雅黑"/>
                <w:color w:val="010101"/>
                <w:szCs w:val="21"/>
              </w:rPr>
            </w:pPr>
            <w:r>
              <w:rPr>
                <w:rFonts w:hint="eastAsia" w:ascii="仿宋" w:hAnsi="仿宋" w:eastAsia="仿宋" w:cs="宋体"/>
                <w:color w:val="010101"/>
                <w:kern w:val="0"/>
                <w:szCs w:val="21"/>
                <w:lang w:bidi="ar"/>
              </w:rPr>
              <w:t>其中：基本支出</w:t>
            </w:r>
          </w:p>
        </w:tc>
        <w:tc>
          <w:tcPr>
            <w:tcW w:w="143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kern w:val="2"/>
                <w:sz w:val="21"/>
                <w:szCs w:val="21"/>
                <w:lang w:val="en-US" w:eastAsia="zh-CN" w:bidi="ar-SA"/>
              </w:rPr>
            </w:pPr>
            <w:r>
              <w:rPr>
                <w:rFonts w:hint="eastAsia" w:ascii="仿宋" w:hAnsi="仿宋" w:eastAsia="仿宋" w:cs="微软雅黑"/>
                <w:kern w:val="2"/>
                <w:sz w:val="21"/>
                <w:szCs w:val="21"/>
                <w:lang w:val="en-US" w:eastAsia="zh-CN" w:bidi="ar-SA"/>
              </w:rPr>
              <w:t>1747.9076</w:t>
            </w:r>
          </w:p>
        </w:tc>
        <w:tc>
          <w:tcPr>
            <w:tcW w:w="1500"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eastAsia" w:ascii="仿宋" w:hAnsi="仿宋" w:eastAsia="仿宋" w:cs="微软雅黑"/>
                <w:kern w:val="2"/>
                <w:sz w:val="21"/>
                <w:szCs w:val="21"/>
                <w:lang w:val="en-US" w:eastAsia="zh-CN" w:bidi="ar-SA"/>
              </w:rPr>
            </w:pPr>
            <w:r>
              <w:rPr>
                <w:rFonts w:hint="eastAsia" w:ascii="仿宋" w:hAnsi="仿宋" w:eastAsia="仿宋" w:cs="微软雅黑"/>
                <w:szCs w:val="21"/>
              </w:rPr>
              <w:t>2153.80</w:t>
            </w:r>
          </w:p>
        </w:tc>
        <w:tc>
          <w:tcPr>
            <w:tcW w:w="177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right="126" w:hanging="315"/>
              <w:jc w:val="right"/>
              <w:rPr>
                <w:rFonts w:hint="default" w:ascii="仿宋" w:hAnsi="仿宋" w:eastAsia="仿宋" w:cs="微软雅黑"/>
                <w:color w:val="010101"/>
                <w:szCs w:val="21"/>
                <w:lang w:val="en-US" w:eastAsia="zh-CN"/>
              </w:rPr>
            </w:pPr>
            <w:r>
              <w:rPr>
                <w:rFonts w:hint="eastAsia" w:ascii="仿宋" w:hAnsi="仿宋" w:eastAsia="仿宋" w:cs="微软雅黑"/>
                <w:color w:val="010101"/>
                <w:sz w:val="18"/>
                <w:szCs w:val="18"/>
                <w:lang w:eastAsia="zh-CN"/>
              </w:rPr>
              <w:t>减少</w:t>
            </w:r>
            <w:r>
              <w:rPr>
                <w:rFonts w:hint="eastAsia" w:ascii="仿宋" w:hAnsi="仿宋" w:eastAsia="仿宋" w:cs="微软雅黑"/>
                <w:color w:val="010101"/>
                <w:sz w:val="18"/>
                <w:szCs w:val="18"/>
                <w:lang w:val="en-US" w:eastAsia="zh-CN"/>
              </w:rPr>
              <w:t>405.8924</w:t>
            </w:r>
          </w:p>
        </w:tc>
        <w:tc>
          <w:tcPr>
            <w:tcW w:w="184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微软雅黑"/>
                <w:color w:val="010101"/>
                <w:szCs w:val="21"/>
                <w:lang w:val="en-US" w:eastAsia="zh-CN"/>
              </w:rPr>
            </w:pPr>
            <w:r>
              <w:rPr>
                <w:rFonts w:hint="eastAsia" w:ascii="仿宋" w:hAnsi="仿宋" w:eastAsia="仿宋" w:cs="微软雅黑"/>
                <w:color w:val="010101"/>
                <w:szCs w:val="21"/>
                <w:lang w:eastAsia="zh-CN"/>
              </w:rPr>
              <w:t>减少</w:t>
            </w:r>
            <w:r>
              <w:rPr>
                <w:rFonts w:hint="eastAsia" w:ascii="仿宋" w:hAnsi="仿宋" w:eastAsia="仿宋" w:cs="微软雅黑"/>
                <w:color w:val="010101"/>
                <w:szCs w:val="21"/>
                <w:lang w:val="en-US" w:eastAsia="zh-CN"/>
              </w:rPr>
              <w:t>18.85%</w:t>
            </w:r>
          </w:p>
        </w:tc>
      </w:tr>
      <w:tr>
        <w:tblPrEx>
          <w:tblCellMar>
            <w:top w:w="0" w:type="dxa"/>
            <w:left w:w="0" w:type="dxa"/>
            <w:bottom w:w="0" w:type="dxa"/>
            <w:right w:w="0" w:type="dxa"/>
          </w:tblCellMar>
        </w:tblPrEx>
        <w:trPr>
          <w:trHeight w:val="512" w:hRule="atLeast"/>
          <w:jc w:val="center"/>
        </w:trPr>
        <w:tc>
          <w:tcPr>
            <w:tcW w:w="2135" w:type="dxa"/>
            <w:tcBorders>
              <w:top w:val="nil"/>
              <w:left w:val="single" w:color="auto" w:sz="8" w:space="0"/>
              <w:bottom w:val="single" w:color="auto" w:sz="4" w:space="0"/>
              <w:right w:val="single" w:color="auto" w:sz="8" w:space="0"/>
            </w:tcBorders>
            <w:noWrap w:val="0"/>
            <w:tcMar>
              <w:left w:w="108" w:type="dxa"/>
              <w:right w:w="108" w:type="dxa"/>
            </w:tcMar>
            <w:vAlign w:val="center"/>
          </w:tcPr>
          <w:p>
            <w:pPr>
              <w:widowControl/>
              <w:snapToGrid w:val="0"/>
              <w:spacing w:line="600" w:lineRule="exact"/>
              <w:ind w:left="315" w:hanging="315"/>
              <w:jc w:val="left"/>
              <w:rPr>
                <w:rFonts w:hint="eastAsia" w:ascii="仿宋" w:hAnsi="仿宋" w:eastAsia="仿宋" w:cs="微软雅黑"/>
                <w:color w:val="010101"/>
                <w:szCs w:val="21"/>
              </w:rPr>
            </w:pPr>
            <w:r>
              <w:rPr>
                <w:rFonts w:hint="eastAsia" w:ascii="仿宋" w:hAnsi="仿宋" w:eastAsia="仿宋" w:cs="宋体"/>
                <w:color w:val="010101"/>
                <w:kern w:val="0"/>
                <w:szCs w:val="21"/>
                <w:lang w:bidi="ar"/>
              </w:rPr>
              <w:t>其中：项目支出</w:t>
            </w:r>
          </w:p>
        </w:tc>
        <w:tc>
          <w:tcPr>
            <w:tcW w:w="1433" w:type="dxa"/>
            <w:tcBorders>
              <w:top w:val="nil"/>
              <w:left w:val="nil"/>
              <w:bottom w:val="single" w:color="auto" w:sz="4"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default" w:ascii="仿宋" w:hAnsi="仿宋" w:eastAsia="仿宋" w:cs="微软雅黑"/>
                <w:color w:val="010101"/>
                <w:kern w:val="2"/>
                <w:sz w:val="21"/>
                <w:szCs w:val="21"/>
                <w:lang w:val="en-US" w:eastAsia="zh-CN" w:bidi="ar-SA"/>
              </w:rPr>
            </w:pPr>
            <w:r>
              <w:rPr>
                <w:rFonts w:hint="eastAsia" w:ascii="仿宋" w:hAnsi="仿宋" w:eastAsia="仿宋" w:cs="微软雅黑"/>
                <w:color w:val="010101"/>
                <w:kern w:val="2"/>
                <w:sz w:val="21"/>
                <w:szCs w:val="21"/>
                <w:lang w:val="en-US" w:eastAsia="zh-CN" w:bidi="ar-SA"/>
              </w:rPr>
              <w:t>1168</w:t>
            </w:r>
          </w:p>
        </w:tc>
        <w:tc>
          <w:tcPr>
            <w:tcW w:w="1500" w:type="dxa"/>
            <w:tcBorders>
              <w:top w:val="nil"/>
              <w:left w:val="nil"/>
              <w:bottom w:val="single" w:color="auto" w:sz="4" w:space="0"/>
              <w:right w:val="single" w:color="auto" w:sz="8" w:space="0"/>
            </w:tcBorders>
            <w:noWrap w:val="0"/>
            <w:tcMar>
              <w:left w:w="108" w:type="dxa"/>
              <w:right w:w="108" w:type="dxa"/>
            </w:tcMar>
            <w:vAlign w:val="center"/>
          </w:tcPr>
          <w:p>
            <w:pPr>
              <w:widowControl/>
              <w:snapToGrid w:val="0"/>
              <w:spacing w:line="600" w:lineRule="exact"/>
              <w:ind w:left="315" w:leftChars="0" w:right="126" w:rightChars="0" w:hanging="315" w:hangingChars="150"/>
              <w:jc w:val="center"/>
              <w:rPr>
                <w:rFonts w:hint="eastAsia" w:ascii="仿宋" w:hAnsi="仿宋" w:eastAsia="仿宋" w:cs="微软雅黑"/>
                <w:color w:val="010101"/>
                <w:kern w:val="2"/>
                <w:sz w:val="21"/>
                <w:szCs w:val="21"/>
                <w:lang w:val="en-US" w:eastAsia="zh-CN" w:bidi="ar-SA"/>
              </w:rPr>
            </w:pPr>
            <w:r>
              <w:rPr>
                <w:rFonts w:hint="eastAsia" w:ascii="仿宋" w:hAnsi="仿宋" w:eastAsia="仿宋" w:cs="微软雅黑"/>
                <w:color w:val="010101"/>
                <w:szCs w:val="21"/>
              </w:rPr>
              <w:t>500</w:t>
            </w:r>
          </w:p>
        </w:tc>
        <w:tc>
          <w:tcPr>
            <w:tcW w:w="1771" w:type="dxa"/>
            <w:tcBorders>
              <w:top w:val="nil"/>
              <w:left w:val="nil"/>
              <w:bottom w:val="single" w:color="auto" w:sz="4" w:space="0"/>
              <w:right w:val="single" w:color="auto" w:sz="8" w:space="0"/>
            </w:tcBorders>
            <w:noWrap w:val="0"/>
            <w:tcMar>
              <w:left w:w="108" w:type="dxa"/>
              <w:right w:w="108" w:type="dxa"/>
            </w:tcMar>
            <w:vAlign w:val="center"/>
          </w:tcPr>
          <w:p>
            <w:pPr>
              <w:widowControl/>
              <w:snapToGrid w:val="0"/>
              <w:spacing w:line="600" w:lineRule="exact"/>
              <w:ind w:left="315" w:right="126" w:hanging="315"/>
              <w:jc w:val="right"/>
              <w:rPr>
                <w:rFonts w:hint="default" w:ascii="仿宋" w:hAnsi="仿宋" w:eastAsia="仿宋" w:cs="微软雅黑"/>
                <w:color w:val="010101"/>
                <w:szCs w:val="21"/>
                <w:lang w:val="en-US" w:eastAsia="zh-CN"/>
              </w:rPr>
            </w:pPr>
            <w:r>
              <w:rPr>
                <w:rFonts w:hint="eastAsia" w:ascii="仿宋" w:hAnsi="仿宋" w:eastAsia="仿宋" w:cs="微软雅黑"/>
                <w:color w:val="010101"/>
                <w:szCs w:val="21"/>
                <w:lang w:val="en-US" w:eastAsia="zh-CN"/>
              </w:rPr>
              <w:t>增加668</w:t>
            </w:r>
          </w:p>
        </w:tc>
        <w:tc>
          <w:tcPr>
            <w:tcW w:w="1841" w:type="dxa"/>
            <w:tcBorders>
              <w:top w:val="nil"/>
              <w:left w:val="nil"/>
              <w:bottom w:val="single" w:color="auto" w:sz="4"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微软雅黑"/>
                <w:color w:val="010101"/>
                <w:szCs w:val="21"/>
                <w:lang w:val="en-US" w:eastAsia="zh-CN"/>
              </w:rPr>
            </w:pPr>
            <w:r>
              <w:rPr>
                <w:rFonts w:hint="eastAsia" w:ascii="仿宋" w:hAnsi="仿宋" w:eastAsia="仿宋" w:cs="微软雅黑"/>
                <w:color w:val="010101"/>
                <w:szCs w:val="21"/>
                <w:lang w:eastAsia="zh-CN"/>
              </w:rPr>
              <w:t>增加</w:t>
            </w:r>
            <w:r>
              <w:rPr>
                <w:rFonts w:hint="eastAsia" w:ascii="仿宋" w:hAnsi="仿宋" w:eastAsia="仿宋" w:cs="微软雅黑"/>
                <w:color w:val="010101"/>
                <w:szCs w:val="21"/>
                <w:lang w:val="en-US" w:eastAsia="zh-CN"/>
              </w:rPr>
              <w:t>133.6%</w:t>
            </w:r>
          </w:p>
        </w:tc>
      </w:tr>
    </w:tbl>
    <w:p>
      <w:pPr>
        <w:keepNext w:val="0"/>
        <w:keepLines w:val="0"/>
        <w:pageBreakBefore w:val="0"/>
        <w:widowControl w:val="0"/>
        <w:kinsoku/>
        <w:wordWrap/>
        <w:overflowPunct/>
        <w:topLinePunct w:val="0"/>
        <w:autoSpaceDE/>
        <w:autoSpaceDN/>
        <w:bidi w:val="0"/>
        <w:adjustRightInd w:val="0"/>
        <w:snapToGrid w:val="0"/>
        <w:spacing w:line="600" w:lineRule="exact"/>
        <w:ind w:left="0" w:firstLine="480" w:firstLineChars="150"/>
        <w:textAlignment w:val="auto"/>
        <w:rPr>
          <w:rFonts w:hint="default" w:ascii="仿宋" w:hAnsi="仿宋" w:eastAsia="仿宋"/>
          <w:sz w:val="32"/>
          <w:szCs w:val="32"/>
          <w:lang w:val="en-US" w:eastAsia="zh-CN"/>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年基本支出比20</w:t>
      </w:r>
      <w:r>
        <w:rPr>
          <w:rFonts w:hint="eastAsia" w:ascii="仿宋" w:hAnsi="仿宋" w:eastAsia="仿宋"/>
          <w:sz w:val="32"/>
          <w:szCs w:val="32"/>
          <w:lang w:val="en-US" w:eastAsia="zh-CN"/>
        </w:rPr>
        <w:t>19</w:t>
      </w:r>
      <w:r>
        <w:rPr>
          <w:rFonts w:hint="eastAsia" w:ascii="仿宋" w:hAnsi="仿宋" w:eastAsia="仿宋"/>
          <w:sz w:val="32"/>
          <w:szCs w:val="32"/>
        </w:rPr>
        <w:t>年</w:t>
      </w:r>
      <w:r>
        <w:rPr>
          <w:rFonts w:hint="eastAsia" w:ascii="仿宋" w:hAnsi="仿宋" w:eastAsia="仿宋"/>
          <w:sz w:val="32"/>
          <w:szCs w:val="32"/>
          <w:lang w:eastAsia="zh-CN"/>
        </w:rPr>
        <w:t>基本</w:t>
      </w:r>
      <w:r>
        <w:rPr>
          <w:rFonts w:hint="eastAsia" w:ascii="仿宋" w:hAnsi="仿宋" w:eastAsia="仿宋"/>
          <w:sz w:val="32"/>
          <w:szCs w:val="32"/>
        </w:rPr>
        <w:t>支出</w:t>
      </w:r>
      <w:r>
        <w:rPr>
          <w:rFonts w:hint="eastAsia" w:ascii="仿宋" w:hAnsi="仿宋" w:eastAsia="仿宋"/>
          <w:sz w:val="32"/>
          <w:szCs w:val="32"/>
          <w:lang w:eastAsia="zh-CN"/>
        </w:rPr>
        <w:t>减少了</w:t>
      </w:r>
      <w:r>
        <w:rPr>
          <w:rFonts w:hint="eastAsia" w:ascii="仿宋" w:hAnsi="仿宋" w:eastAsia="仿宋"/>
          <w:sz w:val="32"/>
          <w:szCs w:val="32"/>
          <w:lang w:val="en-US" w:eastAsia="zh-CN"/>
        </w:rPr>
        <w:t>405.8924</w:t>
      </w:r>
      <w:r>
        <w:rPr>
          <w:rFonts w:hint="eastAsia" w:ascii="仿宋" w:hAnsi="仿宋" w:eastAsia="仿宋"/>
          <w:sz w:val="32"/>
          <w:szCs w:val="32"/>
        </w:rPr>
        <w:t>万元，原因是</w:t>
      </w:r>
      <w:r>
        <w:rPr>
          <w:rFonts w:hint="eastAsia" w:ascii="仿宋" w:hAnsi="仿宋" w:eastAsia="仿宋"/>
          <w:sz w:val="32"/>
          <w:szCs w:val="32"/>
          <w:lang w:eastAsia="zh-CN"/>
        </w:rPr>
        <w:t>厉行节约，压缩了日常公用经费；项目支出增加了</w:t>
      </w:r>
      <w:r>
        <w:rPr>
          <w:rFonts w:hint="eastAsia" w:ascii="仿宋" w:hAnsi="仿宋" w:eastAsia="仿宋"/>
          <w:sz w:val="32"/>
          <w:szCs w:val="32"/>
          <w:lang w:val="en-US" w:eastAsia="zh-CN"/>
        </w:rPr>
        <w:t>668万元，原因是把省补替代性转移支付资金分散到了财政预算各个项目中统筹安排。</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2.财政预算整体支出使用范围、方向和内容</w:t>
      </w:r>
    </w:p>
    <w:tbl>
      <w:tblPr>
        <w:tblStyle w:val="6"/>
        <w:tblW w:w="0" w:type="auto"/>
        <w:jc w:val="center"/>
        <w:tblLayout w:type="fixed"/>
        <w:tblCellMar>
          <w:top w:w="0" w:type="dxa"/>
          <w:left w:w="0" w:type="dxa"/>
          <w:bottom w:w="0" w:type="dxa"/>
          <w:right w:w="0" w:type="dxa"/>
        </w:tblCellMar>
      </w:tblPr>
      <w:tblGrid>
        <w:gridCol w:w="2859"/>
        <w:gridCol w:w="1748"/>
        <w:gridCol w:w="1331"/>
        <w:gridCol w:w="2379"/>
      </w:tblGrid>
      <w:tr>
        <w:tblPrEx>
          <w:tblCellMar>
            <w:top w:w="0" w:type="dxa"/>
            <w:left w:w="0" w:type="dxa"/>
            <w:bottom w:w="0" w:type="dxa"/>
            <w:right w:w="0" w:type="dxa"/>
          </w:tblCellMar>
        </w:tblPrEx>
        <w:trPr>
          <w:trHeight w:val="276" w:hRule="atLeast"/>
          <w:jc w:val="center"/>
        </w:trPr>
        <w:tc>
          <w:tcPr>
            <w:tcW w:w="2859" w:type="dxa"/>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支出项目</w:t>
            </w:r>
          </w:p>
        </w:tc>
        <w:tc>
          <w:tcPr>
            <w:tcW w:w="1748"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基本支出</w:t>
            </w:r>
          </w:p>
        </w:tc>
        <w:tc>
          <w:tcPr>
            <w:tcW w:w="1331"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项目支出</w:t>
            </w:r>
          </w:p>
        </w:tc>
        <w:tc>
          <w:tcPr>
            <w:tcW w:w="2379"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合计</w:t>
            </w:r>
          </w:p>
        </w:tc>
      </w:tr>
      <w:tr>
        <w:tblPrEx>
          <w:tblCellMar>
            <w:top w:w="0" w:type="dxa"/>
            <w:left w:w="0" w:type="dxa"/>
            <w:bottom w:w="0" w:type="dxa"/>
            <w:right w:w="0" w:type="dxa"/>
          </w:tblCellMar>
        </w:tblPrEx>
        <w:trPr>
          <w:trHeight w:val="437" w:hRule="atLeast"/>
          <w:jc w:val="center"/>
        </w:trPr>
        <w:tc>
          <w:tcPr>
            <w:tcW w:w="2859"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工资福利支出</w:t>
            </w:r>
          </w:p>
        </w:tc>
        <w:tc>
          <w:tcPr>
            <w:tcW w:w="174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1530.0806</w:t>
            </w:r>
          </w:p>
        </w:tc>
        <w:tc>
          <w:tcPr>
            <w:tcW w:w="133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p>
        </w:tc>
        <w:tc>
          <w:tcPr>
            <w:tcW w:w="237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eastAsia" w:ascii="仿宋" w:hAnsi="仿宋" w:eastAsia="仿宋" w:cs="宋体"/>
                <w:bCs/>
                <w:color w:val="000000"/>
                <w:kern w:val="0"/>
                <w:sz w:val="21"/>
                <w:szCs w:val="21"/>
                <w:lang w:val="en-US" w:eastAsia="zh-CN" w:bidi="ar"/>
              </w:rPr>
            </w:pPr>
            <w:r>
              <w:rPr>
                <w:rFonts w:hint="eastAsia" w:ascii="仿宋" w:hAnsi="仿宋" w:eastAsia="仿宋" w:cs="宋体"/>
                <w:bCs/>
                <w:color w:val="000000"/>
                <w:kern w:val="0"/>
                <w:szCs w:val="21"/>
                <w:lang w:val="en-US" w:eastAsia="zh-CN" w:bidi="ar"/>
              </w:rPr>
              <w:t>1530.0806</w:t>
            </w:r>
          </w:p>
        </w:tc>
      </w:tr>
      <w:tr>
        <w:tblPrEx>
          <w:tblCellMar>
            <w:top w:w="0" w:type="dxa"/>
            <w:left w:w="0" w:type="dxa"/>
            <w:bottom w:w="0" w:type="dxa"/>
            <w:right w:w="0" w:type="dxa"/>
          </w:tblCellMar>
        </w:tblPrEx>
        <w:trPr>
          <w:trHeight w:val="437" w:hRule="atLeast"/>
          <w:jc w:val="center"/>
        </w:trPr>
        <w:tc>
          <w:tcPr>
            <w:tcW w:w="2859"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商品和服务支出</w:t>
            </w:r>
          </w:p>
        </w:tc>
        <w:tc>
          <w:tcPr>
            <w:tcW w:w="174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195.453</w:t>
            </w:r>
          </w:p>
        </w:tc>
        <w:tc>
          <w:tcPr>
            <w:tcW w:w="133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1168</w:t>
            </w:r>
          </w:p>
        </w:tc>
        <w:tc>
          <w:tcPr>
            <w:tcW w:w="237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default" w:ascii="仿宋" w:hAnsi="仿宋" w:eastAsia="仿宋" w:cs="宋体"/>
                <w:bCs/>
                <w:color w:val="000000"/>
                <w:kern w:val="0"/>
                <w:sz w:val="21"/>
                <w:szCs w:val="21"/>
                <w:lang w:val="en-US" w:eastAsia="zh-CN" w:bidi="ar"/>
              </w:rPr>
            </w:pPr>
            <w:r>
              <w:rPr>
                <w:rFonts w:hint="eastAsia" w:ascii="仿宋" w:hAnsi="仿宋" w:eastAsia="仿宋" w:cs="宋体"/>
                <w:bCs/>
                <w:color w:val="000000"/>
                <w:kern w:val="0"/>
                <w:szCs w:val="21"/>
                <w:lang w:val="en-US" w:eastAsia="zh-CN" w:bidi="ar"/>
              </w:rPr>
              <w:t>1363.453</w:t>
            </w:r>
          </w:p>
        </w:tc>
      </w:tr>
      <w:tr>
        <w:tblPrEx>
          <w:tblCellMar>
            <w:top w:w="0" w:type="dxa"/>
            <w:left w:w="0" w:type="dxa"/>
            <w:bottom w:w="0" w:type="dxa"/>
            <w:right w:w="0" w:type="dxa"/>
          </w:tblCellMar>
        </w:tblPrEx>
        <w:trPr>
          <w:trHeight w:val="437" w:hRule="atLeast"/>
          <w:jc w:val="center"/>
        </w:trPr>
        <w:tc>
          <w:tcPr>
            <w:tcW w:w="2859"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对个人和家庭的补助</w:t>
            </w:r>
          </w:p>
        </w:tc>
        <w:tc>
          <w:tcPr>
            <w:tcW w:w="174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22.374</w:t>
            </w:r>
          </w:p>
        </w:tc>
        <w:tc>
          <w:tcPr>
            <w:tcW w:w="1331"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p>
        </w:tc>
        <w:tc>
          <w:tcPr>
            <w:tcW w:w="237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eastAsia" w:ascii="仿宋" w:hAnsi="仿宋" w:eastAsia="仿宋" w:cs="宋体"/>
                <w:bCs/>
                <w:color w:val="000000"/>
                <w:kern w:val="0"/>
                <w:sz w:val="21"/>
                <w:szCs w:val="21"/>
                <w:lang w:val="en-US" w:eastAsia="zh-CN" w:bidi="ar"/>
              </w:rPr>
            </w:pPr>
            <w:r>
              <w:rPr>
                <w:rFonts w:hint="eastAsia" w:ascii="仿宋" w:hAnsi="仿宋" w:eastAsia="仿宋" w:cs="宋体"/>
                <w:bCs/>
                <w:color w:val="000000"/>
                <w:kern w:val="0"/>
                <w:szCs w:val="21"/>
                <w:lang w:val="en-US" w:eastAsia="zh-CN" w:bidi="ar"/>
              </w:rPr>
              <w:t>22.374</w:t>
            </w:r>
          </w:p>
        </w:tc>
      </w:tr>
      <w:tr>
        <w:tblPrEx>
          <w:tblCellMar>
            <w:top w:w="0" w:type="dxa"/>
            <w:left w:w="0" w:type="dxa"/>
            <w:bottom w:w="0" w:type="dxa"/>
            <w:right w:w="0" w:type="dxa"/>
          </w:tblCellMar>
        </w:tblPrEx>
        <w:trPr>
          <w:trHeight w:val="467" w:hRule="atLeast"/>
          <w:jc w:val="center"/>
        </w:trPr>
        <w:tc>
          <w:tcPr>
            <w:tcW w:w="2859" w:type="dxa"/>
            <w:tcBorders>
              <w:top w:val="nil"/>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合</w:t>
            </w:r>
            <w:r>
              <w:rPr>
                <w:rFonts w:hint="eastAsia" w:ascii="宋体" w:hAnsi="宋体" w:eastAsia="仿宋" w:cs="宋体"/>
                <w:bCs/>
                <w:color w:val="000000"/>
                <w:kern w:val="0"/>
                <w:szCs w:val="21"/>
                <w:lang w:bidi="ar"/>
              </w:rPr>
              <w:t> </w:t>
            </w:r>
            <w:r>
              <w:rPr>
                <w:rFonts w:hint="eastAsia" w:ascii="仿宋" w:hAnsi="仿宋" w:eastAsia="仿宋" w:cs="宋体"/>
                <w:bCs/>
                <w:color w:val="000000"/>
                <w:kern w:val="0"/>
                <w:szCs w:val="21"/>
                <w:lang w:bidi="ar"/>
              </w:rPr>
              <w:t>计</w:t>
            </w:r>
          </w:p>
        </w:tc>
        <w:tc>
          <w:tcPr>
            <w:tcW w:w="1748"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1747.9076</w:t>
            </w:r>
          </w:p>
        </w:tc>
        <w:tc>
          <w:tcPr>
            <w:tcW w:w="1331"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1168</w:t>
            </w:r>
          </w:p>
        </w:tc>
        <w:tc>
          <w:tcPr>
            <w:tcW w:w="2379"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eastAsia" w:ascii="仿宋" w:hAnsi="仿宋" w:eastAsia="仿宋" w:cs="宋体"/>
                <w:bCs/>
                <w:color w:val="000000"/>
                <w:kern w:val="0"/>
                <w:sz w:val="21"/>
                <w:szCs w:val="21"/>
                <w:lang w:val="en-US" w:eastAsia="zh-CN" w:bidi="ar"/>
              </w:rPr>
            </w:pPr>
            <w:r>
              <w:rPr>
                <w:rFonts w:hint="eastAsia" w:ascii="仿宋" w:hAnsi="仿宋" w:eastAsia="仿宋" w:cs="宋体"/>
                <w:bCs/>
                <w:color w:val="000000"/>
                <w:kern w:val="0"/>
                <w:szCs w:val="21"/>
                <w:lang w:val="en-US" w:eastAsia="zh-CN" w:bidi="ar"/>
              </w:rPr>
              <w:t>2915.9076</w:t>
            </w:r>
          </w:p>
        </w:tc>
      </w:tr>
    </w:tbl>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w:t>
      </w:r>
      <w:r>
        <w:rPr>
          <w:rFonts w:ascii="仿宋" w:hAnsi="仿宋" w:eastAsia="仿宋"/>
          <w:sz w:val="32"/>
          <w:szCs w:val="32"/>
        </w:rPr>
        <w:t>二</w:t>
      </w:r>
      <w:r>
        <w:rPr>
          <w:rFonts w:hint="eastAsia" w:ascii="仿宋" w:hAnsi="仿宋" w:eastAsia="仿宋"/>
          <w:sz w:val="32"/>
          <w:szCs w:val="32"/>
        </w:rPr>
        <w:t>）年度收支决算情况</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1.年度收入决算</w:t>
      </w:r>
    </w:p>
    <w:tbl>
      <w:tblPr>
        <w:tblStyle w:val="6"/>
        <w:tblW w:w="0" w:type="auto"/>
        <w:jc w:val="center"/>
        <w:tblLayout w:type="fixed"/>
        <w:tblCellMar>
          <w:top w:w="0" w:type="dxa"/>
          <w:left w:w="0" w:type="dxa"/>
          <w:bottom w:w="0" w:type="dxa"/>
          <w:right w:w="0" w:type="dxa"/>
        </w:tblCellMar>
      </w:tblPr>
      <w:tblGrid>
        <w:gridCol w:w="2063"/>
        <w:gridCol w:w="1693"/>
        <w:gridCol w:w="1820"/>
        <w:gridCol w:w="2264"/>
      </w:tblGrid>
      <w:tr>
        <w:tblPrEx>
          <w:tblCellMar>
            <w:top w:w="0" w:type="dxa"/>
            <w:left w:w="0" w:type="dxa"/>
            <w:bottom w:w="0" w:type="dxa"/>
            <w:right w:w="0" w:type="dxa"/>
          </w:tblCellMar>
        </w:tblPrEx>
        <w:trPr>
          <w:trHeight w:val="564" w:hRule="atLeast"/>
          <w:jc w:val="center"/>
        </w:trPr>
        <w:tc>
          <w:tcPr>
            <w:tcW w:w="2063" w:type="dxa"/>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收入来源</w:t>
            </w:r>
          </w:p>
        </w:tc>
        <w:tc>
          <w:tcPr>
            <w:tcW w:w="1693"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预算金额</w:t>
            </w:r>
          </w:p>
        </w:tc>
        <w:tc>
          <w:tcPr>
            <w:tcW w:w="1820"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决算金额</w:t>
            </w:r>
          </w:p>
        </w:tc>
        <w:tc>
          <w:tcPr>
            <w:tcW w:w="2264"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差额</w:t>
            </w:r>
          </w:p>
        </w:tc>
      </w:tr>
      <w:tr>
        <w:tblPrEx>
          <w:tblCellMar>
            <w:top w:w="0" w:type="dxa"/>
            <w:left w:w="0" w:type="dxa"/>
            <w:bottom w:w="0" w:type="dxa"/>
            <w:right w:w="0" w:type="dxa"/>
          </w:tblCellMar>
        </w:tblPrEx>
        <w:trPr>
          <w:trHeight w:val="599" w:hRule="atLeast"/>
          <w:jc w:val="center"/>
        </w:trPr>
        <w:tc>
          <w:tcPr>
            <w:tcW w:w="206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财政拨款收入</w:t>
            </w:r>
          </w:p>
        </w:tc>
        <w:tc>
          <w:tcPr>
            <w:tcW w:w="169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微软雅黑"/>
                <w:color w:val="010101"/>
                <w:kern w:val="2"/>
                <w:sz w:val="21"/>
                <w:szCs w:val="21"/>
                <w:lang w:val="en-US" w:eastAsia="zh-CN" w:bidi="ar-SA"/>
              </w:rPr>
              <w:t>2915.9076</w:t>
            </w:r>
          </w:p>
        </w:tc>
        <w:tc>
          <w:tcPr>
            <w:tcW w:w="1820"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5710.31</w:t>
            </w:r>
          </w:p>
        </w:tc>
        <w:tc>
          <w:tcPr>
            <w:tcW w:w="2264"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增加</w:t>
            </w:r>
            <w:r>
              <w:rPr>
                <w:rFonts w:hint="eastAsia" w:ascii="仿宋" w:hAnsi="仿宋" w:eastAsia="仿宋" w:cs="宋体"/>
                <w:bCs/>
                <w:color w:val="000000"/>
                <w:kern w:val="0"/>
                <w:szCs w:val="21"/>
                <w:lang w:val="en-US" w:eastAsia="zh-CN" w:bidi="ar"/>
              </w:rPr>
              <w:t>2794.4024</w:t>
            </w:r>
          </w:p>
        </w:tc>
      </w:tr>
    </w:tbl>
    <w:p>
      <w:pPr>
        <w:spacing w:line="640" w:lineRule="exact"/>
        <w:ind w:left="147" w:hanging="147" w:hangingChars="46"/>
        <w:rPr>
          <w:rFonts w:hint="eastAsia" w:ascii="仿宋" w:hAnsi="仿宋" w:eastAsia="仿宋"/>
          <w:color w:val="333333"/>
          <w:kern w:val="0"/>
          <w:sz w:val="32"/>
          <w:szCs w:val="32"/>
        </w:rPr>
      </w:pPr>
      <w:r>
        <w:rPr>
          <w:rFonts w:hint="eastAsia" w:ascii="仿宋" w:hAnsi="仿宋" w:eastAsia="仿宋"/>
          <w:color w:val="333333"/>
          <w:kern w:val="0"/>
          <w:sz w:val="32"/>
          <w:szCs w:val="32"/>
        </w:rPr>
        <w:t>增加的主要原因是：</w:t>
      </w:r>
    </w:p>
    <w:p>
      <w:pPr>
        <w:spacing w:line="640" w:lineRule="exact"/>
        <w:ind w:left="149" w:leftChars="71" w:firstLine="640" w:firstLineChars="200"/>
        <w:rPr>
          <w:rFonts w:hint="eastAsia" w:ascii="仿宋" w:hAnsi="仿宋" w:eastAsia="仿宋"/>
          <w:sz w:val="32"/>
          <w:szCs w:val="32"/>
          <w:lang w:eastAsia="zh-CN"/>
        </w:rPr>
      </w:pPr>
      <w:r>
        <w:rPr>
          <w:rFonts w:hint="eastAsia" w:ascii="仿宋" w:hAnsi="仿宋" w:eastAsia="仿宋"/>
          <w:sz w:val="32"/>
          <w:szCs w:val="32"/>
        </w:rPr>
        <w:t>（1）、20</w:t>
      </w:r>
      <w:r>
        <w:rPr>
          <w:rFonts w:hint="eastAsia" w:ascii="仿宋" w:hAnsi="仿宋" w:eastAsia="仿宋"/>
          <w:sz w:val="32"/>
          <w:szCs w:val="32"/>
          <w:lang w:val="en-US" w:eastAsia="zh-CN"/>
        </w:rPr>
        <w:t>20</w:t>
      </w:r>
      <w:r>
        <w:rPr>
          <w:rFonts w:hint="eastAsia" w:ascii="仿宋" w:hAnsi="仿宋" w:eastAsia="仿宋"/>
          <w:sz w:val="32"/>
          <w:szCs w:val="32"/>
        </w:rPr>
        <w:t>年新增加</w:t>
      </w:r>
      <w:r>
        <w:rPr>
          <w:rFonts w:hint="eastAsia" w:ascii="仿宋" w:hAnsi="仿宋" w:eastAsia="仿宋"/>
          <w:sz w:val="32"/>
          <w:szCs w:val="32"/>
          <w:lang w:eastAsia="zh-CN"/>
        </w:rPr>
        <w:t>了</w:t>
      </w:r>
      <w:r>
        <w:rPr>
          <w:rFonts w:hint="eastAsia" w:ascii="仿宋" w:hAnsi="仿宋" w:eastAsia="仿宋"/>
          <w:sz w:val="32"/>
          <w:szCs w:val="32"/>
        </w:rPr>
        <w:t>G207线大中修工程、干线公路安保工程项目</w:t>
      </w:r>
      <w:r>
        <w:rPr>
          <w:rFonts w:hint="eastAsia" w:ascii="仿宋" w:hAnsi="仿宋" w:eastAsia="仿宋"/>
          <w:sz w:val="32"/>
          <w:szCs w:val="32"/>
          <w:lang w:eastAsia="zh-CN"/>
        </w:rPr>
        <w:t>资金。</w:t>
      </w:r>
    </w:p>
    <w:p>
      <w:pPr>
        <w:spacing w:line="640" w:lineRule="exact"/>
        <w:ind w:firstLine="640" w:firstLineChars="200"/>
        <w:rPr>
          <w:rFonts w:hint="eastAsia" w:ascii="仿宋" w:hAnsi="仿宋" w:eastAsia="仿宋"/>
          <w:sz w:val="32"/>
          <w:szCs w:val="32"/>
        </w:rPr>
      </w:pPr>
      <w:r>
        <w:rPr>
          <w:rFonts w:hint="eastAsia" w:ascii="仿宋" w:hAnsi="仿宋" w:eastAsia="仿宋"/>
          <w:sz w:val="32"/>
          <w:szCs w:val="32"/>
        </w:rPr>
        <w:t>（2）、我单位工作业务增加（养护日常维修及油料、安保工程、G207线大中修工程、干线公路绿化工程等），下乡工作任务重，公车使用频繁，加之车辆使用年限久，车辆维修、油耗增加。</w:t>
      </w:r>
    </w:p>
    <w:p>
      <w:pPr>
        <w:spacing w:line="640" w:lineRule="exact"/>
        <w:ind w:firstLine="640" w:firstLineChars="200"/>
        <w:rPr>
          <w:rFonts w:hint="eastAsia" w:ascii="仿宋" w:hAnsi="仿宋" w:eastAsia="仿宋"/>
          <w:sz w:val="32"/>
          <w:szCs w:val="32"/>
        </w:rPr>
      </w:pPr>
      <w:r>
        <w:rPr>
          <w:rFonts w:hint="eastAsia" w:ascii="仿宋" w:hAnsi="仿宋" w:eastAsia="仿宋"/>
          <w:sz w:val="32"/>
          <w:szCs w:val="32"/>
        </w:rPr>
        <w:t>（3）、村委员会道路建设资金增加，扶贫村开支增加。</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2.年度预算支出决算及结余</w:t>
      </w:r>
    </w:p>
    <w:tbl>
      <w:tblPr>
        <w:tblStyle w:val="6"/>
        <w:tblW w:w="7953" w:type="dxa"/>
        <w:tblInd w:w="185" w:type="dxa"/>
        <w:tblLayout w:type="fixed"/>
        <w:tblCellMar>
          <w:top w:w="0" w:type="dxa"/>
          <w:left w:w="0" w:type="dxa"/>
          <w:bottom w:w="0" w:type="dxa"/>
          <w:right w:w="0" w:type="dxa"/>
        </w:tblCellMar>
      </w:tblPr>
      <w:tblGrid>
        <w:gridCol w:w="1739"/>
        <w:gridCol w:w="2268"/>
        <w:gridCol w:w="1984"/>
        <w:gridCol w:w="1962"/>
      </w:tblGrid>
      <w:tr>
        <w:tblPrEx>
          <w:tblCellMar>
            <w:top w:w="0" w:type="dxa"/>
            <w:left w:w="0" w:type="dxa"/>
            <w:bottom w:w="0" w:type="dxa"/>
            <w:right w:w="0" w:type="dxa"/>
          </w:tblCellMar>
        </w:tblPrEx>
        <w:trPr>
          <w:trHeight w:val="517" w:hRule="atLeast"/>
        </w:trPr>
        <w:tc>
          <w:tcPr>
            <w:tcW w:w="1739" w:type="dxa"/>
            <w:tcBorders>
              <w:top w:val="single" w:color="000000" w:sz="8" w:space="0"/>
              <w:left w:val="single" w:color="000000" w:sz="8" w:space="0"/>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预算支出类别</w:t>
            </w:r>
          </w:p>
        </w:tc>
        <w:tc>
          <w:tcPr>
            <w:tcW w:w="2268"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预算金额</w:t>
            </w:r>
          </w:p>
        </w:tc>
        <w:tc>
          <w:tcPr>
            <w:tcW w:w="1984"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决算金额</w:t>
            </w:r>
          </w:p>
        </w:tc>
        <w:tc>
          <w:tcPr>
            <w:tcW w:w="1962"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增减金额</w:t>
            </w:r>
          </w:p>
        </w:tc>
      </w:tr>
      <w:tr>
        <w:tblPrEx>
          <w:tblCellMar>
            <w:top w:w="0" w:type="dxa"/>
            <w:left w:w="0" w:type="dxa"/>
            <w:bottom w:w="0" w:type="dxa"/>
            <w:right w:w="0" w:type="dxa"/>
          </w:tblCellMar>
        </w:tblPrEx>
        <w:trPr>
          <w:trHeight w:val="523" w:hRule="atLeast"/>
        </w:trPr>
        <w:tc>
          <w:tcPr>
            <w:tcW w:w="1739"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基本支出</w:t>
            </w:r>
          </w:p>
        </w:tc>
        <w:tc>
          <w:tcPr>
            <w:tcW w:w="226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1747.9076</w:t>
            </w:r>
          </w:p>
        </w:tc>
        <w:tc>
          <w:tcPr>
            <w:tcW w:w="198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1985.75</w:t>
            </w:r>
          </w:p>
        </w:tc>
        <w:tc>
          <w:tcPr>
            <w:tcW w:w="1962"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增加</w:t>
            </w:r>
            <w:r>
              <w:rPr>
                <w:rFonts w:hint="eastAsia" w:ascii="仿宋" w:hAnsi="仿宋" w:eastAsia="仿宋" w:cs="宋体"/>
                <w:bCs/>
                <w:color w:val="000000"/>
                <w:kern w:val="0"/>
                <w:szCs w:val="21"/>
                <w:lang w:val="en-US" w:eastAsia="zh-CN" w:bidi="ar"/>
              </w:rPr>
              <w:t>237.8424</w:t>
            </w:r>
          </w:p>
        </w:tc>
      </w:tr>
      <w:tr>
        <w:tblPrEx>
          <w:tblCellMar>
            <w:top w:w="0" w:type="dxa"/>
            <w:left w:w="0" w:type="dxa"/>
            <w:bottom w:w="0" w:type="dxa"/>
            <w:right w:w="0" w:type="dxa"/>
          </w:tblCellMar>
        </w:tblPrEx>
        <w:trPr>
          <w:trHeight w:val="523" w:hRule="atLeast"/>
        </w:trPr>
        <w:tc>
          <w:tcPr>
            <w:tcW w:w="1739"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项目支出</w:t>
            </w:r>
          </w:p>
        </w:tc>
        <w:tc>
          <w:tcPr>
            <w:tcW w:w="226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1168</w:t>
            </w:r>
          </w:p>
        </w:tc>
        <w:tc>
          <w:tcPr>
            <w:tcW w:w="198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3724.56</w:t>
            </w:r>
          </w:p>
        </w:tc>
        <w:tc>
          <w:tcPr>
            <w:tcW w:w="1962"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增加</w:t>
            </w:r>
            <w:r>
              <w:rPr>
                <w:rFonts w:hint="eastAsia" w:ascii="仿宋" w:hAnsi="仿宋" w:eastAsia="仿宋" w:cs="宋体"/>
                <w:bCs/>
                <w:color w:val="000000"/>
                <w:kern w:val="0"/>
                <w:szCs w:val="21"/>
                <w:lang w:val="en-US" w:eastAsia="zh-CN" w:bidi="ar"/>
              </w:rPr>
              <w:t>2556.56</w:t>
            </w:r>
          </w:p>
        </w:tc>
      </w:tr>
      <w:tr>
        <w:tblPrEx>
          <w:tblCellMar>
            <w:top w:w="0" w:type="dxa"/>
            <w:left w:w="0" w:type="dxa"/>
            <w:bottom w:w="0" w:type="dxa"/>
            <w:right w:w="0" w:type="dxa"/>
          </w:tblCellMar>
        </w:tblPrEx>
        <w:trPr>
          <w:trHeight w:val="400" w:hRule="atLeast"/>
        </w:trPr>
        <w:tc>
          <w:tcPr>
            <w:tcW w:w="1739" w:type="dxa"/>
            <w:tcBorders>
              <w:top w:val="nil"/>
              <w:left w:val="single" w:color="000000" w:sz="8" w:space="0"/>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小计</w:t>
            </w:r>
          </w:p>
        </w:tc>
        <w:tc>
          <w:tcPr>
            <w:tcW w:w="2268"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2915.9076</w:t>
            </w:r>
          </w:p>
        </w:tc>
        <w:tc>
          <w:tcPr>
            <w:tcW w:w="1984"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5710.31</w:t>
            </w:r>
          </w:p>
        </w:tc>
        <w:tc>
          <w:tcPr>
            <w:tcW w:w="1962"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增加</w:t>
            </w:r>
            <w:r>
              <w:rPr>
                <w:rFonts w:hint="eastAsia" w:ascii="仿宋" w:hAnsi="仿宋" w:eastAsia="仿宋" w:cs="宋体"/>
                <w:bCs/>
                <w:color w:val="000000"/>
                <w:kern w:val="0"/>
                <w:szCs w:val="21"/>
                <w:lang w:val="en-US" w:eastAsia="zh-CN" w:bidi="ar"/>
              </w:rPr>
              <w:t>2794.4024</w:t>
            </w:r>
          </w:p>
        </w:tc>
      </w:tr>
    </w:tbl>
    <w:p>
      <w:p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增减原因：1、</w:t>
      </w:r>
      <w:r>
        <w:rPr>
          <w:rFonts w:hint="eastAsia" w:ascii="仿宋" w:hAnsi="仿宋" w:eastAsia="仿宋"/>
          <w:color w:val="333333"/>
          <w:kern w:val="0"/>
          <w:sz w:val="32"/>
          <w:szCs w:val="32"/>
        </w:rPr>
        <w:t>基本工资的增加，20</w:t>
      </w:r>
      <w:r>
        <w:rPr>
          <w:rFonts w:hint="eastAsia" w:ascii="仿宋" w:hAnsi="仿宋" w:eastAsia="仿宋"/>
          <w:color w:val="333333"/>
          <w:kern w:val="0"/>
          <w:sz w:val="32"/>
          <w:szCs w:val="32"/>
          <w:lang w:val="en-US" w:eastAsia="zh-CN"/>
        </w:rPr>
        <w:t>19</w:t>
      </w:r>
      <w:r>
        <w:rPr>
          <w:rFonts w:hint="eastAsia" w:ascii="仿宋" w:hAnsi="仿宋" w:eastAsia="仿宋"/>
          <w:color w:val="333333"/>
          <w:kern w:val="0"/>
          <w:sz w:val="32"/>
          <w:szCs w:val="32"/>
        </w:rPr>
        <w:t>年度的调整工资、全年一次性奖励工资及“3”奖金在20</w:t>
      </w:r>
      <w:r>
        <w:rPr>
          <w:rFonts w:hint="eastAsia" w:ascii="仿宋" w:hAnsi="仿宋" w:eastAsia="仿宋"/>
          <w:color w:val="333333"/>
          <w:kern w:val="0"/>
          <w:sz w:val="32"/>
          <w:szCs w:val="32"/>
          <w:lang w:val="en-US" w:eastAsia="zh-CN"/>
        </w:rPr>
        <w:t>20</w:t>
      </w:r>
      <w:r>
        <w:rPr>
          <w:rFonts w:hint="eastAsia" w:ascii="仿宋" w:hAnsi="仿宋" w:eastAsia="仿宋"/>
          <w:color w:val="333333"/>
          <w:kern w:val="0"/>
          <w:sz w:val="32"/>
          <w:szCs w:val="32"/>
        </w:rPr>
        <w:t>年发放，</w:t>
      </w:r>
      <w:r>
        <w:rPr>
          <w:rFonts w:hint="eastAsia" w:ascii="仿宋" w:hAnsi="仿宋" w:eastAsia="仿宋"/>
          <w:sz w:val="32"/>
          <w:szCs w:val="32"/>
        </w:rPr>
        <w:t>基本支出增加。2、新增加了G207路面大修工程工程</w:t>
      </w:r>
      <w:r>
        <w:rPr>
          <w:rFonts w:hint="eastAsia" w:ascii="仿宋" w:hAnsi="仿宋" w:eastAsia="仿宋"/>
          <w:sz w:val="32"/>
          <w:szCs w:val="32"/>
          <w:lang w:eastAsia="zh-CN"/>
        </w:rPr>
        <w:t>及干线公路安保工程项目</w:t>
      </w:r>
      <w:r>
        <w:rPr>
          <w:rFonts w:hint="eastAsia" w:ascii="仿宋" w:hAnsi="仿宋" w:eastAsia="仿宋"/>
          <w:sz w:val="32"/>
          <w:szCs w:val="32"/>
        </w:rPr>
        <w:t>，</w:t>
      </w:r>
      <w:r>
        <w:rPr>
          <w:rFonts w:hint="eastAsia" w:ascii="仿宋" w:hAnsi="仿宋" w:eastAsia="仿宋"/>
          <w:sz w:val="32"/>
          <w:szCs w:val="32"/>
          <w:lang w:eastAsia="zh-CN"/>
        </w:rPr>
        <w:t>这两个</w:t>
      </w:r>
      <w:r>
        <w:rPr>
          <w:rFonts w:hint="eastAsia" w:ascii="仿宋" w:hAnsi="仿宋" w:eastAsia="仿宋"/>
          <w:sz w:val="32"/>
          <w:szCs w:val="32"/>
        </w:rPr>
        <w:t>项目是由湖南省交通厅及湖南省公路事务中心同意实施后，直接拨付的专项资金，未做年初预算，使项目支出增加。3、扶贫经费及乡镇道路建设资金未做年初预算。。</w:t>
      </w:r>
    </w:p>
    <w:p>
      <w:pPr>
        <w:adjustRightInd w:val="0"/>
        <w:snapToGrid w:val="0"/>
        <w:spacing w:line="600" w:lineRule="exact"/>
        <w:ind w:left="480" w:hanging="480"/>
        <w:outlineLvl w:val="0"/>
        <w:rPr>
          <w:rFonts w:ascii="仿宋" w:hAnsi="仿宋" w:eastAsia="仿宋"/>
          <w:sz w:val="32"/>
          <w:szCs w:val="32"/>
        </w:rPr>
      </w:pPr>
      <w:r>
        <w:rPr>
          <w:rFonts w:hint="eastAsia" w:ascii="仿宋" w:hAnsi="仿宋" w:eastAsia="仿宋"/>
          <w:sz w:val="32"/>
          <w:szCs w:val="32"/>
        </w:rPr>
        <w:t>三</w:t>
      </w:r>
      <w:r>
        <w:rPr>
          <w:rFonts w:ascii="仿宋" w:hAnsi="仿宋" w:eastAsia="仿宋"/>
          <w:sz w:val="32"/>
          <w:szCs w:val="32"/>
        </w:rPr>
        <w:t>、</w:t>
      </w:r>
      <w:r>
        <w:rPr>
          <w:rFonts w:hint="eastAsia" w:ascii="仿宋" w:hAnsi="仿宋" w:eastAsia="仿宋"/>
          <w:sz w:val="32"/>
          <w:szCs w:val="32"/>
        </w:rPr>
        <w:t>部门整体支出管理及使用情况</w:t>
      </w:r>
    </w:p>
    <w:p>
      <w:pPr>
        <w:pStyle w:val="3"/>
        <w:widowControl/>
        <w:spacing w:before="0" w:beforeAutospacing="0" w:after="0" w:afterAutospacing="0" w:line="600" w:lineRule="exact"/>
        <w:jc w:val="both"/>
        <w:rPr>
          <w:rFonts w:ascii="仿宋" w:hAnsi="仿宋" w:eastAsia="仿宋"/>
          <w:b w:val="0"/>
          <w:kern w:val="2"/>
          <w:sz w:val="32"/>
          <w:szCs w:val="32"/>
        </w:rPr>
      </w:pPr>
      <w:bookmarkStart w:id="0" w:name="_Toc419142208"/>
      <w:r>
        <w:rPr>
          <w:rFonts w:ascii="仿宋" w:hAnsi="仿宋" w:eastAsia="仿宋"/>
          <w:b w:val="0"/>
          <w:kern w:val="2"/>
          <w:sz w:val="32"/>
          <w:szCs w:val="32"/>
        </w:rPr>
        <w:t>（一）基本支出管理</w:t>
      </w:r>
      <w:bookmarkEnd w:id="0"/>
    </w:p>
    <w:p>
      <w:pPr>
        <w:pStyle w:val="4"/>
        <w:widowControl/>
        <w:spacing w:before="0" w:beforeAutospacing="0" w:after="0" w:afterAutospacing="0" w:line="600" w:lineRule="exact"/>
        <w:rPr>
          <w:rFonts w:hint="default" w:ascii="仿宋" w:hAnsi="仿宋" w:eastAsia="仿宋"/>
          <w:b w:val="0"/>
          <w:kern w:val="2"/>
          <w:sz w:val="32"/>
          <w:szCs w:val="32"/>
        </w:rPr>
      </w:pPr>
      <w:r>
        <w:rPr>
          <w:rFonts w:ascii="仿宋" w:hAnsi="仿宋" w:eastAsia="仿宋"/>
          <w:b w:val="0"/>
          <w:kern w:val="2"/>
          <w:sz w:val="32"/>
          <w:szCs w:val="32"/>
        </w:rPr>
        <w:t>1、基本支出总额使用和管理</w:t>
      </w:r>
    </w:p>
    <w:tbl>
      <w:tblPr>
        <w:tblStyle w:val="6"/>
        <w:tblW w:w="0" w:type="auto"/>
        <w:jc w:val="center"/>
        <w:tblLayout w:type="fixed"/>
        <w:tblCellMar>
          <w:top w:w="0" w:type="dxa"/>
          <w:left w:w="0" w:type="dxa"/>
          <w:bottom w:w="0" w:type="dxa"/>
          <w:right w:w="0" w:type="dxa"/>
        </w:tblCellMar>
      </w:tblPr>
      <w:tblGrid>
        <w:gridCol w:w="2392"/>
        <w:gridCol w:w="1666"/>
        <w:gridCol w:w="1604"/>
        <w:gridCol w:w="2438"/>
      </w:tblGrid>
      <w:tr>
        <w:tblPrEx>
          <w:tblCellMar>
            <w:top w:w="0" w:type="dxa"/>
            <w:left w:w="0" w:type="dxa"/>
            <w:bottom w:w="0" w:type="dxa"/>
            <w:right w:w="0" w:type="dxa"/>
          </w:tblCellMar>
        </w:tblPrEx>
        <w:trPr>
          <w:trHeight w:val="401" w:hRule="atLeast"/>
          <w:jc w:val="center"/>
        </w:trPr>
        <w:tc>
          <w:tcPr>
            <w:tcW w:w="2392" w:type="dxa"/>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宋体" w:hAnsi="宋体" w:eastAsia="仿宋" w:cs="宋体"/>
                <w:bCs/>
                <w:color w:val="000000"/>
                <w:kern w:val="0"/>
                <w:szCs w:val="21"/>
                <w:lang w:bidi="ar"/>
              </w:rPr>
              <w:t> </w:t>
            </w:r>
            <w:r>
              <w:rPr>
                <w:rFonts w:hint="eastAsia" w:ascii="仿宋" w:hAnsi="仿宋" w:eastAsia="仿宋" w:cs="宋体"/>
                <w:bCs/>
                <w:color w:val="000000"/>
                <w:kern w:val="0"/>
                <w:szCs w:val="21"/>
                <w:lang w:bidi="ar"/>
              </w:rPr>
              <w:t>预决算支出项目</w:t>
            </w:r>
          </w:p>
        </w:tc>
        <w:tc>
          <w:tcPr>
            <w:tcW w:w="1666"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预算金额</w:t>
            </w:r>
          </w:p>
        </w:tc>
        <w:tc>
          <w:tcPr>
            <w:tcW w:w="1604"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决算金额</w:t>
            </w:r>
          </w:p>
        </w:tc>
        <w:tc>
          <w:tcPr>
            <w:tcW w:w="2438"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节约/超支金额</w:t>
            </w:r>
          </w:p>
        </w:tc>
      </w:tr>
      <w:tr>
        <w:tblPrEx>
          <w:tblCellMar>
            <w:top w:w="0" w:type="dxa"/>
            <w:left w:w="0" w:type="dxa"/>
            <w:bottom w:w="0" w:type="dxa"/>
            <w:right w:w="0" w:type="dxa"/>
          </w:tblCellMar>
        </w:tblPrEx>
        <w:trPr>
          <w:trHeight w:val="401" w:hRule="atLeast"/>
          <w:jc w:val="center"/>
        </w:trPr>
        <w:tc>
          <w:tcPr>
            <w:tcW w:w="2392"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工资福利支出</w:t>
            </w:r>
          </w:p>
        </w:tc>
        <w:tc>
          <w:tcPr>
            <w:tcW w:w="1666"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1530.0806</w:t>
            </w:r>
          </w:p>
        </w:tc>
        <w:tc>
          <w:tcPr>
            <w:tcW w:w="1604"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1692.5066</w:t>
            </w:r>
          </w:p>
        </w:tc>
        <w:tc>
          <w:tcPr>
            <w:tcW w:w="243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超支</w:t>
            </w:r>
            <w:r>
              <w:rPr>
                <w:rFonts w:hint="eastAsia" w:ascii="仿宋" w:hAnsi="仿宋" w:eastAsia="仿宋" w:cs="宋体"/>
                <w:bCs/>
                <w:color w:val="000000"/>
                <w:kern w:val="0"/>
                <w:szCs w:val="21"/>
                <w:lang w:val="en-US" w:eastAsia="zh-CN" w:bidi="ar"/>
              </w:rPr>
              <w:t>162.426</w:t>
            </w:r>
          </w:p>
        </w:tc>
      </w:tr>
      <w:tr>
        <w:tblPrEx>
          <w:tblCellMar>
            <w:top w:w="0" w:type="dxa"/>
            <w:left w:w="0" w:type="dxa"/>
            <w:bottom w:w="0" w:type="dxa"/>
            <w:right w:w="0" w:type="dxa"/>
          </w:tblCellMar>
        </w:tblPrEx>
        <w:trPr>
          <w:trHeight w:val="401" w:hRule="atLeast"/>
          <w:jc w:val="center"/>
        </w:trPr>
        <w:tc>
          <w:tcPr>
            <w:tcW w:w="2392"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商品和服务支出</w:t>
            </w:r>
          </w:p>
        </w:tc>
        <w:tc>
          <w:tcPr>
            <w:tcW w:w="1666"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195.453</w:t>
            </w:r>
          </w:p>
        </w:tc>
        <w:tc>
          <w:tcPr>
            <w:tcW w:w="1604"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221.0066</w:t>
            </w:r>
          </w:p>
        </w:tc>
        <w:tc>
          <w:tcPr>
            <w:tcW w:w="243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default" w:ascii="仿宋" w:hAnsi="仿宋" w:eastAsia="仿宋" w:cs="宋体"/>
                <w:bCs/>
                <w:color w:val="000000"/>
                <w:kern w:val="0"/>
                <w:szCs w:val="21"/>
                <w:lang w:val="en-US" w:bidi="ar"/>
              </w:rPr>
            </w:pPr>
            <w:r>
              <w:rPr>
                <w:rFonts w:hint="eastAsia" w:ascii="仿宋" w:hAnsi="仿宋" w:eastAsia="仿宋" w:cs="宋体"/>
                <w:bCs/>
                <w:color w:val="000000"/>
                <w:kern w:val="0"/>
                <w:szCs w:val="21"/>
                <w:lang w:eastAsia="zh-CN" w:bidi="ar"/>
              </w:rPr>
              <w:t>超支</w:t>
            </w:r>
            <w:r>
              <w:rPr>
                <w:rFonts w:hint="eastAsia" w:ascii="仿宋" w:hAnsi="仿宋" w:eastAsia="仿宋" w:cs="宋体"/>
                <w:bCs/>
                <w:color w:val="000000"/>
                <w:kern w:val="0"/>
                <w:szCs w:val="21"/>
                <w:lang w:val="en-US" w:eastAsia="zh-CN" w:bidi="ar"/>
              </w:rPr>
              <w:t>25.5536</w:t>
            </w:r>
          </w:p>
        </w:tc>
      </w:tr>
      <w:tr>
        <w:tblPrEx>
          <w:tblCellMar>
            <w:top w:w="0" w:type="dxa"/>
            <w:left w:w="0" w:type="dxa"/>
            <w:bottom w:w="0" w:type="dxa"/>
            <w:right w:w="0" w:type="dxa"/>
          </w:tblCellMar>
        </w:tblPrEx>
        <w:trPr>
          <w:trHeight w:val="401" w:hRule="atLeast"/>
          <w:jc w:val="center"/>
        </w:trPr>
        <w:tc>
          <w:tcPr>
            <w:tcW w:w="2392"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对个人和家庭的补助</w:t>
            </w:r>
          </w:p>
        </w:tc>
        <w:tc>
          <w:tcPr>
            <w:tcW w:w="1666"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22.374</w:t>
            </w:r>
          </w:p>
        </w:tc>
        <w:tc>
          <w:tcPr>
            <w:tcW w:w="1604"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72.2411</w:t>
            </w:r>
          </w:p>
        </w:tc>
        <w:tc>
          <w:tcPr>
            <w:tcW w:w="243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leftChars="0" w:hanging="315" w:hangingChars="150"/>
              <w:jc w:val="center"/>
              <w:textAlignment w:val="center"/>
              <w:rPr>
                <w:rFonts w:hint="default" w:ascii="仿宋" w:hAnsi="仿宋" w:eastAsia="仿宋" w:cs="宋体"/>
                <w:bCs/>
                <w:color w:val="000000"/>
                <w:kern w:val="0"/>
                <w:szCs w:val="21"/>
                <w:lang w:val="en-US" w:bidi="ar"/>
              </w:rPr>
            </w:pPr>
            <w:r>
              <w:rPr>
                <w:rFonts w:hint="eastAsia" w:ascii="仿宋" w:hAnsi="仿宋" w:eastAsia="仿宋" w:cs="宋体"/>
                <w:bCs/>
                <w:color w:val="000000"/>
                <w:kern w:val="0"/>
                <w:szCs w:val="21"/>
                <w:lang w:eastAsia="zh-CN" w:bidi="ar"/>
              </w:rPr>
              <w:t>超支</w:t>
            </w:r>
            <w:r>
              <w:rPr>
                <w:rFonts w:hint="eastAsia" w:ascii="仿宋" w:hAnsi="仿宋" w:eastAsia="仿宋" w:cs="宋体"/>
                <w:bCs/>
                <w:color w:val="000000"/>
                <w:kern w:val="0"/>
                <w:szCs w:val="21"/>
                <w:lang w:val="en-US" w:eastAsia="zh-CN" w:bidi="ar"/>
              </w:rPr>
              <w:t>49.8671</w:t>
            </w:r>
          </w:p>
        </w:tc>
      </w:tr>
      <w:tr>
        <w:tblPrEx>
          <w:tblCellMar>
            <w:top w:w="0" w:type="dxa"/>
            <w:left w:w="0" w:type="dxa"/>
            <w:bottom w:w="0" w:type="dxa"/>
            <w:right w:w="0" w:type="dxa"/>
          </w:tblCellMar>
        </w:tblPrEx>
        <w:trPr>
          <w:trHeight w:val="495" w:hRule="atLeast"/>
          <w:jc w:val="center"/>
        </w:trPr>
        <w:tc>
          <w:tcPr>
            <w:tcW w:w="2392" w:type="dxa"/>
            <w:tcBorders>
              <w:top w:val="nil"/>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eastAsia" w:ascii="仿宋" w:hAnsi="仿宋" w:eastAsia="仿宋" w:cs="宋体"/>
                <w:bCs/>
                <w:color w:val="000000"/>
                <w:kern w:val="0"/>
                <w:szCs w:val="21"/>
                <w:lang w:bidi="ar"/>
              </w:rPr>
            </w:pPr>
            <w:r>
              <w:rPr>
                <w:rFonts w:hint="eastAsia" w:ascii="仿宋" w:hAnsi="仿宋" w:eastAsia="仿宋" w:cs="宋体"/>
                <w:bCs/>
                <w:color w:val="000000"/>
                <w:kern w:val="0"/>
                <w:szCs w:val="21"/>
                <w:lang w:bidi="ar"/>
              </w:rPr>
              <w:t>合计</w:t>
            </w:r>
          </w:p>
        </w:tc>
        <w:tc>
          <w:tcPr>
            <w:tcW w:w="1666"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1747.9076</w:t>
            </w:r>
          </w:p>
        </w:tc>
        <w:tc>
          <w:tcPr>
            <w:tcW w:w="1604"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val="en-US" w:eastAsia="zh-CN" w:bidi="ar"/>
              </w:rPr>
              <w:t>1985.7543</w:t>
            </w:r>
          </w:p>
        </w:tc>
        <w:tc>
          <w:tcPr>
            <w:tcW w:w="2438" w:type="dxa"/>
            <w:tcBorders>
              <w:top w:val="nil"/>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textAlignment w:val="center"/>
              <w:rPr>
                <w:rFonts w:hint="default" w:ascii="仿宋" w:hAnsi="仿宋" w:eastAsia="仿宋" w:cs="宋体"/>
                <w:bCs/>
                <w:color w:val="000000"/>
                <w:kern w:val="0"/>
                <w:szCs w:val="21"/>
                <w:lang w:val="en-US" w:eastAsia="zh-CN" w:bidi="ar"/>
              </w:rPr>
            </w:pPr>
            <w:r>
              <w:rPr>
                <w:rFonts w:hint="eastAsia" w:ascii="仿宋" w:hAnsi="仿宋" w:eastAsia="仿宋" w:cs="宋体"/>
                <w:bCs/>
                <w:color w:val="000000"/>
                <w:kern w:val="0"/>
                <w:szCs w:val="21"/>
                <w:lang w:eastAsia="zh-CN" w:bidi="ar"/>
              </w:rPr>
              <w:t>超支</w:t>
            </w:r>
            <w:r>
              <w:rPr>
                <w:rFonts w:hint="eastAsia" w:ascii="仿宋" w:hAnsi="仿宋" w:eastAsia="仿宋" w:cs="宋体"/>
                <w:bCs/>
                <w:color w:val="000000"/>
                <w:kern w:val="0"/>
                <w:szCs w:val="21"/>
                <w:lang w:val="en-US" w:eastAsia="zh-CN" w:bidi="ar"/>
              </w:rPr>
              <w:t>237.8467</w:t>
            </w:r>
          </w:p>
        </w:tc>
      </w:tr>
    </w:tbl>
    <w:p>
      <w:pPr>
        <w:adjustRightInd w:val="0"/>
        <w:snapToGrid w:val="0"/>
        <w:spacing w:line="600" w:lineRule="exact"/>
        <w:ind w:left="480" w:hanging="480"/>
        <w:rPr>
          <w:rFonts w:hint="eastAsia" w:ascii="仿宋" w:hAnsi="仿宋" w:eastAsia="仿宋"/>
          <w:sz w:val="32"/>
          <w:szCs w:val="32"/>
        </w:rPr>
      </w:pPr>
    </w:p>
    <w:p>
      <w:pPr>
        <w:adjustRightInd w:val="0"/>
        <w:snapToGrid w:val="0"/>
        <w:spacing w:line="600" w:lineRule="exact"/>
        <w:ind w:left="480" w:hanging="480"/>
        <w:rPr>
          <w:rFonts w:hint="eastAsia" w:ascii="仿宋" w:hAnsi="仿宋" w:eastAsia="仿宋"/>
          <w:sz w:val="32"/>
          <w:szCs w:val="32"/>
        </w:rPr>
      </w:pP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2、基本支出中各费用明细支出管理</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（1）工资福利支出</w:t>
      </w:r>
    </w:p>
    <w:tbl>
      <w:tblPr>
        <w:tblStyle w:val="6"/>
        <w:tblW w:w="0" w:type="auto"/>
        <w:jc w:val="center"/>
        <w:tblLayout w:type="fixed"/>
        <w:tblCellMar>
          <w:top w:w="0" w:type="dxa"/>
          <w:left w:w="0" w:type="dxa"/>
          <w:bottom w:w="0" w:type="dxa"/>
          <w:right w:w="0" w:type="dxa"/>
        </w:tblCellMar>
      </w:tblPr>
      <w:tblGrid>
        <w:gridCol w:w="2431"/>
        <w:gridCol w:w="1134"/>
        <w:gridCol w:w="1134"/>
        <w:gridCol w:w="1417"/>
        <w:gridCol w:w="1664"/>
      </w:tblGrid>
      <w:tr>
        <w:tblPrEx>
          <w:tblCellMar>
            <w:top w:w="0" w:type="dxa"/>
            <w:left w:w="0" w:type="dxa"/>
            <w:bottom w:w="0" w:type="dxa"/>
            <w:right w:w="0" w:type="dxa"/>
          </w:tblCellMar>
        </w:tblPrEx>
        <w:trPr>
          <w:trHeight w:val="888" w:hRule="atLeast"/>
          <w:jc w:val="center"/>
        </w:trPr>
        <w:tc>
          <w:tcPr>
            <w:tcW w:w="2431" w:type="dxa"/>
            <w:tcBorders>
              <w:top w:val="single" w:color="000000" w:sz="8" w:space="0"/>
              <w:left w:val="single" w:color="000000" w:sz="8" w:space="0"/>
              <w:bottom w:val="single" w:color="000000" w:sz="8" w:space="0"/>
              <w:right w:val="single" w:color="000000" w:sz="8" w:space="0"/>
            </w:tcBorders>
            <w:shd w:val="clear" w:color="auto" w:fill="D9D9D9"/>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费用项目</w:t>
            </w:r>
          </w:p>
        </w:tc>
        <w:tc>
          <w:tcPr>
            <w:tcW w:w="1134" w:type="dxa"/>
            <w:tcBorders>
              <w:top w:val="single" w:color="000000" w:sz="8" w:space="0"/>
              <w:left w:val="nil"/>
              <w:bottom w:val="single" w:color="000000" w:sz="8" w:space="0"/>
              <w:right w:val="single" w:color="000000" w:sz="8" w:space="0"/>
            </w:tcBorders>
            <w:shd w:val="clear" w:color="auto" w:fill="D9D9D9"/>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预算金额</w:t>
            </w:r>
          </w:p>
        </w:tc>
        <w:tc>
          <w:tcPr>
            <w:tcW w:w="1134" w:type="dxa"/>
            <w:tcBorders>
              <w:top w:val="single" w:color="000000" w:sz="8" w:space="0"/>
              <w:left w:val="nil"/>
              <w:bottom w:val="single" w:color="000000" w:sz="8" w:space="0"/>
              <w:right w:val="single" w:color="000000" w:sz="8" w:space="0"/>
            </w:tcBorders>
            <w:shd w:val="clear" w:color="auto" w:fill="D9D9D9"/>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决算金额</w:t>
            </w:r>
          </w:p>
        </w:tc>
        <w:tc>
          <w:tcPr>
            <w:tcW w:w="1417" w:type="dxa"/>
            <w:tcBorders>
              <w:top w:val="single" w:color="000000" w:sz="8" w:space="0"/>
              <w:left w:val="nil"/>
              <w:bottom w:val="single" w:color="000000" w:sz="8" w:space="0"/>
              <w:right w:val="single" w:color="000000" w:sz="8" w:space="0"/>
            </w:tcBorders>
            <w:shd w:val="clear" w:color="auto" w:fill="D9D9D9"/>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节约/超支金额</w:t>
            </w:r>
          </w:p>
        </w:tc>
        <w:tc>
          <w:tcPr>
            <w:tcW w:w="1664" w:type="dxa"/>
            <w:tcBorders>
              <w:top w:val="single" w:color="000000" w:sz="8" w:space="0"/>
              <w:left w:val="nil"/>
              <w:bottom w:val="single" w:color="000000" w:sz="8" w:space="0"/>
              <w:right w:val="single" w:color="000000" w:sz="8" w:space="0"/>
            </w:tcBorders>
            <w:shd w:val="clear" w:color="auto" w:fill="D9D9D9"/>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节约/超支率</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基本工资</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714.8112</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689.6216</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25.1896</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3.53%</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津贴补贴</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35.76</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35.76</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奖金</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59.5676</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541.2391</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481.6715</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808.62%</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绩效工资</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316.575</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334.7511</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18.1761</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5.75%</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机关事业单位基本养老保险缴费</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186.7298</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27.9993</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158.7305</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85.01%</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职工基本医疗保险缴费</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43.7662</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98.8955</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default"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55.1293</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125.97%</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其他社会保障缴费</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25.6753</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default"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25.6753</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357" w:hRule="atLeast"/>
          <w:jc w:val="center"/>
        </w:trPr>
        <w:tc>
          <w:tcPr>
            <w:tcW w:w="2431"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住房公积金</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147.1955</w:t>
            </w:r>
          </w:p>
        </w:tc>
        <w:tc>
          <w:tcPr>
            <w:tcW w:w="113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417"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default"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147.1955</w:t>
            </w:r>
          </w:p>
        </w:tc>
        <w:tc>
          <w:tcPr>
            <w:tcW w:w="1664"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11" w:hRule="atLeast"/>
          <w:jc w:val="center"/>
        </w:trPr>
        <w:tc>
          <w:tcPr>
            <w:tcW w:w="2431" w:type="dxa"/>
            <w:tcBorders>
              <w:top w:val="nil"/>
              <w:left w:val="single" w:color="000000" w:sz="8" w:space="0"/>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1134"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1530.0806</w:t>
            </w:r>
          </w:p>
        </w:tc>
        <w:tc>
          <w:tcPr>
            <w:tcW w:w="1134"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1692.5066</w:t>
            </w:r>
          </w:p>
        </w:tc>
        <w:tc>
          <w:tcPr>
            <w:tcW w:w="1417"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162.426</w:t>
            </w:r>
          </w:p>
        </w:tc>
        <w:tc>
          <w:tcPr>
            <w:tcW w:w="1664"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10.62%</w:t>
            </w:r>
          </w:p>
        </w:tc>
      </w:tr>
    </w:tbl>
    <w:p>
      <w:pPr>
        <w:adjustRightInd w:val="0"/>
        <w:snapToGrid w:val="0"/>
        <w:spacing w:line="600" w:lineRule="exact"/>
        <w:ind w:left="479" w:leftChars="228" w:firstLine="480" w:firstLineChars="150"/>
        <w:rPr>
          <w:rFonts w:hint="eastAsia" w:ascii="仿宋" w:hAnsi="仿宋" w:eastAsia="仿宋"/>
          <w:sz w:val="32"/>
          <w:szCs w:val="32"/>
        </w:rPr>
      </w:pPr>
      <w:r>
        <w:rPr>
          <w:rFonts w:hint="eastAsia" w:ascii="仿宋" w:hAnsi="仿宋" w:eastAsia="仿宋"/>
          <w:sz w:val="32"/>
          <w:szCs w:val="32"/>
        </w:rPr>
        <w:t>增减原因：1、</w:t>
      </w:r>
      <w:r>
        <w:rPr>
          <w:rFonts w:hint="eastAsia" w:ascii="仿宋" w:hAnsi="仿宋" w:eastAsia="仿宋"/>
          <w:color w:val="333333"/>
          <w:kern w:val="0"/>
          <w:sz w:val="32"/>
          <w:szCs w:val="32"/>
        </w:rPr>
        <w:t>基本工资的增加，201</w:t>
      </w:r>
      <w:r>
        <w:rPr>
          <w:rFonts w:hint="eastAsia" w:ascii="仿宋" w:hAnsi="仿宋" w:eastAsia="仿宋"/>
          <w:color w:val="333333"/>
          <w:kern w:val="0"/>
          <w:sz w:val="32"/>
          <w:szCs w:val="32"/>
          <w:lang w:val="en-US" w:eastAsia="zh-CN"/>
        </w:rPr>
        <w:t>9</w:t>
      </w:r>
      <w:r>
        <w:rPr>
          <w:rFonts w:hint="eastAsia" w:ascii="仿宋" w:hAnsi="仿宋" w:eastAsia="仿宋"/>
          <w:color w:val="333333"/>
          <w:kern w:val="0"/>
          <w:sz w:val="32"/>
          <w:szCs w:val="32"/>
        </w:rPr>
        <w:t>年度的调整工资、全年一次性奖励工资及“3+2”奖金在20</w:t>
      </w:r>
      <w:r>
        <w:rPr>
          <w:rFonts w:hint="eastAsia" w:ascii="仿宋" w:hAnsi="仿宋" w:eastAsia="仿宋"/>
          <w:color w:val="333333"/>
          <w:kern w:val="0"/>
          <w:sz w:val="32"/>
          <w:szCs w:val="32"/>
          <w:lang w:val="en-US" w:eastAsia="zh-CN"/>
        </w:rPr>
        <w:t>20</w:t>
      </w:r>
      <w:r>
        <w:rPr>
          <w:rFonts w:hint="eastAsia" w:ascii="仿宋" w:hAnsi="仿宋" w:eastAsia="仿宋"/>
          <w:color w:val="333333"/>
          <w:kern w:val="0"/>
          <w:sz w:val="32"/>
          <w:szCs w:val="32"/>
        </w:rPr>
        <w:t>年初发放，</w:t>
      </w:r>
      <w:r>
        <w:rPr>
          <w:rFonts w:hint="eastAsia" w:ascii="仿宋" w:hAnsi="仿宋" w:eastAsia="仿宋"/>
          <w:sz w:val="32"/>
          <w:szCs w:val="32"/>
        </w:rPr>
        <w:t>基本支出增加。2、养老保险金未入库，社会保障缴费科目有结余，住房公积金单位部分缴纳时由县财政局直接拨付相关部门，不在单位账面上列支，决算金额为零。3、绩效工资中30%奖励性部分属于单位自筹，未纳入年初预算计划中。</w:t>
      </w:r>
    </w:p>
    <w:p>
      <w:pPr>
        <w:adjustRightInd w:val="0"/>
        <w:snapToGrid w:val="0"/>
        <w:spacing w:line="600" w:lineRule="exact"/>
        <w:ind w:left="480" w:hanging="480"/>
        <w:rPr>
          <w:rFonts w:hint="eastAsia" w:ascii="仿宋" w:hAnsi="仿宋" w:eastAsia="仿宋"/>
          <w:sz w:val="32"/>
          <w:szCs w:val="32"/>
        </w:rPr>
      </w:pP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（2）商品和服务支出</w:t>
      </w:r>
    </w:p>
    <w:tbl>
      <w:tblPr>
        <w:tblStyle w:val="6"/>
        <w:tblW w:w="0" w:type="auto"/>
        <w:jc w:val="center"/>
        <w:tblLayout w:type="fixed"/>
        <w:tblCellMar>
          <w:top w:w="0" w:type="dxa"/>
          <w:left w:w="0" w:type="dxa"/>
          <w:bottom w:w="0" w:type="dxa"/>
          <w:right w:w="0" w:type="dxa"/>
        </w:tblCellMar>
      </w:tblPr>
      <w:tblGrid>
        <w:gridCol w:w="2133"/>
        <w:gridCol w:w="1398"/>
        <w:gridCol w:w="1537"/>
        <w:gridCol w:w="1429"/>
        <w:gridCol w:w="1643"/>
      </w:tblGrid>
      <w:tr>
        <w:tblPrEx>
          <w:tblCellMar>
            <w:top w:w="0" w:type="dxa"/>
            <w:left w:w="0" w:type="dxa"/>
            <w:bottom w:w="0" w:type="dxa"/>
            <w:right w:w="0" w:type="dxa"/>
          </w:tblCellMar>
        </w:tblPrEx>
        <w:trPr>
          <w:trHeight w:val="343" w:hRule="atLeast"/>
          <w:tblHeader/>
          <w:jc w:val="center"/>
        </w:trPr>
        <w:tc>
          <w:tcPr>
            <w:tcW w:w="2133" w:type="dxa"/>
            <w:tcBorders>
              <w:top w:val="single" w:color="auto" w:sz="8" w:space="0"/>
              <w:left w:val="single" w:color="auto" w:sz="8" w:space="0"/>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支出项目</w:t>
            </w:r>
          </w:p>
        </w:tc>
        <w:tc>
          <w:tcPr>
            <w:tcW w:w="1398"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预算金额</w:t>
            </w:r>
          </w:p>
        </w:tc>
        <w:tc>
          <w:tcPr>
            <w:tcW w:w="1537"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决算金额</w:t>
            </w:r>
          </w:p>
        </w:tc>
        <w:tc>
          <w:tcPr>
            <w:tcW w:w="1429"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增减额</w:t>
            </w:r>
          </w:p>
        </w:tc>
        <w:tc>
          <w:tcPr>
            <w:tcW w:w="1643" w:type="dxa"/>
            <w:tcBorders>
              <w:top w:val="single" w:color="auto" w:sz="8" w:space="0"/>
              <w:left w:val="nil"/>
              <w:bottom w:val="single" w:color="auto" w:sz="8" w:space="0"/>
              <w:right w:val="single" w:color="auto" w:sz="8" w:space="0"/>
            </w:tcBorders>
            <w:shd w:val="clear" w:color="auto" w:fill="D9D9D9"/>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增减率</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办公费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8</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10.6121</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2.6121</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32.66%</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印刷费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0.5</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0.3</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0.2</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40%</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咨询费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25%</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eastAsia="zh-CN" w:bidi="ar"/>
              </w:rPr>
              <w:t>水</w:t>
            </w:r>
            <w:r>
              <w:rPr>
                <w:rFonts w:hint="eastAsia" w:ascii="仿宋" w:hAnsi="仿宋" w:eastAsia="仿宋" w:cs="宋体"/>
                <w:color w:val="010101"/>
                <w:kern w:val="0"/>
                <w:szCs w:val="21"/>
                <w:lang w:bidi="ar"/>
              </w:rPr>
              <w:t>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2.459</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0.459</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22.95%</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电费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4.4553</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2.5447</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36.36%</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邮电费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0.5</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4.1512</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3.6512</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730.24%</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差旅费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30</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28.0689</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1.9311</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6.44%</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维修（护）费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1.378</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0.622</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31.1%</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租赁费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5.2</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1.2</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30%</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培训费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0.535</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0.465</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46.5%</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公务接待费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1.0533</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0.9467</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47.34%</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专用材料费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12</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20.1914</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8.1914</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68.27%</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专用燃料费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0.3</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0.7</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70%</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劳务费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13.4035</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6.4035</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91.48%</w:t>
            </w:r>
          </w:p>
        </w:tc>
      </w:tr>
      <w:tr>
        <w:tblPrEx>
          <w:tblCellMar>
            <w:top w:w="0" w:type="dxa"/>
            <w:left w:w="0" w:type="dxa"/>
            <w:bottom w:w="0" w:type="dxa"/>
            <w:right w:w="0" w:type="dxa"/>
          </w:tblCellMar>
        </w:tblPrEx>
        <w:trPr>
          <w:trHeight w:val="510"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工会经费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57.404</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57.404</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公务用车运行维护费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12.2217</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5.2217</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74.6%</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其他交通费</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9.6035</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0.3965</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节约</w:t>
            </w:r>
            <w:r>
              <w:rPr>
                <w:rFonts w:hint="eastAsia" w:ascii="仿宋" w:hAnsi="仿宋" w:eastAsia="仿宋" w:cs="宋体"/>
                <w:color w:val="010101"/>
                <w:kern w:val="0"/>
                <w:szCs w:val="21"/>
                <w:lang w:val="en-US" w:eastAsia="zh-CN" w:bidi="ar"/>
              </w:rPr>
              <w:t>3.97%</w:t>
            </w:r>
          </w:p>
        </w:tc>
      </w:tr>
      <w:tr>
        <w:tblPrEx>
          <w:tblCellMar>
            <w:top w:w="0" w:type="dxa"/>
            <w:left w:w="0" w:type="dxa"/>
            <w:bottom w:w="0" w:type="dxa"/>
            <w:right w:w="0" w:type="dxa"/>
          </w:tblCellMar>
        </w:tblPrEx>
        <w:trPr>
          <w:trHeight w:val="343" w:hRule="atLeast"/>
          <w:jc w:val="center"/>
        </w:trPr>
        <w:tc>
          <w:tcPr>
            <w:tcW w:w="2133" w:type="dxa"/>
            <w:tcBorders>
              <w:top w:val="nil"/>
              <w:left w:val="single" w:color="auto" w:sz="8" w:space="0"/>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其他商品和服务支出</w:t>
            </w:r>
          </w:p>
        </w:tc>
        <w:tc>
          <w:tcPr>
            <w:tcW w:w="1398"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40.049</w:t>
            </w:r>
          </w:p>
        </w:tc>
        <w:tc>
          <w:tcPr>
            <w:tcW w:w="1537"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44.6697</w:t>
            </w:r>
          </w:p>
        </w:tc>
        <w:tc>
          <w:tcPr>
            <w:tcW w:w="1429"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4.6207</w:t>
            </w:r>
          </w:p>
        </w:tc>
        <w:tc>
          <w:tcPr>
            <w:tcW w:w="1643" w:type="dxa"/>
            <w:tcBorders>
              <w:top w:val="nil"/>
              <w:left w:val="nil"/>
              <w:bottom w:val="single" w:color="auto" w:sz="8" w:space="0"/>
              <w:right w:val="single" w:color="auto" w:sz="8" w:space="0"/>
            </w:tcBorders>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11.54%</w:t>
            </w:r>
          </w:p>
        </w:tc>
      </w:tr>
      <w:tr>
        <w:tblPrEx>
          <w:tblCellMar>
            <w:top w:w="0" w:type="dxa"/>
            <w:left w:w="0" w:type="dxa"/>
            <w:bottom w:w="0" w:type="dxa"/>
            <w:right w:w="0" w:type="dxa"/>
          </w:tblCellMar>
        </w:tblPrEx>
        <w:trPr>
          <w:trHeight w:val="359" w:hRule="atLeast"/>
          <w:jc w:val="center"/>
        </w:trPr>
        <w:tc>
          <w:tcPr>
            <w:tcW w:w="2133" w:type="dxa"/>
            <w:tcBorders>
              <w:top w:val="nil"/>
              <w:left w:val="single" w:color="auto" w:sz="8" w:space="0"/>
              <w:bottom w:val="single" w:color="auto" w:sz="8" w:space="0"/>
              <w:right w:val="single" w:color="auto" w:sz="8" w:space="0"/>
            </w:tcBorders>
            <w:shd w:val="clear" w:color="auto" w:fill="C0C0C0"/>
            <w:noWrap w:val="0"/>
            <w:tcMar>
              <w:left w:w="108" w:type="dxa"/>
              <w:right w:w="108"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1398" w:type="dxa"/>
            <w:tcBorders>
              <w:top w:val="nil"/>
              <w:left w:val="nil"/>
              <w:bottom w:val="single" w:color="auto" w:sz="8" w:space="0"/>
              <w:right w:val="single" w:color="auto" w:sz="8" w:space="0"/>
            </w:tcBorders>
            <w:shd w:val="clear" w:color="auto" w:fill="C0C0C0"/>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195.453</w:t>
            </w:r>
          </w:p>
        </w:tc>
        <w:tc>
          <w:tcPr>
            <w:tcW w:w="1537" w:type="dxa"/>
            <w:tcBorders>
              <w:top w:val="nil"/>
              <w:left w:val="nil"/>
              <w:bottom w:val="single" w:color="auto" w:sz="8" w:space="0"/>
              <w:right w:val="single" w:color="auto" w:sz="8" w:space="0"/>
            </w:tcBorders>
            <w:shd w:val="clear" w:color="auto" w:fill="C0C0C0"/>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221.0066</w:t>
            </w:r>
          </w:p>
        </w:tc>
        <w:tc>
          <w:tcPr>
            <w:tcW w:w="1429" w:type="dxa"/>
            <w:tcBorders>
              <w:top w:val="nil"/>
              <w:left w:val="nil"/>
              <w:bottom w:val="single" w:color="auto" w:sz="8" w:space="0"/>
              <w:right w:val="single" w:color="auto" w:sz="8" w:space="0"/>
            </w:tcBorders>
            <w:shd w:val="clear" w:color="auto" w:fill="C0C0C0"/>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25.5536</w:t>
            </w:r>
          </w:p>
        </w:tc>
        <w:tc>
          <w:tcPr>
            <w:tcW w:w="1643" w:type="dxa"/>
            <w:tcBorders>
              <w:top w:val="nil"/>
              <w:left w:val="nil"/>
              <w:bottom w:val="single" w:color="auto" w:sz="8" w:space="0"/>
              <w:right w:val="single" w:color="auto" w:sz="8" w:space="0"/>
            </w:tcBorders>
            <w:shd w:val="clear" w:color="auto" w:fill="C0C0C0"/>
            <w:noWrap w:val="0"/>
            <w:tcMar>
              <w:left w:w="108" w:type="dxa"/>
              <w:right w:w="108"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13.08%</w:t>
            </w:r>
          </w:p>
        </w:tc>
      </w:tr>
    </w:tbl>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jc w:val="left"/>
        <w:textAlignment w:val="auto"/>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增减原因：</w:t>
      </w:r>
      <w:r>
        <w:rPr>
          <w:rFonts w:hint="eastAsia" w:ascii="仿宋" w:hAnsi="仿宋" w:eastAsia="仿宋"/>
          <w:sz w:val="32"/>
          <w:szCs w:val="32"/>
          <w:lang w:val="en-US" w:eastAsia="zh-CN"/>
        </w:rPr>
        <w:t>1、办公费超支2.6121万元，原因是办公电脑已到报废年限，新增了办公用品。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2、咨询费超支1万元，是合同以外产生的费用。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3、邮电费超支3.6512万元，是预交了以后年度的光纤使用费。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4、专用材料费超支8.1914万元及劳务费超支6.4035万元，是院内家属房改造增加了项目。</w:t>
      </w:r>
    </w:p>
    <w:p>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jc w:val="both"/>
        <w:textAlignment w:val="auto"/>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其他商品和服务支出</w:t>
      </w:r>
      <w:r>
        <w:rPr>
          <w:rFonts w:hint="eastAsia" w:ascii="仿宋" w:hAnsi="仿宋" w:eastAsia="仿宋"/>
          <w:sz w:val="32"/>
          <w:szCs w:val="32"/>
          <w:lang w:eastAsia="zh-CN"/>
        </w:rPr>
        <w:t>超支</w:t>
      </w:r>
      <w:r>
        <w:rPr>
          <w:rFonts w:hint="eastAsia" w:ascii="仿宋" w:hAnsi="仿宋" w:eastAsia="仿宋"/>
          <w:sz w:val="32"/>
          <w:szCs w:val="32"/>
          <w:lang w:val="en-US" w:eastAsia="zh-CN"/>
        </w:rPr>
        <w:t>4.6207</w:t>
      </w:r>
      <w:r>
        <w:rPr>
          <w:rFonts w:hint="eastAsia" w:ascii="仿宋" w:hAnsi="仿宋" w:eastAsia="仿宋"/>
          <w:sz w:val="32"/>
          <w:szCs w:val="32"/>
        </w:rPr>
        <w:t>万元，原因是非生产性支出增加。</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（3）对个人和家庭的补助</w:t>
      </w:r>
    </w:p>
    <w:tbl>
      <w:tblPr>
        <w:tblStyle w:val="6"/>
        <w:tblW w:w="8364" w:type="dxa"/>
        <w:tblInd w:w="0" w:type="dxa"/>
        <w:tblLayout w:type="fixed"/>
        <w:tblCellMar>
          <w:top w:w="0" w:type="dxa"/>
          <w:left w:w="0" w:type="dxa"/>
          <w:bottom w:w="0" w:type="dxa"/>
          <w:right w:w="0" w:type="dxa"/>
        </w:tblCellMar>
      </w:tblPr>
      <w:tblGrid>
        <w:gridCol w:w="1816"/>
        <w:gridCol w:w="1538"/>
        <w:gridCol w:w="1560"/>
        <w:gridCol w:w="1875"/>
        <w:gridCol w:w="1575"/>
      </w:tblGrid>
      <w:tr>
        <w:tblPrEx>
          <w:tblCellMar>
            <w:top w:w="0" w:type="dxa"/>
            <w:left w:w="0" w:type="dxa"/>
            <w:bottom w:w="0" w:type="dxa"/>
            <w:right w:w="0" w:type="dxa"/>
          </w:tblCellMar>
        </w:tblPrEx>
        <w:trPr>
          <w:trHeight w:val="464" w:hRule="atLeast"/>
        </w:trPr>
        <w:tc>
          <w:tcPr>
            <w:tcW w:w="1816" w:type="dxa"/>
            <w:tcBorders>
              <w:top w:val="single" w:color="000000" w:sz="8" w:space="0"/>
              <w:left w:val="single" w:color="000000" w:sz="8" w:space="0"/>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支出项目</w:t>
            </w:r>
          </w:p>
        </w:tc>
        <w:tc>
          <w:tcPr>
            <w:tcW w:w="1538"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预算金额</w:t>
            </w:r>
          </w:p>
        </w:tc>
        <w:tc>
          <w:tcPr>
            <w:tcW w:w="1560"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决算金额</w:t>
            </w:r>
          </w:p>
        </w:tc>
        <w:tc>
          <w:tcPr>
            <w:tcW w:w="1875"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结余/超支金额</w:t>
            </w:r>
          </w:p>
        </w:tc>
        <w:tc>
          <w:tcPr>
            <w:tcW w:w="1575" w:type="dxa"/>
            <w:tcBorders>
              <w:top w:val="single" w:color="000000" w:sz="8" w:space="0"/>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结余/超支率</w:t>
            </w:r>
          </w:p>
        </w:tc>
      </w:tr>
      <w:tr>
        <w:tblPrEx>
          <w:tblCellMar>
            <w:top w:w="0" w:type="dxa"/>
            <w:left w:w="0" w:type="dxa"/>
            <w:bottom w:w="0" w:type="dxa"/>
            <w:right w:w="0" w:type="dxa"/>
          </w:tblCellMar>
        </w:tblPrEx>
        <w:trPr>
          <w:trHeight w:val="413" w:hRule="atLeast"/>
        </w:trPr>
        <w:tc>
          <w:tcPr>
            <w:tcW w:w="1816"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退休费</w:t>
            </w:r>
          </w:p>
        </w:tc>
        <w:tc>
          <w:tcPr>
            <w:tcW w:w="153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56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2.52</w:t>
            </w:r>
          </w:p>
        </w:tc>
        <w:tc>
          <w:tcPr>
            <w:tcW w:w="18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2.52</w:t>
            </w:r>
          </w:p>
        </w:tc>
        <w:tc>
          <w:tcPr>
            <w:tcW w:w="15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13" w:hRule="atLeast"/>
        </w:trPr>
        <w:tc>
          <w:tcPr>
            <w:tcW w:w="1816"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抚恤金</w:t>
            </w:r>
          </w:p>
        </w:tc>
        <w:tc>
          <w:tcPr>
            <w:tcW w:w="153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56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17.8704</w:t>
            </w:r>
          </w:p>
        </w:tc>
        <w:tc>
          <w:tcPr>
            <w:tcW w:w="18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17.8704</w:t>
            </w:r>
          </w:p>
        </w:tc>
        <w:tc>
          <w:tcPr>
            <w:tcW w:w="15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13" w:hRule="atLeast"/>
        </w:trPr>
        <w:tc>
          <w:tcPr>
            <w:tcW w:w="1816"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生活补助</w:t>
            </w:r>
          </w:p>
        </w:tc>
        <w:tc>
          <w:tcPr>
            <w:tcW w:w="153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22.374</w:t>
            </w:r>
          </w:p>
        </w:tc>
        <w:tc>
          <w:tcPr>
            <w:tcW w:w="156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24.7562</w:t>
            </w:r>
          </w:p>
        </w:tc>
        <w:tc>
          <w:tcPr>
            <w:tcW w:w="18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2.3822</w:t>
            </w:r>
          </w:p>
        </w:tc>
        <w:tc>
          <w:tcPr>
            <w:tcW w:w="15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10.65%</w:t>
            </w:r>
          </w:p>
        </w:tc>
      </w:tr>
      <w:tr>
        <w:tblPrEx>
          <w:tblCellMar>
            <w:top w:w="0" w:type="dxa"/>
            <w:left w:w="0" w:type="dxa"/>
            <w:bottom w:w="0" w:type="dxa"/>
            <w:right w:w="0" w:type="dxa"/>
          </w:tblCellMar>
        </w:tblPrEx>
        <w:trPr>
          <w:trHeight w:val="413" w:hRule="atLeast"/>
        </w:trPr>
        <w:tc>
          <w:tcPr>
            <w:tcW w:w="1816" w:type="dxa"/>
            <w:tcBorders>
              <w:top w:val="nil"/>
              <w:left w:val="single" w:color="000000" w:sz="8"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其他对个人和家庭的补助支出</w:t>
            </w:r>
          </w:p>
        </w:tc>
        <w:tc>
          <w:tcPr>
            <w:tcW w:w="153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156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27.0945</w:t>
            </w:r>
          </w:p>
        </w:tc>
        <w:tc>
          <w:tcPr>
            <w:tcW w:w="18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27.0945</w:t>
            </w:r>
          </w:p>
        </w:tc>
        <w:tc>
          <w:tcPr>
            <w:tcW w:w="157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51" w:hRule="atLeast"/>
        </w:trPr>
        <w:tc>
          <w:tcPr>
            <w:tcW w:w="1816" w:type="dxa"/>
            <w:tcBorders>
              <w:top w:val="nil"/>
              <w:left w:val="single" w:color="000000" w:sz="8" w:space="0"/>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1538"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22.374</w:t>
            </w:r>
          </w:p>
        </w:tc>
        <w:tc>
          <w:tcPr>
            <w:tcW w:w="1560"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72.2411</w:t>
            </w:r>
          </w:p>
        </w:tc>
        <w:tc>
          <w:tcPr>
            <w:tcW w:w="1875"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49.8671</w:t>
            </w:r>
          </w:p>
        </w:tc>
        <w:tc>
          <w:tcPr>
            <w:tcW w:w="1575" w:type="dxa"/>
            <w:tcBorders>
              <w:top w:val="nil"/>
              <w:left w:val="nil"/>
              <w:bottom w:val="single" w:color="000000" w:sz="8" w:space="0"/>
              <w:right w:val="single" w:color="000000" w:sz="8" w:space="0"/>
            </w:tcBorders>
            <w:shd w:val="clear" w:color="auto" w:fill="C0C0C0"/>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222.88%</w:t>
            </w:r>
          </w:p>
        </w:tc>
      </w:tr>
    </w:tbl>
    <w:p>
      <w:pPr>
        <w:adjustRightInd w:val="0"/>
        <w:snapToGrid w:val="0"/>
        <w:spacing w:line="600" w:lineRule="exact"/>
        <w:ind w:left="0" w:firstLine="640" w:firstLineChars="200"/>
        <w:rPr>
          <w:rFonts w:hint="eastAsia" w:ascii="仿宋" w:hAnsi="仿宋" w:eastAsia="仿宋"/>
          <w:sz w:val="32"/>
          <w:szCs w:val="32"/>
        </w:rPr>
      </w:pPr>
      <w:r>
        <w:rPr>
          <w:rFonts w:hint="eastAsia" w:ascii="仿宋" w:hAnsi="仿宋" w:eastAsia="仿宋"/>
          <w:sz w:val="32"/>
          <w:szCs w:val="32"/>
          <w:lang w:eastAsia="zh-CN"/>
        </w:rPr>
        <w:t>增减原因：</w:t>
      </w:r>
      <w:r>
        <w:rPr>
          <w:rFonts w:hint="eastAsia" w:ascii="仿宋" w:hAnsi="仿宋" w:eastAsia="仿宋"/>
          <w:sz w:val="32"/>
          <w:szCs w:val="32"/>
          <w:lang w:val="en-US" w:eastAsia="zh-CN"/>
        </w:rPr>
        <w:t>1、</w:t>
      </w:r>
      <w:r>
        <w:rPr>
          <w:rFonts w:hint="eastAsia" w:ascii="仿宋" w:hAnsi="仿宋" w:eastAsia="仿宋"/>
          <w:sz w:val="32"/>
          <w:szCs w:val="32"/>
        </w:rPr>
        <w:t>退休工人工资由社保站发放，单位只报销一些零星开支</w:t>
      </w:r>
      <w:r>
        <w:rPr>
          <w:rFonts w:hint="eastAsia" w:ascii="仿宋" w:hAnsi="仿宋" w:eastAsia="仿宋"/>
          <w:sz w:val="32"/>
          <w:szCs w:val="32"/>
          <w:lang w:eastAsia="zh-CN"/>
        </w:rPr>
        <w:t>；</w:t>
      </w:r>
      <w:r>
        <w:rPr>
          <w:rFonts w:hint="eastAsia" w:ascii="仿宋" w:hAnsi="仿宋" w:eastAsia="仿宋"/>
          <w:sz w:val="32"/>
          <w:szCs w:val="32"/>
          <w:lang w:val="en-US" w:eastAsia="zh-CN"/>
        </w:rPr>
        <w:t>2、生活补助超支是以前年度的人员未及时来领取；3、</w:t>
      </w:r>
      <w:r>
        <w:rPr>
          <w:rFonts w:hint="eastAsia" w:ascii="仿宋" w:hAnsi="仿宋" w:eastAsia="仿宋"/>
          <w:sz w:val="32"/>
          <w:szCs w:val="32"/>
        </w:rPr>
        <w:t>抚恤金</w:t>
      </w:r>
      <w:r>
        <w:rPr>
          <w:rFonts w:hint="eastAsia" w:ascii="仿宋" w:hAnsi="仿宋" w:eastAsia="仿宋"/>
          <w:sz w:val="32"/>
          <w:szCs w:val="32"/>
          <w:lang w:eastAsia="zh-CN"/>
        </w:rPr>
        <w:t>及</w:t>
      </w:r>
      <w:r>
        <w:rPr>
          <w:rFonts w:hint="eastAsia" w:ascii="仿宋" w:hAnsi="仿宋" w:eastAsia="仿宋"/>
          <w:sz w:val="32"/>
          <w:szCs w:val="32"/>
        </w:rPr>
        <w:t>其他年初未编入预算中。</w:t>
      </w:r>
    </w:p>
    <w:p>
      <w:pPr>
        <w:adjustRightInd w:val="0"/>
        <w:snapToGrid w:val="0"/>
        <w:spacing w:line="600" w:lineRule="exact"/>
        <w:ind w:left="480" w:hanging="480"/>
        <w:rPr>
          <w:rFonts w:hint="eastAsia" w:ascii="仿宋" w:hAnsi="仿宋" w:eastAsia="仿宋"/>
          <w:sz w:val="32"/>
          <w:szCs w:val="32"/>
          <w:lang w:eastAsia="zh-CN"/>
        </w:rPr>
      </w:pPr>
    </w:p>
    <w:p>
      <w:pPr>
        <w:adjustRightInd w:val="0"/>
        <w:snapToGrid w:val="0"/>
        <w:spacing w:line="600" w:lineRule="exact"/>
        <w:ind w:left="480" w:hanging="480"/>
        <w:rPr>
          <w:rFonts w:hint="eastAsia" w:ascii="仿宋" w:hAnsi="仿宋" w:eastAsia="仿宋"/>
          <w:sz w:val="32"/>
          <w:szCs w:val="32"/>
        </w:rPr>
      </w:pP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（二）“三公经费”支出使用和管理</w:t>
      </w:r>
    </w:p>
    <w:p>
      <w:pPr>
        <w:adjustRightInd w:val="0"/>
        <w:snapToGrid w:val="0"/>
        <w:spacing w:line="600" w:lineRule="exact"/>
        <w:ind w:left="480" w:hanging="480"/>
        <w:rPr>
          <w:rFonts w:ascii="仿宋" w:hAnsi="仿宋" w:eastAsia="仿宋"/>
          <w:sz w:val="32"/>
          <w:szCs w:val="32"/>
        </w:rPr>
      </w:pPr>
      <w:bookmarkStart w:id="1" w:name="_Toc419142213"/>
      <w:r>
        <w:rPr>
          <w:rFonts w:hint="eastAsia" w:ascii="仿宋" w:hAnsi="仿宋" w:eastAsia="仿宋"/>
          <w:sz w:val="32"/>
          <w:szCs w:val="32"/>
        </w:rPr>
        <w:t>1</w:t>
      </w:r>
      <w:bookmarkEnd w:id="1"/>
      <w:r>
        <w:rPr>
          <w:rFonts w:hint="eastAsia" w:ascii="仿宋" w:hAnsi="仿宋" w:eastAsia="仿宋"/>
          <w:sz w:val="32"/>
          <w:szCs w:val="32"/>
        </w:rPr>
        <w:t>、“三公经费”预算执行</w:t>
      </w:r>
    </w:p>
    <w:tbl>
      <w:tblPr>
        <w:tblStyle w:val="6"/>
        <w:tblW w:w="8436" w:type="dxa"/>
        <w:jc w:val="center"/>
        <w:tblLayout w:type="fixed"/>
        <w:tblCellMar>
          <w:top w:w="0" w:type="dxa"/>
          <w:left w:w="0" w:type="dxa"/>
          <w:bottom w:w="0" w:type="dxa"/>
          <w:right w:w="0" w:type="dxa"/>
        </w:tblCellMar>
      </w:tblPr>
      <w:tblGrid>
        <w:gridCol w:w="1632"/>
        <w:gridCol w:w="1065"/>
        <w:gridCol w:w="1125"/>
        <w:gridCol w:w="1005"/>
        <w:gridCol w:w="1170"/>
        <w:gridCol w:w="1149"/>
        <w:gridCol w:w="1290"/>
      </w:tblGrid>
      <w:tr>
        <w:tblPrEx>
          <w:tblCellMar>
            <w:top w:w="0" w:type="dxa"/>
            <w:left w:w="0" w:type="dxa"/>
            <w:bottom w:w="0" w:type="dxa"/>
            <w:right w:w="0" w:type="dxa"/>
          </w:tblCellMar>
        </w:tblPrEx>
        <w:trPr>
          <w:trHeight w:val="364" w:hRule="atLeast"/>
          <w:jc w:val="center"/>
        </w:trPr>
        <w:tc>
          <w:tcPr>
            <w:tcW w:w="1632" w:type="dxa"/>
            <w:vMerge w:val="restart"/>
            <w:tcBorders>
              <w:top w:val="single" w:color="000000" w:sz="8" w:space="0"/>
              <w:left w:val="single" w:color="000000" w:sz="8" w:space="0"/>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费用项目</w:t>
            </w:r>
          </w:p>
        </w:tc>
        <w:tc>
          <w:tcPr>
            <w:tcW w:w="2190" w:type="dxa"/>
            <w:gridSpan w:val="2"/>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本年预算</w:t>
            </w:r>
          </w:p>
        </w:tc>
        <w:tc>
          <w:tcPr>
            <w:tcW w:w="2175" w:type="dxa"/>
            <w:gridSpan w:val="2"/>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本年决算</w:t>
            </w:r>
          </w:p>
        </w:tc>
        <w:tc>
          <w:tcPr>
            <w:tcW w:w="2439" w:type="dxa"/>
            <w:gridSpan w:val="2"/>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结余/超支</w:t>
            </w:r>
          </w:p>
        </w:tc>
      </w:tr>
      <w:tr>
        <w:tblPrEx>
          <w:tblCellMar>
            <w:top w:w="0" w:type="dxa"/>
            <w:left w:w="0" w:type="dxa"/>
            <w:bottom w:w="0" w:type="dxa"/>
            <w:right w:w="0" w:type="dxa"/>
          </w:tblCellMar>
        </w:tblPrEx>
        <w:trPr>
          <w:trHeight w:val="580" w:hRule="atLeast"/>
          <w:jc w:val="center"/>
        </w:trPr>
        <w:tc>
          <w:tcPr>
            <w:tcW w:w="1632" w:type="dxa"/>
            <w:vMerge w:val="continue"/>
            <w:tcBorders>
              <w:top w:val="single" w:color="000000" w:sz="8" w:space="0"/>
              <w:left w:val="single" w:color="000000" w:sz="8" w:space="0"/>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ascii="仿宋" w:hAnsi="仿宋" w:eastAsia="仿宋" w:cs="宋体"/>
                <w:color w:val="010101"/>
                <w:kern w:val="0"/>
                <w:szCs w:val="21"/>
                <w:lang w:bidi="ar"/>
              </w:rPr>
            </w:pPr>
          </w:p>
        </w:tc>
        <w:tc>
          <w:tcPr>
            <w:tcW w:w="1065"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基本支出</w:t>
            </w:r>
          </w:p>
        </w:tc>
        <w:tc>
          <w:tcPr>
            <w:tcW w:w="1125"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项目支出</w:t>
            </w:r>
          </w:p>
        </w:tc>
        <w:tc>
          <w:tcPr>
            <w:tcW w:w="1005"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基本支出</w:t>
            </w:r>
          </w:p>
        </w:tc>
        <w:tc>
          <w:tcPr>
            <w:tcW w:w="1170"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项目支出</w:t>
            </w:r>
          </w:p>
        </w:tc>
        <w:tc>
          <w:tcPr>
            <w:tcW w:w="1149"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基本支出</w:t>
            </w:r>
          </w:p>
        </w:tc>
        <w:tc>
          <w:tcPr>
            <w:tcW w:w="1290"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项目支出</w:t>
            </w:r>
          </w:p>
        </w:tc>
      </w:tr>
      <w:tr>
        <w:tblPrEx>
          <w:tblCellMar>
            <w:top w:w="0" w:type="dxa"/>
            <w:left w:w="0" w:type="dxa"/>
            <w:bottom w:w="0" w:type="dxa"/>
            <w:right w:w="0" w:type="dxa"/>
          </w:tblCellMar>
        </w:tblPrEx>
        <w:trPr>
          <w:trHeight w:val="364" w:hRule="atLeast"/>
          <w:jc w:val="center"/>
        </w:trPr>
        <w:tc>
          <w:tcPr>
            <w:tcW w:w="1632" w:type="dxa"/>
            <w:tcBorders>
              <w:top w:val="nil"/>
              <w:left w:val="single" w:color="000000" w:sz="8" w:space="0"/>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公务接待费</w:t>
            </w:r>
          </w:p>
        </w:tc>
        <w:tc>
          <w:tcPr>
            <w:tcW w:w="106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w:t>
            </w:r>
          </w:p>
        </w:tc>
        <w:tc>
          <w:tcPr>
            <w:tcW w:w="112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00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1.0533</w:t>
            </w:r>
          </w:p>
        </w:tc>
        <w:tc>
          <w:tcPr>
            <w:tcW w:w="1170"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149"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eastAsia="zh-CN" w:bidi="ar"/>
              </w:rPr>
              <w:t>结余</w:t>
            </w:r>
            <w:r>
              <w:rPr>
                <w:rFonts w:hint="eastAsia" w:ascii="仿宋" w:hAnsi="仿宋" w:eastAsia="仿宋" w:cs="宋体"/>
                <w:color w:val="010101"/>
                <w:kern w:val="0"/>
                <w:szCs w:val="21"/>
                <w:lang w:val="en-US" w:eastAsia="zh-CN" w:bidi="ar"/>
              </w:rPr>
              <w:t>0.9467</w:t>
            </w:r>
          </w:p>
        </w:tc>
        <w:tc>
          <w:tcPr>
            <w:tcW w:w="1290"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r>
      <w:tr>
        <w:tblPrEx>
          <w:tblCellMar>
            <w:top w:w="0" w:type="dxa"/>
            <w:left w:w="0" w:type="dxa"/>
            <w:bottom w:w="0" w:type="dxa"/>
            <w:right w:w="0" w:type="dxa"/>
          </w:tblCellMar>
        </w:tblPrEx>
        <w:trPr>
          <w:trHeight w:val="400" w:hRule="atLeast"/>
          <w:jc w:val="center"/>
        </w:trPr>
        <w:tc>
          <w:tcPr>
            <w:tcW w:w="1632" w:type="dxa"/>
            <w:tcBorders>
              <w:top w:val="nil"/>
              <w:left w:val="single" w:color="000000" w:sz="8" w:space="0"/>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公车运行维护费</w:t>
            </w:r>
          </w:p>
        </w:tc>
        <w:tc>
          <w:tcPr>
            <w:tcW w:w="106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w:t>
            </w:r>
          </w:p>
        </w:tc>
        <w:tc>
          <w:tcPr>
            <w:tcW w:w="112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005"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12.2217</w:t>
            </w:r>
          </w:p>
        </w:tc>
        <w:tc>
          <w:tcPr>
            <w:tcW w:w="1170"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149"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5.2217</w:t>
            </w:r>
          </w:p>
        </w:tc>
        <w:tc>
          <w:tcPr>
            <w:tcW w:w="1290" w:type="dxa"/>
            <w:tcBorders>
              <w:top w:val="nil"/>
              <w:left w:val="nil"/>
              <w:bottom w:val="single" w:color="000000" w:sz="8" w:space="0"/>
              <w:right w:val="single" w:color="000000" w:sz="8" w:space="0"/>
            </w:tcBorders>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r>
      <w:tr>
        <w:tblPrEx>
          <w:tblCellMar>
            <w:top w:w="0" w:type="dxa"/>
            <w:left w:w="0" w:type="dxa"/>
            <w:bottom w:w="0" w:type="dxa"/>
            <w:right w:w="0" w:type="dxa"/>
          </w:tblCellMar>
        </w:tblPrEx>
        <w:trPr>
          <w:trHeight w:val="399" w:hRule="atLeast"/>
          <w:jc w:val="center"/>
        </w:trPr>
        <w:tc>
          <w:tcPr>
            <w:tcW w:w="1632" w:type="dxa"/>
            <w:tcBorders>
              <w:top w:val="nil"/>
              <w:left w:val="single" w:color="000000" w:sz="8" w:space="0"/>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1065"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9</w:t>
            </w:r>
          </w:p>
        </w:tc>
        <w:tc>
          <w:tcPr>
            <w:tcW w:w="1125"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005"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13.275</w:t>
            </w:r>
          </w:p>
        </w:tc>
        <w:tc>
          <w:tcPr>
            <w:tcW w:w="1170"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1149"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超支</w:t>
            </w:r>
            <w:r>
              <w:rPr>
                <w:rFonts w:hint="eastAsia" w:ascii="仿宋" w:hAnsi="仿宋" w:eastAsia="仿宋" w:cs="宋体"/>
                <w:color w:val="010101"/>
                <w:kern w:val="0"/>
                <w:szCs w:val="21"/>
                <w:lang w:val="en-US" w:eastAsia="zh-CN" w:bidi="ar"/>
              </w:rPr>
              <w:t>4.275</w:t>
            </w:r>
          </w:p>
        </w:tc>
        <w:tc>
          <w:tcPr>
            <w:tcW w:w="1290" w:type="dxa"/>
            <w:tcBorders>
              <w:top w:val="nil"/>
              <w:left w:val="nil"/>
              <w:bottom w:val="single" w:color="000000" w:sz="8" w:space="0"/>
              <w:right w:val="single" w:color="000000" w:sz="8" w:space="0"/>
            </w:tcBorders>
            <w:shd w:val="clear" w:color="auto" w:fill="D9D9D9"/>
            <w:noWrap w:val="0"/>
            <w:tcMar>
              <w:left w:w="15" w:type="dxa"/>
              <w:right w:w="15" w:type="dxa"/>
            </w:tcMar>
            <w:vAlign w:val="top"/>
          </w:tcPr>
          <w:p>
            <w:pPr>
              <w:widowControl/>
              <w:snapToGrid w:val="0"/>
              <w:spacing w:line="600" w:lineRule="exact"/>
              <w:ind w:left="315" w:hanging="315"/>
              <w:jc w:val="center"/>
              <w:rPr>
                <w:rFonts w:hint="eastAsia" w:ascii="仿宋" w:hAnsi="仿宋" w:eastAsia="仿宋" w:cs="宋体"/>
                <w:color w:val="010101"/>
                <w:kern w:val="0"/>
                <w:szCs w:val="21"/>
                <w:lang w:bidi="ar"/>
              </w:rPr>
            </w:pPr>
          </w:p>
        </w:tc>
      </w:tr>
    </w:tbl>
    <w:p>
      <w:pPr>
        <w:numPr>
          <w:ilvl w:val="0"/>
          <w:numId w:val="3"/>
        </w:num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公务接待费</w:t>
      </w:r>
      <w:r>
        <w:rPr>
          <w:rFonts w:hint="eastAsia" w:ascii="仿宋" w:hAnsi="仿宋" w:eastAsia="仿宋"/>
          <w:sz w:val="32"/>
          <w:szCs w:val="32"/>
          <w:lang w:eastAsia="zh-CN"/>
        </w:rPr>
        <w:t>结余</w:t>
      </w:r>
      <w:r>
        <w:rPr>
          <w:rFonts w:hint="eastAsia" w:ascii="仿宋" w:hAnsi="仿宋" w:eastAsia="仿宋"/>
          <w:sz w:val="32"/>
          <w:szCs w:val="32"/>
        </w:rPr>
        <w:t>原因：本年度严格凭接待函安排在局食堂就餐，无公函一律不接待。</w:t>
      </w:r>
    </w:p>
    <w:p>
      <w:pPr>
        <w:numPr>
          <w:ilvl w:val="0"/>
          <w:numId w:val="3"/>
        </w:num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公车运行维护费超支的原因：工程项目增加，下乡频繁；车辆老化，修理费及油耗增加。</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2、“三公经费”与上年度比较</w:t>
      </w:r>
    </w:p>
    <w:tbl>
      <w:tblPr>
        <w:tblStyle w:val="6"/>
        <w:tblW w:w="0" w:type="auto"/>
        <w:jc w:val="center"/>
        <w:tblLayout w:type="fixed"/>
        <w:tblCellMar>
          <w:top w:w="0" w:type="dxa"/>
          <w:left w:w="0" w:type="dxa"/>
          <w:bottom w:w="0" w:type="dxa"/>
          <w:right w:w="0" w:type="dxa"/>
        </w:tblCellMar>
      </w:tblPr>
      <w:tblGrid>
        <w:gridCol w:w="1795"/>
        <w:gridCol w:w="1179"/>
        <w:gridCol w:w="1255"/>
        <w:gridCol w:w="1249"/>
        <w:gridCol w:w="2477"/>
      </w:tblGrid>
      <w:tr>
        <w:tblPrEx>
          <w:tblCellMar>
            <w:top w:w="0" w:type="dxa"/>
            <w:left w:w="0" w:type="dxa"/>
            <w:bottom w:w="0" w:type="dxa"/>
            <w:right w:w="0" w:type="dxa"/>
          </w:tblCellMar>
        </w:tblPrEx>
        <w:trPr>
          <w:trHeight w:val="331" w:hRule="atLeast"/>
          <w:jc w:val="center"/>
        </w:trPr>
        <w:tc>
          <w:tcPr>
            <w:tcW w:w="1795" w:type="dxa"/>
            <w:tcBorders>
              <w:top w:val="single" w:color="000000" w:sz="8" w:space="0"/>
              <w:left w:val="single" w:color="000000" w:sz="8" w:space="0"/>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费用项目</w:t>
            </w:r>
          </w:p>
        </w:tc>
        <w:tc>
          <w:tcPr>
            <w:tcW w:w="1179" w:type="dxa"/>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本年金额</w:t>
            </w:r>
          </w:p>
        </w:tc>
        <w:tc>
          <w:tcPr>
            <w:tcW w:w="1255" w:type="dxa"/>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上年金额</w:t>
            </w:r>
          </w:p>
        </w:tc>
        <w:tc>
          <w:tcPr>
            <w:tcW w:w="1249" w:type="dxa"/>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增减额</w:t>
            </w:r>
          </w:p>
        </w:tc>
        <w:tc>
          <w:tcPr>
            <w:tcW w:w="2477" w:type="dxa"/>
            <w:tcBorders>
              <w:top w:val="single" w:color="000000" w:sz="8" w:space="0"/>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增减率%</w:t>
            </w:r>
          </w:p>
        </w:tc>
      </w:tr>
      <w:tr>
        <w:tblPrEx>
          <w:tblCellMar>
            <w:top w:w="0" w:type="dxa"/>
            <w:left w:w="0" w:type="dxa"/>
            <w:bottom w:w="0" w:type="dxa"/>
            <w:right w:w="0" w:type="dxa"/>
          </w:tblCellMar>
        </w:tblPrEx>
        <w:trPr>
          <w:trHeight w:val="331" w:hRule="atLeast"/>
          <w:jc w:val="center"/>
        </w:trPr>
        <w:tc>
          <w:tcPr>
            <w:tcW w:w="1795" w:type="dxa"/>
            <w:tcBorders>
              <w:top w:val="nil"/>
              <w:left w:val="single" w:color="000000" w:sz="8" w:space="0"/>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公务接待费</w:t>
            </w:r>
          </w:p>
        </w:tc>
        <w:tc>
          <w:tcPr>
            <w:tcW w:w="1179"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1.0533</w:t>
            </w:r>
          </w:p>
        </w:tc>
        <w:tc>
          <w:tcPr>
            <w:tcW w:w="1255"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bidi="ar"/>
              </w:rPr>
              <w:t>1.13</w:t>
            </w:r>
          </w:p>
        </w:tc>
        <w:tc>
          <w:tcPr>
            <w:tcW w:w="1249"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0.0767</w:t>
            </w:r>
          </w:p>
        </w:tc>
        <w:tc>
          <w:tcPr>
            <w:tcW w:w="2477"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6.79%</w:t>
            </w:r>
          </w:p>
        </w:tc>
      </w:tr>
      <w:tr>
        <w:tblPrEx>
          <w:tblCellMar>
            <w:top w:w="0" w:type="dxa"/>
            <w:left w:w="0" w:type="dxa"/>
            <w:bottom w:w="0" w:type="dxa"/>
            <w:right w:w="0" w:type="dxa"/>
          </w:tblCellMar>
        </w:tblPrEx>
        <w:trPr>
          <w:trHeight w:val="331" w:hRule="atLeast"/>
          <w:jc w:val="center"/>
        </w:trPr>
        <w:tc>
          <w:tcPr>
            <w:tcW w:w="1795" w:type="dxa"/>
            <w:tcBorders>
              <w:top w:val="nil"/>
              <w:left w:val="single" w:color="000000" w:sz="8" w:space="0"/>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公车运行维护费</w:t>
            </w:r>
          </w:p>
        </w:tc>
        <w:tc>
          <w:tcPr>
            <w:tcW w:w="1179"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12.2217</w:t>
            </w:r>
          </w:p>
        </w:tc>
        <w:tc>
          <w:tcPr>
            <w:tcW w:w="1255"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bidi="ar"/>
              </w:rPr>
              <w:t>14.013</w:t>
            </w:r>
          </w:p>
        </w:tc>
        <w:tc>
          <w:tcPr>
            <w:tcW w:w="1249"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1.7913</w:t>
            </w:r>
          </w:p>
        </w:tc>
        <w:tc>
          <w:tcPr>
            <w:tcW w:w="2477" w:type="dxa"/>
            <w:tcBorders>
              <w:top w:val="nil"/>
              <w:left w:val="nil"/>
              <w:bottom w:val="single" w:color="000000" w:sz="8" w:space="0"/>
              <w:right w:val="single" w:color="000000" w:sz="8" w:space="0"/>
            </w:tcBorders>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12.79%</w:t>
            </w:r>
          </w:p>
        </w:tc>
      </w:tr>
      <w:tr>
        <w:tblPrEx>
          <w:tblCellMar>
            <w:top w:w="0" w:type="dxa"/>
            <w:left w:w="0" w:type="dxa"/>
            <w:bottom w:w="0" w:type="dxa"/>
            <w:right w:w="0" w:type="dxa"/>
          </w:tblCellMar>
        </w:tblPrEx>
        <w:trPr>
          <w:trHeight w:val="369" w:hRule="atLeast"/>
          <w:jc w:val="center"/>
        </w:trPr>
        <w:tc>
          <w:tcPr>
            <w:tcW w:w="1795" w:type="dxa"/>
            <w:tcBorders>
              <w:top w:val="nil"/>
              <w:left w:val="single" w:color="000000" w:sz="8" w:space="0"/>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1179"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13.275</w:t>
            </w:r>
          </w:p>
        </w:tc>
        <w:tc>
          <w:tcPr>
            <w:tcW w:w="1255"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15.143</w:t>
            </w:r>
          </w:p>
        </w:tc>
        <w:tc>
          <w:tcPr>
            <w:tcW w:w="1249"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1.868</w:t>
            </w:r>
          </w:p>
        </w:tc>
        <w:tc>
          <w:tcPr>
            <w:tcW w:w="2477" w:type="dxa"/>
            <w:tcBorders>
              <w:top w:val="nil"/>
              <w:left w:val="nil"/>
              <w:bottom w:val="single" w:color="000000" w:sz="8" w:space="0"/>
              <w:right w:val="single" w:color="000000" w:sz="8" w:space="0"/>
            </w:tcBorders>
            <w:shd w:val="clear" w:color="auto" w:fill="D9D9D9"/>
            <w:noWrap w:val="0"/>
            <w:tcMar>
              <w:left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eastAsia="zh-CN" w:bidi="ar"/>
              </w:rPr>
              <w:t>减少</w:t>
            </w:r>
            <w:r>
              <w:rPr>
                <w:rFonts w:hint="eastAsia" w:ascii="仿宋" w:hAnsi="仿宋" w:eastAsia="仿宋" w:cs="宋体"/>
                <w:color w:val="010101"/>
                <w:kern w:val="0"/>
                <w:szCs w:val="21"/>
                <w:lang w:val="en-US" w:eastAsia="zh-CN" w:bidi="ar"/>
              </w:rPr>
              <w:t>12.34%</w:t>
            </w:r>
          </w:p>
        </w:tc>
      </w:tr>
    </w:tbl>
    <w:p>
      <w:pPr>
        <w:adjustRightInd w:val="0"/>
        <w:snapToGrid w:val="0"/>
        <w:spacing w:line="600" w:lineRule="exact"/>
        <w:ind w:left="0" w:leftChars="0" w:firstLine="0" w:firstLineChars="0"/>
        <w:rPr>
          <w:rFonts w:hint="eastAsia" w:ascii="仿宋" w:hAnsi="仿宋" w:eastAsia="仿宋"/>
          <w:sz w:val="32"/>
          <w:szCs w:val="32"/>
        </w:rPr>
      </w:pPr>
      <w:r>
        <w:rPr>
          <w:rFonts w:hint="eastAsia" w:ascii="仿宋" w:hAnsi="仿宋" w:eastAsia="仿宋"/>
          <w:sz w:val="32"/>
          <w:szCs w:val="32"/>
        </w:rPr>
        <w:t>（三）专项支出管理</w:t>
      </w:r>
    </w:p>
    <w:p>
      <w:p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1、专项资金基本情况及绩效目标</w:t>
      </w:r>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我单位20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年预算以外的在建项目有G207线落马江至武桥路面大修工程</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干线公路安保工程</w:t>
      </w:r>
      <w:r>
        <w:rPr>
          <w:rFonts w:hint="eastAsia" w:ascii="仿宋" w:hAnsi="仿宋" w:eastAsia="仿宋" w:cs="仿宋"/>
          <w:color w:val="333333"/>
          <w:kern w:val="0"/>
          <w:sz w:val="32"/>
          <w:szCs w:val="32"/>
          <w:lang w:eastAsia="zh-CN"/>
        </w:rPr>
        <w:t>。预算内项目有</w:t>
      </w:r>
      <w:r>
        <w:rPr>
          <w:rFonts w:hint="eastAsia" w:ascii="仿宋" w:hAnsi="仿宋" w:eastAsia="仿宋" w:cs="仿宋"/>
          <w:color w:val="333333"/>
          <w:kern w:val="0"/>
          <w:sz w:val="32"/>
          <w:szCs w:val="32"/>
        </w:rPr>
        <w:t>干线公路</w:t>
      </w:r>
      <w:r>
        <w:rPr>
          <w:rFonts w:hint="eastAsia" w:ascii="仿宋" w:hAnsi="仿宋" w:eastAsia="仿宋" w:cs="仿宋"/>
          <w:color w:val="333333"/>
          <w:kern w:val="0"/>
          <w:sz w:val="32"/>
          <w:szCs w:val="32"/>
          <w:lang w:eastAsia="zh-CN"/>
        </w:rPr>
        <w:t>养护</w:t>
      </w:r>
      <w:r>
        <w:rPr>
          <w:rFonts w:hint="eastAsia" w:ascii="仿宋" w:hAnsi="仿宋" w:eastAsia="仿宋" w:cs="仿宋"/>
          <w:color w:val="333333"/>
          <w:kern w:val="0"/>
          <w:sz w:val="32"/>
          <w:szCs w:val="32"/>
        </w:rPr>
        <w:t>工程、干线公路绿化工程。</w:t>
      </w:r>
    </w:p>
    <w:p>
      <w:pPr>
        <w:widowControl/>
        <w:shd w:val="clear" w:color="auto" w:fill="FFFFFF"/>
        <w:spacing w:line="640" w:lineRule="exact"/>
        <w:ind w:left="0"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2019年</w:t>
      </w:r>
      <w:r>
        <w:rPr>
          <w:rFonts w:hint="eastAsia" w:ascii="仿宋" w:hAnsi="仿宋" w:eastAsia="仿宋" w:cs="仿宋"/>
          <w:color w:val="000000"/>
          <w:kern w:val="0"/>
          <w:sz w:val="32"/>
          <w:szCs w:val="32"/>
        </w:rPr>
        <w:t>G207线落马江至武桥路面大修工程。评审预算价为3168.6543万元（其中：省补资金为1836万元，县财政配套资金为1332.6543万元）。合同造价3157.96万元，20</w:t>
      </w:r>
      <w:r>
        <w:rPr>
          <w:rFonts w:hint="eastAsia" w:ascii="仿宋" w:hAnsi="仿宋" w:eastAsia="仿宋" w:cs="仿宋"/>
          <w:color w:val="000000"/>
          <w:kern w:val="0"/>
          <w:sz w:val="32"/>
          <w:szCs w:val="32"/>
          <w:lang w:val="en-US" w:eastAsia="zh-CN"/>
        </w:rPr>
        <w:t>20</w:t>
      </w:r>
      <w:r>
        <w:rPr>
          <w:rFonts w:hint="eastAsia" w:ascii="仿宋" w:hAnsi="仿宋" w:eastAsia="仿宋" w:cs="仿宋"/>
          <w:color w:val="000000"/>
          <w:kern w:val="0"/>
          <w:sz w:val="32"/>
          <w:szCs w:val="32"/>
        </w:rPr>
        <w:t>年投入资金</w:t>
      </w:r>
      <w:r>
        <w:rPr>
          <w:rFonts w:hint="eastAsia" w:ascii="仿宋" w:hAnsi="仿宋" w:eastAsia="仿宋" w:cs="仿宋"/>
          <w:color w:val="000000"/>
          <w:kern w:val="0"/>
          <w:sz w:val="32"/>
          <w:szCs w:val="32"/>
          <w:lang w:val="en-US" w:eastAsia="zh-CN"/>
        </w:rPr>
        <w:t>1006</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（其中省补资金</w:t>
      </w:r>
      <w:r>
        <w:rPr>
          <w:rFonts w:hint="eastAsia" w:ascii="仿宋" w:hAnsi="仿宋" w:eastAsia="仿宋" w:cs="仿宋"/>
          <w:color w:val="000000"/>
          <w:kern w:val="0"/>
          <w:sz w:val="32"/>
          <w:szCs w:val="32"/>
          <w:lang w:val="en-US" w:eastAsia="zh-CN"/>
        </w:rPr>
        <w:t>346万元、县财政配套资金660万元</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。采用计量支付的付款方式，工程款由</w:t>
      </w:r>
      <w:r>
        <w:rPr>
          <w:rFonts w:hint="eastAsia" w:ascii="仿宋" w:hAnsi="仿宋" w:eastAsia="仿宋" w:cs="仿宋"/>
          <w:color w:val="000000"/>
          <w:kern w:val="0"/>
          <w:sz w:val="32"/>
          <w:szCs w:val="32"/>
          <w:lang w:eastAsia="zh-CN"/>
        </w:rPr>
        <w:t>县</w:t>
      </w:r>
      <w:r>
        <w:rPr>
          <w:rFonts w:hint="eastAsia" w:ascii="仿宋" w:hAnsi="仿宋" w:eastAsia="仿宋" w:cs="仿宋"/>
          <w:color w:val="000000"/>
          <w:kern w:val="0"/>
          <w:sz w:val="32"/>
          <w:szCs w:val="32"/>
        </w:rPr>
        <w:t>财政</w:t>
      </w:r>
      <w:r>
        <w:rPr>
          <w:rFonts w:hint="eastAsia" w:ascii="仿宋" w:hAnsi="仿宋" w:eastAsia="仿宋" w:cs="仿宋"/>
          <w:color w:val="000000"/>
          <w:kern w:val="0"/>
          <w:sz w:val="32"/>
          <w:szCs w:val="32"/>
          <w:lang w:eastAsia="zh-CN"/>
        </w:rPr>
        <w:t>局国库</w:t>
      </w:r>
      <w:r>
        <w:rPr>
          <w:rFonts w:hint="eastAsia" w:ascii="仿宋" w:hAnsi="仿宋" w:eastAsia="仿宋" w:cs="仿宋"/>
          <w:color w:val="000000"/>
          <w:kern w:val="0"/>
          <w:sz w:val="32"/>
          <w:szCs w:val="32"/>
        </w:rPr>
        <w:t>集中支付。项目审计完成前累计拨付按不大于合同价80%控制。此项目的实施，保障了所辖公路安全畅通，建成畅、安、舒、美的美丽公路。为我县政治、经济的发展提供交通保障。</w:t>
      </w:r>
    </w:p>
    <w:p>
      <w:pPr>
        <w:widowControl/>
        <w:shd w:val="clear" w:color="auto" w:fill="FFFFFF"/>
        <w:spacing w:line="640" w:lineRule="exact"/>
        <w:ind w:left="0" w:firstLine="640" w:firstLineChars="200"/>
        <w:rPr>
          <w:rFonts w:hint="eastAsia" w:ascii="仿宋" w:hAnsi="仿宋" w:eastAsia="仿宋" w:cs="仿宋"/>
          <w:color w:val="000000"/>
          <w:kern w:val="0"/>
          <w:sz w:val="32"/>
          <w:szCs w:val="32"/>
        </w:rPr>
      </w:pP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2</w:t>
      </w:r>
      <w:r>
        <w:rPr>
          <w:rFonts w:hint="eastAsia" w:ascii="仿宋" w:hAnsi="仿宋" w:eastAsia="仿宋" w:cs="仿宋"/>
          <w:color w:val="333333"/>
          <w:kern w:val="0"/>
          <w:sz w:val="32"/>
          <w:szCs w:val="32"/>
        </w:rPr>
        <w:t>）、干线公路安保工程。</w:t>
      </w:r>
      <w:r>
        <w:rPr>
          <w:rFonts w:hint="eastAsia" w:ascii="仿宋" w:hAnsi="仿宋" w:eastAsia="仿宋" w:cs="仿宋"/>
          <w:color w:val="333333"/>
          <w:kern w:val="0"/>
          <w:sz w:val="32"/>
          <w:szCs w:val="32"/>
          <w:lang w:val="en-US" w:eastAsia="zh-CN"/>
        </w:rPr>
        <w:t>2019年省补资金103万元，</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eastAsia="zh-CN"/>
        </w:rPr>
        <w:t>省补</w:t>
      </w:r>
      <w:r>
        <w:rPr>
          <w:rFonts w:hint="eastAsia" w:ascii="仿宋" w:hAnsi="仿宋" w:eastAsia="仿宋" w:cs="仿宋"/>
          <w:color w:val="333333"/>
          <w:kern w:val="0"/>
          <w:sz w:val="32"/>
          <w:szCs w:val="32"/>
        </w:rPr>
        <w:t>资金</w:t>
      </w:r>
      <w:r>
        <w:rPr>
          <w:rFonts w:hint="eastAsia" w:ascii="仿宋" w:hAnsi="仿宋" w:eastAsia="仿宋" w:cs="仿宋"/>
          <w:color w:val="333333"/>
          <w:kern w:val="0"/>
          <w:sz w:val="32"/>
          <w:szCs w:val="32"/>
          <w:lang w:val="en-US" w:eastAsia="zh-CN"/>
        </w:rPr>
        <w:t>245</w:t>
      </w:r>
      <w:r>
        <w:rPr>
          <w:rFonts w:hint="eastAsia" w:ascii="仿宋" w:hAnsi="仿宋" w:eastAsia="仿宋" w:cs="仿宋"/>
          <w:color w:val="333333"/>
          <w:kern w:val="0"/>
          <w:sz w:val="32"/>
          <w:szCs w:val="32"/>
        </w:rPr>
        <w:t>万元。</w:t>
      </w:r>
      <w:r>
        <w:rPr>
          <w:rFonts w:hint="eastAsia" w:ascii="仿宋" w:hAnsi="仿宋" w:eastAsia="仿宋" w:cs="仿宋"/>
          <w:color w:val="000000"/>
          <w:kern w:val="0"/>
          <w:sz w:val="32"/>
          <w:szCs w:val="32"/>
        </w:rPr>
        <w:t>工作内容包括防撞护栏、钢护栏、标志牌、公路标线等工程。</w:t>
      </w:r>
      <w:r>
        <w:rPr>
          <w:rFonts w:hint="eastAsia" w:ascii="仿宋" w:hAnsi="仿宋" w:eastAsia="仿宋" w:cs="仿宋"/>
          <w:color w:val="333333"/>
          <w:kern w:val="0"/>
          <w:sz w:val="32"/>
          <w:szCs w:val="32"/>
        </w:rPr>
        <w:t>本</w:t>
      </w:r>
      <w:r>
        <w:rPr>
          <w:rFonts w:hint="eastAsia" w:ascii="仿宋" w:hAnsi="仿宋" w:eastAsia="仿宋" w:cs="仿宋"/>
          <w:color w:val="000000"/>
          <w:kern w:val="0"/>
          <w:sz w:val="32"/>
          <w:szCs w:val="32"/>
        </w:rPr>
        <w:t>工程采用计量支付的付款方式，工程款由</w:t>
      </w:r>
      <w:r>
        <w:rPr>
          <w:rFonts w:hint="eastAsia" w:ascii="仿宋" w:hAnsi="仿宋" w:eastAsia="仿宋" w:cs="仿宋"/>
          <w:color w:val="000000"/>
          <w:kern w:val="0"/>
          <w:sz w:val="32"/>
          <w:szCs w:val="32"/>
          <w:lang w:eastAsia="zh-CN"/>
        </w:rPr>
        <w:t>县</w:t>
      </w:r>
      <w:r>
        <w:rPr>
          <w:rFonts w:hint="eastAsia" w:ascii="仿宋" w:hAnsi="仿宋" w:eastAsia="仿宋" w:cs="仿宋"/>
          <w:color w:val="000000"/>
          <w:kern w:val="0"/>
          <w:sz w:val="32"/>
          <w:szCs w:val="32"/>
        </w:rPr>
        <w:t>财政</w:t>
      </w:r>
      <w:r>
        <w:rPr>
          <w:rFonts w:hint="eastAsia" w:ascii="仿宋" w:hAnsi="仿宋" w:eastAsia="仿宋" w:cs="仿宋"/>
          <w:color w:val="000000"/>
          <w:kern w:val="0"/>
          <w:sz w:val="32"/>
          <w:szCs w:val="32"/>
          <w:lang w:eastAsia="zh-CN"/>
        </w:rPr>
        <w:t>局国库</w:t>
      </w:r>
      <w:r>
        <w:rPr>
          <w:rFonts w:hint="eastAsia" w:ascii="仿宋" w:hAnsi="仿宋" w:eastAsia="仿宋" w:cs="仿宋"/>
          <w:color w:val="000000"/>
          <w:kern w:val="0"/>
          <w:sz w:val="32"/>
          <w:szCs w:val="32"/>
        </w:rPr>
        <w:t>集中支付。项目审计完成前累计拨付按不大于合同价80%控制。本项目实施后改善了公路路段安保隐患，保障了行车及行人安全。</w:t>
      </w:r>
    </w:p>
    <w:p>
      <w:pPr>
        <w:widowControl/>
        <w:shd w:val="clear" w:color="auto" w:fill="FFFFFF"/>
        <w:spacing w:line="640" w:lineRule="exact"/>
        <w:ind w:left="0" w:firstLine="640" w:firstLineChars="200"/>
        <w:rPr>
          <w:rFonts w:hint="eastAsia" w:ascii="仿宋" w:hAnsi="仿宋" w:eastAsia="仿宋" w:cs="仿宋"/>
          <w:color w:val="000000"/>
          <w:kern w:val="0"/>
          <w:sz w:val="32"/>
          <w:szCs w:val="32"/>
        </w:rPr>
      </w:pPr>
      <w:r>
        <w:rPr>
          <w:rFonts w:hint="eastAsia" w:ascii="仿宋" w:hAnsi="仿宋" w:eastAsia="仿宋"/>
          <w:sz w:val="32"/>
          <w:szCs w:val="32"/>
        </w:rPr>
        <w:t>（</w:t>
      </w:r>
      <w:r>
        <w:rPr>
          <w:rFonts w:hint="eastAsia" w:ascii="仿宋" w:hAnsi="仿宋" w:eastAsia="仿宋"/>
          <w:sz w:val="32"/>
          <w:szCs w:val="32"/>
          <w:lang w:val="en-US" w:eastAsia="zh-CN"/>
        </w:rPr>
        <w:t>3</w:t>
      </w:r>
      <w:r>
        <w:rPr>
          <w:rFonts w:hint="eastAsia" w:ascii="仿宋" w:hAnsi="仿宋" w:eastAsia="仿宋"/>
          <w:sz w:val="32"/>
          <w:szCs w:val="32"/>
        </w:rPr>
        <w:t>）、G207线</w:t>
      </w:r>
      <w:r>
        <w:rPr>
          <w:rFonts w:hint="eastAsia" w:ascii="仿宋" w:hAnsi="仿宋" w:eastAsia="仿宋"/>
          <w:sz w:val="32"/>
          <w:szCs w:val="32"/>
          <w:lang w:eastAsia="zh-CN"/>
        </w:rPr>
        <w:t>及</w:t>
      </w:r>
      <w:r>
        <w:rPr>
          <w:rFonts w:hint="eastAsia" w:ascii="仿宋" w:hAnsi="仿宋" w:eastAsia="仿宋"/>
          <w:sz w:val="32"/>
          <w:szCs w:val="32"/>
          <w:lang w:val="en-US" w:eastAsia="zh-CN"/>
        </w:rPr>
        <w:t>S236线干线公路路面大修</w:t>
      </w:r>
      <w:r>
        <w:rPr>
          <w:rFonts w:hint="eastAsia" w:ascii="仿宋" w:hAnsi="仿宋" w:eastAsia="仿宋"/>
          <w:sz w:val="32"/>
          <w:szCs w:val="32"/>
        </w:rPr>
        <w:t>工程</w:t>
      </w:r>
      <w:r>
        <w:rPr>
          <w:rFonts w:hint="eastAsia" w:ascii="仿宋" w:hAnsi="仿宋" w:eastAsia="仿宋"/>
          <w:sz w:val="32"/>
          <w:szCs w:val="32"/>
          <w:lang w:eastAsia="zh-CN"/>
        </w:rPr>
        <w:t>。</w:t>
      </w: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年省补资金</w:t>
      </w:r>
      <w:r>
        <w:rPr>
          <w:rFonts w:hint="eastAsia" w:ascii="仿宋" w:hAnsi="仿宋" w:eastAsia="仿宋"/>
          <w:sz w:val="32"/>
          <w:szCs w:val="32"/>
          <w:lang w:val="en-US" w:eastAsia="zh-CN"/>
        </w:rPr>
        <w:t>1280</w:t>
      </w:r>
      <w:r>
        <w:rPr>
          <w:rFonts w:hint="eastAsia" w:ascii="仿宋" w:hAnsi="仿宋" w:eastAsia="仿宋"/>
          <w:sz w:val="32"/>
          <w:szCs w:val="32"/>
        </w:rPr>
        <w:t>万元</w:t>
      </w:r>
      <w:r>
        <w:rPr>
          <w:rFonts w:hint="eastAsia" w:ascii="仿宋" w:hAnsi="仿宋" w:eastAsia="仿宋"/>
          <w:sz w:val="32"/>
          <w:szCs w:val="32"/>
          <w:lang w:eastAsia="zh-CN"/>
        </w:rPr>
        <w:t>（其中</w:t>
      </w:r>
      <w:r>
        <w:rPr>
          <w:rFonts w:hint="eastAsia" w:ascii="仿宋" w:hAnsi="仿宋" w:eastAsia="仿宋"/>
          <w:sz w:val="32"/>
          <w:szCs w:val="32"/>
          <w:lang w:val="en-US" w:eastAsia="zh-CN"/>
        </w:rPr>
        <w:t>G207线1060万元、S236线220万元</w:t>
      </w:r>
      <w:r>
        <w:rPr>
          <w:rFonts w:hint="eastAsia" w:ascii="仿宋" w:hAnsi="仿宋" w:eastAsia="仿宋"/>
          <w:sz w:val="32"/>
          <w:szCs w:val="32"/>
          <w:lang w:eastAsia="zh-CN"/>
        </w:rPr>
        <w:t>）</w:t>
      </w:r>
      <w:r>
        <w:rPr>
          <w:rFonts w:hint="eastAsia" w:ascii="仿宋" w:hAnsi="仿宋" w:eastAsia="仿宋"/>
          <w:sz w:val="32"/>
          <w:szCs w:val="32"/>
        </w:rPr>
        <w:t>，</w:t>
      </w:r>
      <w:r>
        <w:rPr>
          <w:rFonts w:hint="eastAsia" w:ascii="仿宋" w:hAnsi="仿宋" w:eastAsia="仿宋" w:cs="仿宋"/>
          <w:color w:val="000000"/>
          <w:kern w:val="0"/>
          <w:sz w:val="32"/>
          <w:szCs w:val="32"/>
        </w:rPr>
        <w:t>采用计量支付的付款方式，工程款由</w:t>
      </w:r>
      <w:r>
        <w:rPr>
          <w:rFonts w:hint="eastAsia" w:ascii="仿宋" w:hAnsi="仿宋" w:eastAsia="仿宋" w:cs="仿宋"/>
          <w:color w:val="000000"/>
          <w:kern w:val="0"/>
          <w:sz w:val="32"/>
          <w:szCs w:val="32"/>
          <w:lang w:eastAsia="zh-CN"/>
        </w:rPr>
        <w:t>县</w:t>
      </w:r>
      <w:r>
        <w:rPr>
          <w:rFonts w:hint="eastAsia" w:ascii="仿宋" w:hAnsi="仿宋" w:eastAsia="仿宋" w:cs="仿宋"/>
          <w:color w:val="000000"/>
          <w:kern w:val="0"/>
          <w:sz w:val="32"/>
          <w:szCs w:val="32"/>
        </w:rPr>
        <w:t>财政</w:t>
      </w:r>
      <w:r>
        <w:rPr>
          <w:rFonts w:hint="eastAsia" w:ascii="仿宋" w:hAnsi="仿宋" w:eastAsia="仿宋" w:cs="仿宋"/>
          <w:color w:val="000000"/>
          <w:kern w:val="0"/>
          <w:sz w:val="32"/>
          <w:szCs w:val="32"/>
          <w:lang w:eastAsia="zh-CN"/>
        </w:rPr>
        <w:t>局国库</w:t>
      </w:r>
      <w:r>
        <w:rPr>
          <w:rFonts w:hint="eastAsia" w:ascii="仿宋" w:hAnsi="仿宋" w:eastAsia="仿宋" w:cs="仿宋"/>
          <w:color w:val="000000"/>
          <w:kern w:val="0"/>
          <w:sz w:val="32"/>
          <w:szCs w:val="32"/>
        </w:rPr>
        <w:t>集中支付。项目审计完成前累计拨付按不大于合同价80%控制。此项目的实施，保障了所辖公路安全畅通，建成畅、安、舒、美的美丽公路。为我县政治、经济的发展提供交通保障。</w:t>
      </w:r>
    </w:p>
    <w:p>
      <w:pPr>
        <w:widowControl/>
        <w:shd w:val="clear" w:color="auto" w:fill="FFFFFF"/>
        <w:spacing w:line="640" w:lineRule="exact"/>
        <w:ind w:left="0" w:leftChars="0"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）、干线公路</w:t>
      </w:r>
      <w:r>
        <w:rPr>
          <w:rFonts w:hint="eastAsia" w:ascii="仿宋" w:hAnsi="仿宋" w:eastAsia="仿宋" w:cs="仿宋"/>
          <w:color w:val="000000"/>
          <w:kern w:val="0"/>
          <w:sz w:val="32"/>
          <w:szCs w:val="32"/>
          <w:lang w:eastAsia="zh-CN"/>
        </w:rPr>
        <w:t>绿化</w:t>
      </w:r>
      <w:r>
        <w:rPr>
          <w:rFonts w:hint="eastAsia" w:ascii="仿宋" w:hAnsi="仿宋" w:eastAsia="仿宋" w:cs="仿宋"/>
          <w:color w:val="000000"/>
          <w:kern w:val="0"/>
          <w:sz w:val="32"/>
          <w:szCs w:val="32"/>
        </w:rPr>
        <w:t>工程。20</w:t>
      </w:r>
      <w:r>
        <w:rPr>
          <w:rFonts w:hint="eastAsia" w:ascii="仿宋" w:hAnsi="仿宋" w:eastAsia="仿宋" w:cs="仿宋"/>
          <w:color w:val="000000"/>
          <w:kern w:val="0"/>
          <w:sz w:val="32"/>
          <w:szCs w:val="32"/>
          <w:lang w:val="en-US" w:eastAsia="zh-CN"/>
        </w:rPr>
        <w:t>20</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eastAsia="zh-CN"/>
        </w:rPr>
        <w:t>县财政预算</w:t>
      </w:r>
      <w:r>
        <w:rPr>
          <w:rFonts w:hint="eastAsia" w:ascii="仿宋" w:hAnsi="仿宋" w:eastAsia="仿宋" w:cs="仿宋"/>
          <w:color w:val="000000"/>
          <w:kern w:val="0"/>
          <w:sz w:val="32"/>
          <w:szCs w:val="32"/>
        </w:rPr>
        <w:t>资金</w:t>
      </w:r>
      <w:r>
        <w:rPr>
          <w:rFonts w:hint="eastAsia" w:ascii="仿宋" w:hAnsi="仿宋" w:eastAsia="仿宋" w:cs="仿宋"/>
          <w:color w:val="000000"/>
          <w:kern w:val="0"/>
          <w:sz w:val="32"/>
          <w:szCs w:val="32"/>
          <w:lang w:val="en-US" w:eastAsia="zh-CN"/>
        </w:rPr>
        <w:t>100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超支部分用干线公路养护</w:t>
      </w:r>
      <w:r>
        <w:rPr>
          <w:rFonts w:hint="eastAsia" w:ascii="仿宋" w:hAnsi="仿宋" w:eastAsia="仿宋" w:cs="仿宋"/>
          <w:color w:val="000000"/>
          <w:kern w:val="0"/>
          <w:sz w:val="32"/>
          <w:szCs w:val="32"/>
        </w:rPr>
        <w:t>工程</w:t>
      </w:r>
      <w:r>
        <w:rPr>
          <w:rFonts w:hint="eastAsia" w:ascii="仿宋" w:hAnsi="仿宋" w:eastAsia="仿宋" w:cs="仿宋"/>
          <w:color w:val="000000"/>
          <w:kern w:val="0"/>
          <w:sz w:val="32"/>
          <w:szCs w:val="32"/>
          <w:lang w:eastAsia="zh-CN"/>
        </w:rPr>
        <w:t>资金补足。</w:t>
      </w:r>
      <w:r>
        <w:rPr>
          <w:rFonts w:hint="eastAsia" w:ascii="仿宋" w:hAnsi="仿宋" w:eastAsia="仿宋" w:cs="仿宋"/>
          <w:color w:val="000000"/>
          <w:kern w:val="0"/>
          <w:sz w:val="32"/>
          <w:szCs w:val="32"/>
        </w:rPr>
        <w:t>此项目的实施，</w:t>
      </w:r>
      <w:r>
        <w:rPr>
          <w:rFonts w:hint="eastAsia" w:ascii="仿宋" w:hAnsi="仿宋" w:eastAsia="仿宋" w:cs="仿宋"/>
          <w:color w:val="000000"/>
          <w:kern w:val="0"/>
          <w:sz w:val="32"/>
          <w:szCs w:val="32"/>
          <w:lang w:eastAsia="zh-CN"/>
        </w:rPr>
        <w:t>美化</w:t>
      </w:r>
      <w:r>
        <w:rPr>
          <w:rFonts w:hint="eastAsia" w:ascii="仿宋" w:hAnsi="仿宋" w:eastAsia="仿宋" w:cs="仿宋"/>
          <w:color w:val="000000"/>
          <w:kern w:val="0"/>
          <w:sz w:val="32"/>
          <w:szCs w:val="32"/>
        </w:rPr>
        <w:t>了干线公路，提高了</w:t>
      </w:r>
      <w:r>
        <w:rPr>
          <w:rFonts w:hint="eastAsia" w:ascii="仿宋" w:hAnsi="仿宋" w:eastAsia="仿宋" w:cs="仿宋"/>
          <w:color w:val="000000"/>
          <w:kern w:val="0"/>
          <w:sz w:val="32"/>
          <w:szCs w:val="32"/>
          <w:lang w:eastAsia="zh-CN"/>
        </w:rPr>
        <w:t>干线公路的路容路貌及居民的居住环境</w:t>
      </w:r>
      <w:r>
        <w:rPr>
          <w:rFonts w:hint="eastAsia" w:ascii="仿宋" w:hAnsi="仿宋" w:eastAsia="仿宋" w:cs="仿宋"/>
          <w:color w:val="000000"/>
          <w:kern w:val="0"/>
          <w:sz w:val="32"/>
          <w:szCs w:val="32"/>
        </w:rPr>
        <w:t>。</w:t>
      </w:r>
    </w:p>
    <w:p>
      <w:pPr>
        <w:widowControl/>
        <w:shd w:val="clear" w:color="auto" w:fill="FFFFFF"/>
        <w:spacing w:line="640" w:lineRule="exact"/>
        <w:ind w:left="0" w:leftChars="0"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(5)、干线公路养护工程。2020年县财政预算资金690万元。主要负责全县境内251.618公里的公路、涵洞的路基路面、边坡的病害处治、日常小修保养、绿化美化、水沟清理、经常性保洁、打除草、行道树的刷新、挡土墙护坡的建设和维修、安保设施维修和刷新、标志标牌的更换和刷新、涵洞养护及建设、公路站房设施的维护和翻新和所辖境内桥梁的日常养护、小修保养、刷新和经常性检查、定期检查、特殊性检查工作以及其它突击性工作任务。　此专项资金的投入实施里程为251.618公里，保障所辖公路安全畅通，建成畅、安、舒、美的美丽公路。为我县政治、经济的发展提供交通保障，受到广大人民群众的好评。</w:t>
      </w:r>
    </w:p>
    <w:p>
      <w:pPr>
        <w:adjustRightInd w:val="0"/>
        <w:snapToGrid w:val="0"/>
        <w:spacing w:line="600" w:lineRule="exact"/>
        <w:ind w:left="0" w:leftChars="0" w:firstLine="0" w:firstLineChars="0"/>
        <w:rPr>
          <w:rFonts w:hint="eastAsia" w:ascii="仿宋" w:hAnsi="仿宋" w:eastAsia="仿宋"/>
          <w:sz w:val="32"/>
          <w:szCs w:val="32"/>
        </w:rPr>
      </w:pPr>
    </w:p>
    <w:p>
      <w:pPr>
        <w:adjustRightInd w:val="0"/>
        <w:snapToGrid w:val="0"/>
        <w:spacing w:line="600" w:lineRule="exact"/>
        <w:ind w:left="0" w:leftChars="0" w:firstLine="0" w:firstLineChars="0"/>
        <w:rPr>
          <w:rFonts w:hint="eastAsia" w:ascii="仿宋" w:hAnsi="仿宋" w:eastAsia="仿宋"/>
          <w:sz w:val="32"/>
          <w:szCs w:val="32"/>
        </w:rPr>
      </w:pPr>
      <w:r>
        <w:rPr>
          <w:rFonts w:hint="eastAsia" w:ascii="仿宋" w:hAnsi="仿宋" w:eastAsia="仿宋"/>
          <w:sz w:val="32"/>
          <w:szCs w:val="32"/>
        </w:rPr>
        <w:t>2、专项资金预算执行</w:t>
      </w:r>
    </w:p>
    <w:p>
      <w:pPr>
        <w:adjustRightInd w:val="0"/>
        <w:snapToGrid w:val="0"/>
        <w:spacing w:line="600" w:lineRule="exact"/>
        <w:ind w:left="480" w:hanging="480"/>
        <w:rPr>
          <w:rFonts w:hint="eastAsia" w:ascii="仿宋" w:hAnsi="仿宋" w:eastAsia="仿宋"/>
          <w:sz w:val="32"/>
          <w:szCs w:val="32"/>
        </w:rPr>
      </w:pPr>
    </w:p>
    <w:tbl>
      <w:tblPr>
        <w:tblStyle w:val="6"/>
        <w:tblW w:w="8960" w:type="dxa"/>
        <w:tblInd w:w="0" w:type="dxa"/>
        <w:tblLayout w:type="fixed"/>
        <w:tblCellMar>
          <w:top w:w="0" w:type="dxa"/>
          <w:left w:w="0" w:type="dxa"/>
          <w:bottom w:w="0" w:type="dxa"/>
          <w:right w:w="0" w:type="dxa"/>
        </w:tblCellMar>
      </w:tblPr>
      <w:tblGrid>
        <w:gridCol w:w="1911"/>
        <w:gridCol w:w="945"/>
        <w:gridCol w:w="690"/>
        <w:gridCol w:w="909"/>
        <w:gridCol w:w="906"/>
        <w:gridCol w:w="780"/>
        <w:gridCol w:w="798"/>
        <w:gridCol w:w="2021"/>
      </w:tblGrid>
      <w:tr>
        <w:tblPrEx>
          <w:tblCellMar>
            <w:top w:w="0" w:type="dxa"/>
            <w:left w:w="0" w:type="dxa"/>
            <w:bottom w:w="0" w:type="dxa"/>
            <w:right w:w="0" w:type="dxa"/>
          </w:tblCellMar>
        </w:tblPrEx>
        <w:trPr>
          <w:trHeight w:val="415" w:hRule="atLeast"/>
        </w:trPr>
        <w:tc>
          <w:tcPr>
            <w:tcW w:w="1911" w:type="dxa"/>
            <w:vMerge w:val="restart"/>
            <w:tcBorders>
              <w:top w:val="single" w:color="000000" w:sz="12" w:space="0"/>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专项子目名称</w:t>
            </w:r>
          </w:p>
        </w:tc>
        <w:tc>
          <w:tcPr>
            <w:tcW w:w="3450" w:type="dxa"/>
            <w:gridSpan w:val="4"/>
            <w:tcBorders>
              <w:top w:val="single" w:color="000000" w:sz="12" w:space="0"/>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本年预算可用指标</w:t>
            </w:r>
          </w:p>
        </w:tc>
        <w:tc>
          <w:tcPr>
            <w:tcW w:w="780" w:type="dxa"/>
            <w:vMerge w:val="restart"/>
            <w:tcBorders>
              <w:top w:val="single" w:color="000000" w:sz="12" w:space="0"/>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本年实际支出</w:t>
            </w:r>
          </w:p>
        </w:tc>
        <w:tc>
          <w:tcPr>
            <w:tcW w:w="798" w:type="dxa"/>
            <w:vMerge w:val="restart"/>
            <w:tcBorders>
              <w:top w:val="single" w:color="000000" w:sz="12" w:space="0"/>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本年结余</w:t>
            </w:r>
          </w:p>
        </w:tc>
        <w:tc>
          <w:tcPr>
            <w:tcW w:w="2021" w:type="dxa"/>
            <w:vMerge w:val="restart"/>
            <w:tcBorders>
              <w:top w:val="single" w:color="000000" w:sz="12" w:space="0"/>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投入进度</w:t>
            </w:r>
          </w:p>
        </w:tc>
      </w:tr>
      <w:tr>
        <w:tblPrEx>
          <w:tblCellMar>
            <w:top w:w="0" w:type="dxa"/>
            <w:left w:w="0" w:type="dxa"/>
            <w:bottom w:w="0" w:type="dxa"/>
            <w:right w:w="0" w:type="dxa"/>
          </w:tblCellMar>
        </w:tblPrEx>
        <w:trPr>
          <w:trHeight w:val="790" w:hRule="atLeast"/>
        </w:trPr>
        <w:tc>
          <w:tcPr>
            <w:tcW w:w="1911"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ascii="仿宋" w:hAnsi="仿宋" w:eastAsia="仿宋" w:cs="宋体"/>
                <w:color w:val="010101"/>
                <w:kern w:val="0"/>
                <w:szCs w:val="21"/>
                <w:lang w:bidi="ar"/>
              </w:rPr>
            </w:pPr>
          </w:p>
        </w:tc>
        <w:tc>
          <w:tcPr>
            <w:tcW w:w="94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上年</w:t>
            </w:r>
          </w:p>
          <w:p>
            <w:pPr>
              <w:widowControl/>
              <w:snapToGrid w:val="0"/>
              <w:spacing w:line="600" w:lineRule="exact"/>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结余</w:t>
            </w:r>
          </w:p>
        </w:tc>
        <w:tc>
          <w:tcPr>
            <w:tcW w:w="69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年初</w:t>
            </w:r>
          </w:p>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预算</w:t>
            </w:r>
          </w:p>
        </w:tc>
        <w:tc>
          <w:tcPr>
            <w:tcW w:w="909"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本年</w:t>
            </w:r>
          </w:p>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追加</w:t>
            </w:r>
          </w:p>
        </w:tc>
        <w:tc>
          <w:tcPr>
            <w:tcW w:w="906"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合计</w:t>
            </w:r>
          </w:p>
        </w:tc>
        <w:tc>
          <w:tcPr>
            <w:tcW w:w="780" w:type="dxa"/>
            <w:vMerge w:val="continue"/>
            <w:tcBorders>
              <w:top w:val="single" w:color="000000" w:sz="12" w:space="0"/>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ascii="仿宋" w:hAnsi="仿宋" w:eastAsia="仿宋" w:cs="宋体"/>
                <w:color w:val="010101"/>
                <w:kern w:val="0"/>
                <w:szCs w:val="21"/>
                <w:lang w:bidi="ar"/>
              </w:rPr>
            </w:pPr>
          </w:p>
        </w:tc>
        <w:tc>
          <w:tcPr>
            <w:tcW w:w="798" w:type="dxa"/>
            <w:vMerge w:val="continue"/>
            <w:tcBorders>
              <w:top w:val="single" w:color="000000" w:sz="12" w:space="0"/>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ascii="仿宋" w:hAnsi="仿宋" w:eastAsia="仿宋" w:cs="宋体"/>
                <w:color w:val="010101"/>
                <w:kern w:val="0"/>
                <w:szCs w:val="21"/>
                <w:lang w:bidi="ar"/>
              </w:rPr>
            </w:pPr>
          </w:p>
        </w:tc>
        <w:tc>
          <w:tcPr>
            <w:tcW w:w="2021" w:type="dxa"/>
            <w:vMerge w:val="continue"/>
            <w:tcBorders>
              <w:top w:val="single" w:color="000000" w:sz="12" w:space="0"/>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ascii="仿宋" w:hAnsi="仿宋" w:eastAsia="仿宋" w:cs="宋体"/>
                <w:color w:val="010101"/>
                <w:kern w:val="0"/>
                <w:szCs w:val="21"/>
                <w:lang w:bidi="ar"/>
              </w:rPr>
            </w:pPr>
          </w:p>
        </w:tc>
      </w:tr>
      <w:tr>
        <w:tblPrEx>
          <w:tblCellMar>
            <w:top w:w="0" w:type="dxa"/>
            <w:left w:w="0" w:type="dxa"/>
            <w:bottom w:w="0" w:type="dxa"/>
            <w:right w:w="0" w:type="dxa"/>
          </w:tblCellMar>
        </w:tblPrEx>
        <w:trPr>
          <w:trHeight w:val="403" w:hRule="atLeast"/>
        </w:trPr>
        <w:tc>
          <w:tcPr>
            <w:tcW w:w="1911" w:type="dxa"/>
            <w:tcBorders>
              <w:top w:val="nil"/>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val="en-US" w:eastAsia="zh-CN" w:bidi="ar"/>
              </w:rPr>
              <w:t>2019年</w:t>
            </w:r>
            <w:r>
              <w:rPr>
                <w:rFonts w:hint="eastAsia" w:ascii="仿宋" w:hAnsi="仿宋" w:eastAsia="仿宋" w:cs="宋体"/>
                <w:color w:val="010101"/>
                <w:kern w:val="0"/>
                <w:szCs w:val="21"/>
                <w:lang w:bidi="ar"/>
              </w:rPr>
              <w:t>G207线落马江至武桥路面大修工程</w:t>
            </w:r>
          </w:p>
        </w:tc>
        <w:tc>
          <w:tcPr>
            <w:tcW w:w="94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158.5354</w:t>
            </w:r>
          </w:p>
        </w:tc>
        <w:tc>
          <w:tcPr>
            <w:tcW w:w="69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909"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1006</w:t>
            </w:r>
          </w:p>
        </w:tc>
        <w:tc>
          <w:tcPr>
            <w:tcW w:w="906"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 w:val="18"/>
                <w:szCs w:val="18"/>
                <w:lang w:val="en-US" w:eastAsia="zh-CN" w:bidi="ar"/>
              </w:rPr>
              <w:t>1164</w:t>
            </w:r>
            <w:r>
              <w:rPr>
                <w:rFonts w:hint="eastAsia" w:ascii="仿宋" w:hAnsi="仿宋" w:eastAsia="仿宋" w:cs="宋体"/>
                <w:color w:val="010101"/>
                <w:kern w:val="0"/>
                <w:sz w:val="18"/>
                <w:szCs w:val="18"/>
                <w:lang w:bidi="ar"/>
              </w:rPr>
              <w:t>.5354</w:t>
            </w:r>
          </w:p>
        </w:tc>
        <w:tc>
          <w:tcPr>
            <w:tcW w:w="78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725.545</w:t>
            </w:r>
          </w:p>
        </w:tc>
        <w:tc>
          <w:tcPr>
            <w:tcW w:w="79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 w:val="18"/>
                <w:szCs w:val="18"/>
                <w:lang w:val="en-US" w:eastAsia="zh-CN" w:bidi="ar"/>
              </w:rPr>
              <w:t>438.9904</w:t>
            </w:r>
          </w:p>
        </w:tc>
        <w:tc>
          <w:tcPr>
            <w:tcW w:w="2021" w:type="dxa"/>
            <w:tcBorders>
              <w:top w:val="nil"/>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80%</w:t>
            </w:r>
          </w:p>
        </w:tc>
      </w:tr>
      <w:tr>
        <w:tblPrEx>
          <w:tblCellMar>
            <w:top w:w="0" w:type="dxa"/>
            <w:left w:w="0" w:type="dxa"/>
            <w:bottom w:w="0" w:type="dxa"/>
            <w:right w:w="0" w:type="dxa"/>
          </w:tblCellMar>
        </w:tblPrEx>
        <w:trPr>
          <w:trHeight w:val="403" w:hRule="atLeast"/>
        </w:trPr>
        <w:tc>
          <w:tcPr>
            <w:tcW w:w="1911" w:type="dxa"/>
            <w:tcBorders>
              <w:top w:val="nil"/>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eastAsia="zh-CN" w:bidi="ar"/>
              </w:rPr>
              <w:t>干线公路安保工程</w:t>
            </w:r>
          </w:p>
        </w:tc>
        <w:tc>
          <w:tcPr>
            <w:tcW w:w="94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103</w:t>
            </w:r>
          </w:p>
        </w:tc>
        <w:tc>
          <w:tcPr>
            <w:tcW w:w="69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245</w:t>
            </w:r>
          </w:p>
        </w:tc>
        <w:tc>
          <w:tcPr>
            <w:tcW w:w="909"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906"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348</w:t>
            </w:r>
          </w:p>
        </w:tc>
        <w:tc>
          <w:tcPr>
            <w:tcW w:w="78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233.57</w:t>
            </w:r>
          </w:p>
        </w:tc>
        <w:tc>
          <w:tcPr>
            <w:tcW w:w="79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114.43</w:t>
            </w:r>
          </w:p>
        </w:tc>
        <w:tc>
          <w:tcPr>
            <w:tcW w:w="2021" w:type="dxa"/>
            <w:tcBorders>
              <w:top w:val="nil"/>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80%</w:t>
            </w:r>
          </w:p>
        </w:tc>
      </w:tr>
      <w:tr>
        <w:tblPrEx>
          <w:tblCellMar>
            <w:top w:w="0" w:type="dxa"/>
            <w:left w:w="0" w:type="dxa"/>
            <w:bottom w:w="0" w:type="dxa"/>
            <w:right w:w="0" w:type="dxa"/>
          </w:tblCellMar>
        </w:tblPrEx>
        <w:trPr>
          <w:trHeight w:val="403" w:hRule="atLeast"/>
        </w:trPr>
        <w:tc>
          <w:tcPr>
            <w:tcW w:w="1911" w:type="dxa"/>
            <w:tcBorders>
              <w:top w:val="nil"/>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bidi="ar"/>
              </w:rPr>
              <w:t>G207线</w:t>
            </w:r>
            <w:r>
              <w:rPr>
                <w:rFonts w:hint="eastAsia" w:ascii="仿宋" w:hAnsi="仿宋" w:eastAsia="仿宋" w:cs="宋体"/>
                <w:color w:val="010101"/>
                <w:kern w:val="0"/>
                <w:szCs w:val="21"/>
                <w:lang w:eastAsia="zh-CN" w:bidi="ar"/>
              </w:rPr>
              <w:t>及</w:t>
            </w:r>
            <w:r>
              <w:rPr>
                <w:rFonts w:hint="eastAsia" w:ascii="仿宋" w:hAnsi="仿宋" w:eastAsia="仿宋" w:cs="宋体"/>
                <w:color w:val="010101"/>
                <w:kern w:val="0"/>
                <w:szCs w:val="21"/>
                <w:lang w:val="en-US" w:eastAsia="zh-CN" w:bidi="ar"/>
              </w:rPr>
              <w:t>S236线</w:t>
            </w:r>
            <w:r>
              <w:rPr>
                <w:rFonts w:hint="eastAsia" w:ascii="仿宋" w:hAnsi="仿宋" w:eastAsia="仿宋" w:cs="宋体"/>
                <w:color w:val="010101"/>
                <w:kern w:val="0"/>
                <w:szCs w:val="21"/>
                <w:lang w:bidi="ar"/>
              </w:rPr>
              <w:t>路面大修工程</w:t>
            </w:r>
          </w:p>
        </w:tc>
        <w:tc>
          <w:tcPr>
            <w:tcW w:w="94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0</w:t>
            </w:r>
          </w:p>
        </w:tc>
        <w:tc>
          <w:tcPr>
            <w:tcW w:w="69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1280</w:t>
            </w:r>
          </w:p>
        </w:tc>
        <w:tc>
          <w:tcPr>
            <w:tcW w:w="909"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0</w:t>
            </w:r>
          </w:p>
        </w:tc>
        <w:tc>
          <w:tcPr>
            <w:tcW w:w="906"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1280</w:t>
            </w:r>
          </w:p>
        </w:tc>
        <w:tc>
          <w:tcPr>
            <w:tcW w:w="78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1176.35</w:t>
            </w:r>
          </w:p>
        </w:tc>
        <w:tc>
          <w:tcPr>
            <w:tcW w:w="79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103.65</w:t>
            </w:r>
          </w:p>
        </w:tc>
        <w:tc>
          <w:tcPr>
            <w:tcW w:w="2021" w:type="dxa"/>
            <w:tcBorders>
              <w:top w:val="nil"/>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leftChars="0" w:hanging="315" w:hangingChars="150"/>
              <w:jc w:val="center"/>
              <w:rPr>
                <w:rFonts w:hint="eastAsia" w:ascii="仿宋" w:hAnsi="仿宋" w:eastAsia="仿宋" w:cs="宋体"/>
                <w:color w:val="010101"/>
                <w:kern w:val="0"/>
                <w:sz w:val="21"/>
                <w:szCs w:val="21"/>
                <w:lang w:val="en-US" w:eastAsia="zh-CN" w:bidi="ar"/>
              </w:rPr>
            </w:pPr>
            <w:r>
              <w:rPr>
                <w:rFonts w:hint="eastAsia" w:ascii="仿宋" w:hAnsi="仿宋" w:eastAsia="仿宋" w:cs="宋体"/>
                <w:color w:val="010101"/>
                <w:kern w:val="0"/>
                <w:szCs w:val="21"/>
                <w:lang w:val="en-US" w:eastAsia="zh-CN" w:bidi="ar"/>
              </w:rPr>
              <w:t>80%</w:t>
            </w:r>
          </w:p>
        </w:tc>
      </w:tr>
      <w:tr>
        <w:tblPrEx>
          <w:tblCellMar>
            <w:top w:w="0" w:type="dxa"/>
            <w:left w:w="0" w:type="dxa"/>
            <w:bottom w:w="0" w:type="dxa"/>
            <w:right w:w="0" w:type="dxa"/>
          </w:tblCellMar>
        </w:tblPrEx>
        <w:trPr>
          <w:trHeight w:val="403" w:hRule="atLeast"/>
        </w:trPr>
        <w:tc>
          <w:tcPr>
            <w:tcW w:w="1911" w:type="dxa"/>
            <w:tcBorders>
              <w:top w:val="nil"/>
              <w:left w:val="single" w:color="000000" w:sz="12" w:space="0"/>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eastAsia="zh-CN" w:bidi="ar"/>
              </w:rPr>
            </w:pPr>
            <w:r>
              <w:rPr>
                <w:rFonts w:hint="eastAsia" w:ascii="仿宋" w:hAnsi="仿宋" w:eastAsia="仿宋" w:cs="宋体"/>
                <w:color w:val="010101"/>
                <w:kern w:val="0"/>
                <w:szCs w:val="21"/>
                <w:lang w:eastAsia="zh-CN" w:bidi="ar"/>
              </w:rPr>
              <w:t>干线公路绿化</w:t>
            </w:r>
          </w:p>
        </w:tc>
        <w:tc>
          <w:tcPr>
            <w:tcW w:w="945"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69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w:t>
            </w:r>
          </w:p>
        </w:tc>
        <w:tc>
          <w:tcPr>
            <w:tcW w:w="909"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906"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w:t>
            </w:r>
          </w:p>
        </w:tc>
        <w:tc>
          <w:tcPr>
            <w:tcW w:w="780"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280.43</w:t>
            </w:r>
          </w:p>
        </w:tc>
        <w:tc>
          <w:tcPr>
            <w:tcW w:w="798" w:type="dxa"/>
            <w:tcBorders>
              <w:top w:val="nil"/>
              <w:left w:val="nil"/>
              <w:bottom w:val="single" w:color="000000" w:sz="8"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-180.43</w:t>
            </w:r>
          </w:p>
        </w:tc>
        <w:tc>
          <w:tcPr>
            <w:tcW w:w="2021" w:type="dxa"/>
            <w:tcBorders>
              <w:top w:val="nil"/>
              <w:left w:val="nil"/>
              <w:bottom w:val="single" w:color="000000" w:sz="8"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40" w:hRule="atLeast"/>
        </w:trPr>
        <w:tc>
          <w:tcPr>
            <w:tcW w:w="1911" w:type="dxa"/>
            <w:tcBorders>
              <w:top w:val="nil"/>
              <w:left w:val="single" w:color="000000" w:sz="12" w:space="0"/>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eastAsia="zh-CN" w:bidi="ar"/>
              </w:rPr>
            </w:pPr>
            <w:r>
              <w:rPr>
                <w:rFonts w:hint="eastAsia" w:ascii="仿宋" w:hAnsi="仿宋" w:eastAsia="仿宋" w:cs="宋体"/>
                <w:color w:val="010101"/>
                <w:kern w:val="0"/>
                <w:szCs w:val="21"/>
                <w:lang w:eastAsia="zh-CN" w:bidi="ar"/>
              </w:rPr>
              <w:t>公路养护</w:t>
            </w:r>
          </w:p>
        </w:tc>
        <w:tc>
          <w:tcPr>
            <w:tcW w:w="945"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0</w:t>
            </w:r>
          </w:p>
        </w:tc>
        <w:tc>
          <w:tcPr>
            <w:tcW w:w="690"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690</w:t>
            </w:r>
          </w:p>
        </w:tc>
        <w:tc>
          <w:tcPr>
            <w:tcW w:w="909"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p>
        </w:tc>
        <w:tc>
          <w:tcPr>
            <w:tcW w:w="906"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690</w:t>
            </w:r>
          </w:p>
        </w:tc>
        <w:tc>
          <w:tcPr>
            <w:tcW w:w="780"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516.3</w:t>
            </w:r>
          </w:p>
        </w:tc>
        <w:tc>
          <w:tcPr>
            <w:tcW w:w="798"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173.7</w:t>
            </w:r>
          </w:p>
        </w:tc>
        <w:tc>
          <w:tcPr>
            <w:tcW w:w="2021" w:type="dxa"/>
            <w:tcBorders>
              <w:top w:val="nil"/>
              <w:left w:val="nil"/>
              <w:bottom w:val="single" w:color="000000" w:sz="12"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w:t>
            </w:r>
          </w:p>
        </w:tc>
      </w:tr>
      <w:tr>
        <w:tblPrEx>
          <w:tblCellMar>
            <w:top w:w="0" w:type="dxa"/>
            <w:left w:w="0" w:type="dxa"/>
            <w:bottom w:w="0" w:type="dxa"/>
            <w:right w:w="0" w:type="dxa"/>
          </w:tblCellMar>
        </w:tblPrEx>
        <w:trPr>
          <w:trHeight w:val="440" w:hRule="atLeast"/>
        </w:trPr>
        <w:tc>
          <w:tcPr>
            <w:tcW w:w="1911" w:type="dxa"/>
            <w:tcBorders>
              <w:top w:val="nil"/>
              <w:left w:val="single" w:color="000000" w:sz="12" w:space="0"/>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r>
              <w:rPr>
                <w:rFonts w:hint="eastAsia" w:ascii="仿宋" w:hAnsi="仿宋" w:eastAsia="仿宋" w:cs="宋体"/>
                <w:color w:val="010101"/>
                <w:kern w:val="0"/>
                <w:szCs w:val="21"/>
                <w:lang w:bidi="ar"/>
              </w:rPr>
              <w:t>合</w:t>
            </w:r>
            <w:r>
              <w:rPr>
                <w:rFonts w:hint="eastAsia" w:ascii="宋体" w:hAnsi="宋体" w:eastAsia="仿宋" w:cs="宋体"/>
                <w:color w:val="010101"/>
                <w:kern w:val="0"/>
                <w:szCs w:val="21"/>
                <w:lang w:bidi="ar"/>
              </w:rPr>
              <w:t> </w:t>
            </w:r>
            <w:r>
              <w:rPr>
                <w:rFonts w:hint="eastAsia" w:ascii="仿宋" w:hAnsi="仿宋" w:eastAsia="仿宋" w:cs="宋体"/>
                <w:color w:val="010101"/>
                <w:kern w:val="0"/>
                <w:szCs w:val="21"/>
                <w:lang w:bidi="ar"/>
              </w:rPr>
              <w:t>计</w:t>
            </w:r>
          </w:p>
        </w:tc>
        <w:tc>
          <w:tcPr>
            <w:tcW w:w="945"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261.5354</w:t>
            </w:r>
          </w:p>
        </w:tc>
        <w:tc>
          <w:tcPr>
            <w:tcW w:w="690"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2315</w:t>
            </w:r>
          </w:p>
        </w:tc>
        <w:tc>
          <w:tcPr>
            <w:tcW w:w="909"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Cs w:val="21"/>
                <w:lang w:val="en-US" w:eastAsia="zh-CN" w:bidi="ar"/>
              </w:rPr>
              <w:t>1006</w:t>
            </w:r>
          </w:p>
        </w:tc>
        <w:tc>
          <w:tcPr>
            <w:tcW w:w="906"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 w:val="18"/>
                <w:szCs w:val="18"/>
                <w:lang w:val="en-US" w:eastAsia="zh-CN" w:bidi="ar"/>
              </w:rPr>
              <w:t>3582.5354</w:t>
            </w:r>
          </w:p>
        </w:tc>
        <w:tc>
          <w:tcPr>
            <w:tcW w:w="780"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 w:val="18"/>
                <w:szCs w:val="18"/>
                <w:lang w:val="en-US" w:eastAsia="zh-CN" w:bidi="ar"/>
              </w:rPr>
              <w:t>2932.195</w:t>
            </w:r>
          </w:p>
        </w:tc>
        <w:tc>
          <w:tcPr>
            <w:tcW w:w="798" w:type="dxa"/>
            <w:tcBorders>
              <w:top w:val="nil"/>
              <w:left w:val="nil"/>
              <w:bottom w:val="single" w:color="000000" w:sz="12" w:space="0"/>
              <w:right w:val="single" w:color="000000" w:sz="8"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default" w:ascii="仿宋" w:hAnsi="仿宋" w:eastAsia="仿宋" w:cs="宋体"/>
                <w:color w:val="010101"/>
                <w:kern w:val="0"/>
                <w:szCs w:val="21"/>
                <w:lang w:val="en-US" w:eastAsia="zh-CN" w:bidi="ar"/>
              </w:rPr>
            </w:pPr>
            <w:r>
              <w:rPr>
                <w:rFonts w:hint="eastAsia" w:ascii="仿宋" w:hAnsi="仿宋" w:eastAsia="仿宋" w:cs="宋体"/>
                <w:color w:val="010101"/>
                <w:kern w:val="0"/>
                <w:sz w:val="18"/>
                <w:szCs w:val="18"/>
                <w:lang w:val="en-US" w:eastAsia="zh-CN" w:bidi="ar"/>
              </w:rPr>
              <w:t>650.3404</w:t>
            </w:r>
          </w:p>
        </w:tc>
        <w:tc>
          <w:tcPr>
            <w:tcW w:w="2021" w:type="dxa"/>
            <w:tcBorders>
              <w:top w:val="nil"/>
              <w:left w:val="nil"/>
              <w:bottom w:val="single" w:color="000000" w:sz="12" w:space="0"/>
              <w:right w:val="single" w:color="000000" w:sz="12" w:space="0"/>
            </w:tcBorders>
            <w:noWrap w:val="0"/>
            <w:tcMar>
              <w:top w:w="15" w:type="dxa"/>
              <w:left w:w="15" w:type="dxa"/>
              <w:bottom w:w="15" w:type="dxa"/>
              <w:right w:w="15" w:type="dxa"/>
            </w:tcMar>
            <w:vAlign w:val="center"/>
          </w:tcPr>
          <w:p>
            <w:pPr>
              <w:widowControl/>
              <w:snapToGrid w:val="0"/>
              <w:spacing w:line="600" w:lineRule="exact"/>
              <w:ind w:left="315" w:hanging="315"/>
              <w:jc w:val="center"/>
              <w:rPr>
                <w:rFonts w:hint="eastAsia" w:ascii="仿宋" w:hAnsi="仿宋" w:eastAsia="仿宋" w:cs="宋体"/>
                <w:color w:val="010101"/>
                <w:kern w:val="0"/>
                <w:szCs w:val="21"/>
                <w:lang w:bidi="ar"/>
              </w:rPr>
            </w:pPr>
          </w:p>
        </w:tc>
      </w:tr>
    </w:tbl>
    <w:p>
      <w:pPr>
        <w:adjustRightInd w:val="0"/>
        <w:snapToGrid w:val="0"/>
        <w:spacing w:line="600" w:lineRule="exact"/>
        <w:ind w:left="480" w:hanging="480"/>
        <w:rPr>
          <w:rFonts w:hint="eastAsia" w:ascii="仿宋" w:hAnsi="仿宋" w:eastAsia="仿宋"/>
          <w:sz w:val="32"/>
          <w:szCs w:val="32"/>
        </w:rPr>
      </w:pPr>
    </w:p>
    <w:p>
      <w:pPr>
        <w:numPr>
          <w:ilvl w:val="0"/>
          <w:numId w:val="4"/>
        </w:numPr>
        <w:adjustRightInd w:val="0"/>
        <w:snapToGrid w:val="0"/>
        <w:spacing w:line="600" w:lineRule="exact"/>
        <w:ind w:left="480" w:hanging="480"/>
        <w:rPr>
          <w:rFonts w:hint="eastAsia" w:ascii="仿宋" w:hAnsi="仿宋" w:eastAsia="仿宋"/>
          <w:sz w:val="32"/>
          <w:szCs w:val="32"/>
        </w:rPr>
      </w:pPr>
      <w:r>
        <w:rPr>
          <w:rFonts w:hint="eastAsia" w:ascii="仿宋" w:hAnsi="仿宋" w:eastAsia="仿宋"/>
          <w:sz w:val="32"/>
          <w:szCs w:val="32"/>
        </w:rPr>
        <w:t>专项资金的管理</w:t>
      </w:r>
    </w:p>
    <w:p>
      <w:pPr>
        <w:adjustRightInd w:val="0"/>
        <w:snapToGrid w:val="0"/>
        <w:spacing w:line="600" w:lineRule="exact"/>
        <w:ind w:left="73" w:leftChars="35" w:firstLine="640" w:firstLineChars="200"/>
        <w:rPr>
          <w:rFonts w:hint="eastAsia" w:ascii="仿宋" w:hAnsi="仿宋" w:eastAsia="仿宋"/>
          <w:sz w:val="32"/>
          <w:szCs w:val="32"/>
        </w:rPr>
      </w:pPr>
      <w:r>
        <w:rPr>
          <w:rFonts w:ascii="仿宋" w:hAnsi="仿宋" w:eastAsia="仿宋"/>
          <w:sz w:val="32"/>
          <w:szCs w:val="32"/>
        </w:rPr>
        <w:t>交通基本建设资金必须用于经批准的交通基本建设项目</w:t>
      </w:r>
      <w:r>
        <w:rPr>
          <w:rFonts w:hint="eastAsia" w:ascii="仿宋" w:hAnsi="仿宋" w:eastAsia="仿宋"/>
          <w:sz w:val="32"/>
          <w:szCs w:val="32"/>
        </w:rPr>
        <w:t>，</w:t>
      </w:r>
      <w:r>
        <w:rPr>
          <w:rFonts w:ascii="仿宋" w:hAnsi="仿宋" w:eastAsia="仿宋"/>
          <w:sz w:val="32"/>
          <w:szCs w:val="32"/>
        </w:rPr>
        <w:t>交通主管部门和建设单位对交通基本建设资金的筹集和使用进行全过程的监督检查</w:t>
      </w:r>
      <w:r>
        <w:rPr>
          <w:rFonts w:hint="eastAsia" w:ascii="仿宋" w:hAnsi="仿宋" w:eastAsia="仿宋"/>
          <w:sz w:val="32"/>
          <w:szCs w:val="32"/>
        </w:rPr>
        <w:t>。</w:t>
      </w:r>
      <w:r>
        <w:rPr>
          <w:rFonts w:ascii="仿宋" w:hAnsi="仿宋" w:eastAsia="仿宋"/>
          <w:sz w:val="32"/>
          <w:szCs w:val="32"/>
        </w:rPr>
        <w:t>建立健全资金使用的内部控制制度，确保交通基本建设资金的安全、合理和有效使用</w:t>
      </w:r>
      <w:r>
        <w:rPr>
          <w:rFonts w:hint="eastAsia" w:ascii="仿宋" w:hAnsi="仿宋" w:eastAsia="仿宋"/>
          <w:sz w:val="32"/>
          <w:szCs w:val="32"/>
        </w:rPr>
        <w:t>。</w:t>
      </w:r>
      <w:r>
        <w:rPr>
          <w:rFonts w:ascii="仿宋" w:hAnsi="仿宋" w:eastAsia="仿宋"/>
          <w:sz w:val="32"/>
          <w:szCs w:val="32"/>
        </w:rPr>
        <w:t>按照交通基本建设资金来源渠道，采取“一级管一级”的监督管理方式，实行分级负责，分级监督管理。遵守《中华人民共和国会计法》和《国有建设单位会计制度》、《会计基础工作规范》以及相关的财经法规、财会制度，加强财务管理与会计核算工作，严格实施财会监督，及时反馈真实、准确的会计信息。交通基本建设资金的筹集、调度、使用实行规范化管理，确保厉行节约，防止损失浪费，降低工程成本，提高资金使用效益。</w:t>
      </w:r>
    </w:p>
    <w:p>
      <w:pPr>
        <w:pStyle w:val="2"/>
        <w:widowControl/>
        <w:spacing w:before="0" w:beforeAutospacing="0" w:after="0" w:afterAutospacing="0" w:line="600" w:lineRule="exact"/>
        <w:jc w:val="both"/>
        <w:rPr>
          <w:rFonts w:ascii="仿宋" w:hAnsi="仿宋" w:eastAsia="仿宋" w:cs="黑体"/>
          <w:b w:val="0"/>
          <w:color w:val="C00000"/>
          <w:sz w:val="32"/>
          <w:szCs w:val="32"/>
        </w:rPr>
      </w:pPr>
      <w:r>
        <w:rPr>
          <w:rFonts w:ascii="仿宋" w:hAnsi="仿宋" w:eastAsia="仿宋" w:cs="黑体"/>
          <w:b w:val="0"/>
          <w:sz w:val="32"/>
          <w:szCs w:val="32"/>
        </w:rPr>
        <w:t>四、部门整体支出绩效评价</w:t>
      </w:r>
    </w:p>
    <w:p>
      <w:p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根据年度重点和日常工作安排，各项工作取得了哪些新成绩和突破；前面通过对部门整体支出情况的概述和实际支出情况的分析，部门整体支出绩效目标管理情况评价如下：</w:t>
      </w:r>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rPr>
          <w:rFonts w:hint="eastAsia" w:ascii="仿宋" w:hAnsi="仿宋" w:eastAsia="仿宋"/>
          <w:sz w:val="32"/>
          <w:szCs w:val="32"/>
        </w:rPr>
      </w:pPr>
      <w:bookmarkStart w:id="2" w:name="_Toc419142222"/>
      <w:r>
        <w:rPr>
          <w:rFonts w:hint="eastAsia" w:ascii="仿宋" w:hAnsi="仿宋" w:eastAsia="仿宋"/>
          <w:sz w:val="32"/>
          <w:szCs w:val="32"/>
        </w:rPr>
        <w:t>（一）经济性评价</w:t>
      </w:r>
      <w:bookmarkEnd w:id="2"/>
      <w:r>
        <w:rPr>
          <w:rFonts w:hint="eastAsia" w:ascii="仿宋" w:hAnsi="仿宋" w:eastAsia="仿宋"/>
          <w:sz w:val="32"/>
          <w:szCs w:val="32"/>
          <w:lang w:eastAsia="zh-CN"/>
        </w:rPr>
        <w:t>：</w:t>
      </w:r>
      <w:r>
        <w:rPr>
          <w:rFonts w:hint="eastAsia" w:ascii="仿宋" w:hAnsi="仿宋" w:eastAsia="仿宋"/>
          <w:sz w:val="32"/>
          <w:szCs w:val="32"/>
        </w:rPr>
        <w:t>经费支出严格执行国库集中支付、政府采购等财政制度，严格在预算框架内实施支出控制，突出控制“三公经费”的支出管理。做到无预算不列支，有预算不超支。出台了内控制度，完善了工程款的审批程序。严格按照规定的审批程序和报账流程，科学有效的运行内控机制。建立了固定资产清查、登记、核实等基础管理制度，促进固定资产资产的安全完整及运行有效。</w:t>
      </w:r>
      <w:r>
        <w:rPr>
          <w:rFonts w:hint="eastAsia" w:ascii="仿宋" w:hAnsi="仿宋" w:eastAsia="仿宋"/>
          <w:sz w:val="32"/>
          <w:szCs w:val="32"/>
          <w:lang w:val="en-US" w:eastAsia="zh-CN"/>
        </w:rPr>
        <w:t>2020年</w:t>
      </w:r>
      <w:r>
        <w:rPr>
          <w:rFonts w:hint="eastAsia" w:ascii="仿宋" w:hAnsi="仿宋" w:eastAsia="仿宋"/>
          <w:sz w:val="32"/>
          <w:szCs w:val="32"/>
        </w:rPr>
        <w:t>三公经费支出总额严格控制在预算总额内。</w:t>
      </w:r>
    </w:p>
    <w:p>
      <w:pPr>
        <w:keepNext w:val="0"/>
        <w:keepLines w:val="0"/>
        <w:pageBreakBefore w:val="0"/>
        <w:widowControl w:val="0"/>
        <w:kinsoku/>
        <w:wordWrap/>
        <w:overflowPunct/>
        <w:topLinePunct w:val="0"/>
        <w:autoSpaceDE/>
        <w:autoSpaceDN/>
        <w:bidi w:val="0"/>
        <w:adjustRightInd w:val="0"/>
        <w:snapToGrid w:val="0"/>
        <w:spacing w:line="600" w:lineRule="exact"/>
        <w:ind w:left="0" w:firstLine="640" w:firstLineChars="200"/>
        <w:textAlignment w:val="auto"/>
        <w:rPr>
          <w:rFonts w:hint="eastAsia" w:ascii="仿宋" w:hAnsi="仿宋" w:eastAsia="仿宋"/>
          <w:sz w:val="32"/>
          <w:szCs w:val="32"/>
        </w:rPr>
      </w:pPr>
      <w:r>
        <w:rPr>
          <w:rFonts w:hint="eastAsia" w:ascii="仿宋" w:hAnsi="仿宋" w:eastAsia="仿宋"/>
          <w:sz w:val="32"/>
          <w:szCs w:val="32"/>
        </w:rPr>
        <w:t>（二）行政效能评价</w:t>
      </w:r>
      <w:r>
        <w:rPr>
          <w:rFonts w:hint="eastAsia" w:ascii="仿宋" w:hAnsi="仿宋" w:eastAsia="仿宋"/>
          <w:sz w:val="32"/>
          <w:szCs w:val="32"/>
          <w:lang w:eastAsia="zh-CN"/>
        </w:rPr>
        <w:t>：</w:t>
      </w:r>
      <w:r>
        <w:rPr>
          <w:rFonts w:hint="eastAsia" w:ascii="仿宋" w:hAnsi="仿宋" w:eastAsia="仿宋"/>
          <w:sz w:val="32"/>
          <w:szCs w:val="32"/>
        </w:rPr>
        <w:t>本单位</w:t>
      </w:r>
      <w:r>
        <w:rPr>
          <w:rFonts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年度不断改善行政管理，加强制度体系建设，</w:t>
      </w:r>
      <w:r>
        <w:rPr>
          <w:rFonts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年根据社会发展及服务对象对本单位的工作要求，本局改进了文风会风，精简会议、文件，严格资产管理和经费使用，制定了内控制度，加强了部门之间的合作，行政效率提高</w:t>
      </w:r>
      <w:r>
        <w:rPr>
          <w:rFonts w:hint="eastAsia" w:ascii="仿宋" w:hAnsi="仿宋" w:eastAsia="仿宋"/>
          <w:sz w:val="32"/>
          <w:szCs w:val="32"/>
          <w:lang w:eastAsia="zh-CN"/>
        </w:rPr>
        <w:t>。</w:t>
      </w:r>
      <w:r>
        <w:rPr>
          <w:rFonts w:hint="eastAsia" w:ascii="仿宋" w:hAnsi="仿宋" w:eastAsia="仿宋"/>
          <w:sz w:val="32"/>
          <w:szCs w:val="32"/>
        </w:rPr>
        <w:t>严格按照年初预算，有序执行预算，充分保障了单位正常运转，提高了行政运行效率，有效控制了行政运行成本。</w:t>
      </w:r>
    </w:p>
    <w:p>
      <w:pPr>
        <w:adjustRightInd w:val="0"/>
        <w:snapToGrid w:val="0"/>
        <w:spacing w:line="600" w:lineRule="exact"/>
        <w:ind w:left="0" w:leftChars="0" w:firstLine="640" w:firstLineChars="200"/>
        <w:rPr>
          <w:rFonts w:hint="eastAsia" w:ascii="仿宋" w:hAnsi="仿宋" w:eastAsia="仿宋"/>
          <w:sz w:val="32"/>
          <w:szCs w:val="32"/>
        </w:rPr>
      </w:pPr>
      <w:r>
        <w:rPr>
          <w:rFonts w:hint="eastAsia" w:ascii="仿宋" w:hAnsi="仿宋" w:eastAsia="仿宋"/>
          <w:sz w:val="32"/>
          <w:szCs w:val="32"/>
        </w:rPr>
        <w:t>（三）项目产出及实现的社会效益</w:t>
      </w:r>
      <w:r>
        <w:rPr>
          <w:rFonts w:hint="eastAsia" w:ascii="仿宋" w:hAnsi="仿宋" w:eastAsia="仿宋"/>
          <w:sz w:val="32"/>
          <w:szCs w:val="32"/>
          <w:lang w:eastAsia="zh-CN"/>
        </w:rPr>
        <w:t>：</w:t>
      </w:r>
      <w:r>
        <w:rPr>
          <w:rFonts w:hint="eastAsia" w:ascii="仿宋" w:hAnsi="仿宋" w:eastAsia="仿宋"/>
          <w:sz w:val="32"/>
          <w:szCs w:val="32"/>
        </w:rPr>
        <w:t>我单位围绕公路行业“保安全、保畅通、树品牌、树形象”的发展目标，以全州经济社会发展为中心，全面提升公路服务质量，加强国省干线公路管理养护，为全社会提供安全、健康、舒适、便捷、高效的公路通行条件，为新邵县经济社会发展和全面建设小康社会提供坚实的支持和保证。</w:t>
      </w:r>
    </w:p>
    <w:p>
      <w:pPr>
        <w:adjustRightInd w:val="0"/>
        <w:snapToGrid w:val="0"/>
        <w:spacing w:line="600" w:lineRule="exact"/>
        <w:ind w:left="147" w:leftChars="70" w:firstLine="480" w:firstLineChars="150"/>
        <w:rPr>
          <w:rFonts w:hint="eastAsia" w:ascii="仿宋" w:hAnsi="仿宋" w:eastAsia="仿宋"/>
          <w:sz w:val="32"/>
          <w:szCs w:val="32"/>
        </w:rPr>
      </w:pPr>
      <w:r>
        <w:rPr>
          <w:rFonts w:hint="eastAsia" w:ascii="仿宋" w:hAnsi="仿宋" w:eastAsia="仿宋"/>
          <w:sz w:val="32"/>
          <w:szCs w:val="32"/>
        </w:rPr>
        <w:t>（四）</w:t>
      </w:r>
      <w:r>
        <w:rPr>
          <w:rFonts w:ascii="仿宋" w:hAnsi="仿宋" w:eastAsia="仿宋"/>
          <w:sz w:val="32"/>
          <w:szCs w:val="32"/>
        </w:rPr>
        <w:t>可持续性分析</w:t>
      </w:r>
      <w:r>
        <w:rPr>
          <w:rFonts w:hint="eastAsia" w:ascii="仿宋" w:hAnsi="仿宋" w:eastAsia="仿宋"/>
          <w:sz w:val="32"/>
          <w:szCs w:val="32"/>
          <w:lang w:eastAsia="zh-CN"/>
        </w:rPr>
        <w:t>：</w:t>
      </w:r>
      <w:r>
        <w:rPr>
          <w:rFonts w:hint="eastAsia" w:ascii="仿宋" w:hAnsi="仿宋" w:eastAsia="仿宋"/>
          <w:sz w:val="32"/>
          <w:szCs w:val="32"/>
        </w:rPr>
        <w:t>扩充能力、优化结构、提高质量、改善服务、保障安全、保护环境科学技术是第一生产力，是交通发展的重要推动。</w:t>
      </w:r>
    </w:p>
    <w:p>
      <w:pPr>
        <w:adjustRightInd w:val="0"/>
        <w:snapToGrid w:val="0"/>
        <w:spacing w:line="600" w:lineRule="exact"/>
        <w:ind w:left="0" w:firstLine="640" w:firstLineChars="200"/>
        <w:rPr>
          <w:rFonts w:hint="eastAsia" w:ascii="仿宋" w:hAnsi="仿宋" w:eastAsia="仿宋"/>
          <w:sz w:val="32"/>
          <w:szCs w:val="32"/>
        </w:rPr>
      </w:pPr>
      <w:r>
        <w:rPr>
          <w:rFonts w:hint="eastAsia" w:ascii="仿宋" w:hAnsi="仿宋" w:eastAsia="仿宋"/>
          <w:sz w:val="32"/>
          <w:szCs w:val="32"/>
        </w:rPr>
        <w:t>（五）社会公众满意度</w:t>
      </w:r>
      <w:r>
        <w:rPr>
          <w:rFonts w:hint="eastAsia" w:ascii="仿宋" w:hAnsi="仿宋" w:eastAsia="仿宋"/>
          <w:sz w:val="32"/>
          <w:szCs w:val="32"/>
          <w:lang w:eastAsia="zh-CN"/>
        </w:rPr>
        <w:t>：</w:t>
      </w:r>
      <w:r>
        <w:rPr>
          <w:rFonts w:hint="eastAsia" w:ascii="仿宋" w:hAnsi="仿宋" w:eastAsia="仿宋"/>
          <w:sz w:val="32"/>
          <w:szCs w:val="32"/>
        </w:rPr>
        <w:t>群众对公路交通领域、涵盖公路的基础设施满意度达到100%。</w:t>
      </w:r>
      <w:r>
        <w:rPr>
          <w:rFonts w:hint="eastAsia" w:ascii="仿宋" w:hAnsi="仿宋" w:eastAsia="仿宋"/>
          <w:sz w:val="32"/>
          <w:szCs w:val="32"/>
          <w:lang w:val="en-US" w:eastAsia="zh-CN"/>
        </w:rPr>
        <w:t>2020年完成了G207线路面大中修及安保工程，</w:t>
      </w:r>
      <w:r>
        <w:rPr>
          <w:rFonts w:hint="eastAsia" w:ascii="仿宋" w:hAnsi="仿宋" w:eastAsia="仿宋"/>
          <w:sz w:val="32"/>
          <w:szCs w:val="32"/>
        </w:rPr>
        <w:t>切实提高了群众满意度，增强了人民群众幸福感、安全感。</w:t>
      </w:r>
      <w:bookmarkStart w:id="3" w:name="_GoBack"/>
      <w:bookmarkEnd w:id="3"/>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sz w:val="32"/>
          <w:szCs w:val="32"/>
        </w:rPr>
        <w:t>（六）部门整体绩效得分</w:t>
      </w:r>
      <w:r>
        <w:rPr>
          <w:rFonts w:hint="eastAsia" w:ascii="仿宋" w:hAnsi="仿宋" w:eastAsia="仿宋"/>
          <w:sz w:val="32"/>
          <w:szCs w:val="32"/>
          <w:lang w:eastAsia="zh-CN"/>
        </w:rPr>
        <w:t>：</w:t>
      </w:r>
      <w:r>
        <w:rPr>
          <w:rFonts w:hint="eastAsia" w:ascii="仿宋" w:hAnsi="仿宋" w:eastAsia="仿宋" w:cs="仿宋"/>
          <w:color w:val="333333"/>
          <w:kern w:val="0"/>
          <w:sz w:val="32"/>
          <w:szCs w:val="32"/>
        </w:rPr>
        <w:t>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我单位积极履职，强化管理，较好的完成了年度工作目标。通过加强预算收支管理，不断建立健全内部管理制度，梳理内部管理流程，部门整体支出管理水平得到提升。根据部门整体支出绩效评价指标体系，我单位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年度评价得分为96分。</w:t>
      </w:r>
    </w:p>
    <w:p>
      <w:pPr>
        <w:widowControl/>
        <w:shd w:val="clear" w:color="auto" w:fill="FFFFFF"/>
        <w:spacing w:line="640" w:lineRule="exact"/>
        <w:ind w:left="0" w:firstLine="640" w:firstLineChars="200"/>
        <w:rPr>
          <w:rFonts w:hint="eastAsia" w:ascii="仿宋" w:hAnsi="仿宋" w:eastAsia="仿宋"/>
          <w:sz w:val="32"/>
          <w:szCs w:val="32"/>
          <w:lang w:eastAsia="zh-CN"/>
        </w:rPr>
      </w:pPr>
      <w:r>
        <w:rPr>
          <w:rFonts w:ascii="仿宋" w:hAnsi="仿宋" w:eastAsia="仿宋"/>
          <w:sz w:val="32"/>
          <w:szCs w:val="32"/>
        </w:rPr>
        <w:t>五、</w:t>
      </w:r>
      <w:r>
        <w:rPr>
          <w:rFonts w:hint="eastAsia" w:ascii="仿宋" w:hAnsi="仿宋" w:eastAsia="仿宋"/>
          <w:sz w:val="32"/>
          <w:szCs w:val="32"/>
        </w:rPr>
        <w:t>存在的主要问题</w:t>
      </w:r>
      <w:r>
        <w:rPr>
          <w:rFonts w:hint="eastAsia" w:ascii="仿宋" w:hAnsi="仿宋" w:eastAsia="仿宋"/>
          <w:sz w:val="32"/>
          <w:szCs w:val="32"/>
          <w:lang w:eastAsia="zh-CN"/>
        </w:rPr>
        <w:t>：</w:t>
      </w:r>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(1)预算编制工作有待细化。预算编制不够明确和细化，预算编制不能只按编制人员数，而应按实际工作任务的多少、大小、强弱来定预算，预算编制的合理性需要提高，预算执行力度还要进一步加强。</w:t>
      </w:r>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(2)</w:t>
      </w:r>
      <w:r>
        <w:rPr>
          <w:rFonts w:hint="eastAsia" w:ascii="仿宋" w:hAnsi="仿宋" w:eastAsia="仿宋" w:cs="仿宋"/>
          <w:color w:val="000000"/>
          <w:kern w:val="0"/>
          <w:sz w:val="32"/>
          <w:szCs w:val="32"/>
        </w:rPr>
        <w:t>建议上级财政部门加大公路日常养护续费的投入，便于及时、更好、更大范围进行公路的养护，使道路设施得到长效管理,待续发展。</w:t>
      </w:r>
    </w:p>
    <w:p>
      <w:pPr>
        <w:adjustRightInd w:val="0"/>
        <w:snapToGrid w:val="0"/>
        <w:spacing w:line="600" w:lineRule="exact"/>
        <w:ind w:left="0" w:leftChars="0" w:firstLine="0" w:firstLineChars="0"/>
        <w:outlineLvl w:val="0"/>
        <w:rPr>
          <w:rFonts w:hint="eastAsia" w:ascii="仿宋" w:hAnsi="仿宋" w:eastAsia="仿宋"/>
          <w:sz w:val="32"/>
          <w:szCs w:val="32"/>
        </w:rPr>
      </w:pPr>
      <w:r>
        <w:rPr>
          <w:rFonts w:hint="eastAsia" w:ascii="仿宋" w:hAnsi="仿宋" w:eastAsia="仿宋"/>
          <w:sz w:val="32"/>
          <w:szCs w:val="32"/>
        </w:rPr>
        <w:t>六、改进意见及建议</w:t>
      </w:r>
    </w:p>
    <w:p>
      <w:pPr>
        <w:adjustRightInd w:val="0"/>
        <w:snapToGrid w:val="0"/>
        <w:spacing w:line="600" w:lineRule="exact"/>
        <w:ind w:left="480" w:hanging="48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一</w:t>
      </w:r>
      <w:r>
        <w:rPr>
          <w:rFonts w:hint="eastAsia" w:ascii="仿宋" w:hAnsi="仿宋" w:eastAsia="仿宋"/>
          <w:sz w:val="32"/>
          <w:szCs w:val="32"/>
        </w:rPr>
        <w:t>）</w:t>
      </w:r>
      <w:r>
        <w:rPr>
          <w:rFonts w:ascii="仿宋" w:hAnsi="仿宋" w:eastAsia="仿宋"/>
          <w:sz w:val="32"/>
          <w:szCs w:val="32"/>
        </w:rPr>
        <w:t>后续工作计划。</w:t>
      </w:r>
    </w:p>
    <w:p>
      <w:pPr>
        <w:adjustRightInd w:val="0"/>
        <w:snapToGrid w:val="0"/>
        <w:spacing w:line="600" w:lineRule="exact"/>
        <w:ind w:left="480" w:hanging="480"/>
        <w:rPr>
          <w:rFonts w:hint="eastAsia" w:ascii="仿宋" w:hAnsi="仿宋" w:eastAsia="仿宋"/>
          <w:sz w:val="32"/>
          <w:szCs w:val="32"/>
          <w:lang w:eastAsia="zh-CN"/>
        </w:rPr>
      </w:pPr>
      <w:r>
        <w:rPr>
          <w:rFonts w:hint="eastAsia" w:ascii="仿宋" w:hAnsi="仿宋" w:eastAsia="仿宋"/>
          <w:sz w:val="32"/>
          <w:szCs w:val="32"/>
          <w:lang w:eastAsia="zh-CN"/>
        </w:rPr>
        <w:t>完成干线公路绿化景点的亮化工程。</w:t>
      </w:r>
    </w:p>
    <w:p>
      <w:pPr>
        <w:widowControl/>
        <w:shd w:val="clear" w:color="auto" w:fill="FFFFFF"/>
        <w:spacing w:line="640" w:lineRule="exac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二</w:t>
      </w:r>
      <w:r>
        <w:rPr>
          <w:rFonts w:hint="eastAsia" w:ascii="仿宋" w:hAnsi="仿宋" w:eastAsia="仿宋"/>
          <w:sz w:val="32"/>
          <w:szCs w:val="32"/>
        </w:rPr>
        <w:t>）</w:t>
      </w:r>
      <w:r>
        <w:rPr>
          <w:rFonts w:ascii="仿宋" w:hAnsi="仿宋" w:eastAsia="仿宋"/>
          <w:sz w:val="32"/>
          <w:szCs w:val="32"/>
        </w:rPr>
        <w:t>主要经验做法、存在的问题和建议</w:t>
      </w:r>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(1)细化预算编制工作，提高编制人员少、任务多、业务量大的单位预算，保证这些单位日常公用经费，使他们能够全身投入到工作中去，而不是因经费不足影响工作，因此，需认真做好并改进预算的编制。进一步加强单位内部机构各股室的预算管理意识，严格按照预算编制的相关制度和要求进行预算编制；全面编制预算项目，优先保障固定性的费用支出项目，尽量压缩变动性的、有控制空间的费用项目，进一步提高预算编制的科学性、严谨性和可控性。</w:t>
      </w:r>
    </w:p>
    <w:p>
      <w:pPr>
        <w:widowControl/>
        <w:shd w:val="clear" w:color="auto" w:fill="FFFFFF"/>
        <w:spacing w:line="640" w:lineRule="exact"/>
        <w:ind w:left="0" w:firstLine="640" w:firstLineChars="20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 xml:space="preserve"> (2)对相关人员加强培训，特别是针对《预算法》、《行政事业单位会计制度》等学习培训，规范部门预算收支核算，切实提高部门预算收支管理水平。</w:t>
      </w:r>
    </w:p>
    <w:p>
      <w:pPr>
        <w:sectPr>
          <w:pgSz w:w="11906" w:h="16838"/>
          <w:pgMar w:top="1440" w:right="1800" w:bottom="1440" w:left="1800" w:header="851" w:footer="992" w:gutter="0"/>
          <w:cols w:space="425" w:num="1"/>
          <w:docGrid w:type="lines" w:linePitch="312" w:charSpace="0"/>
        </w:sectPr>
      </w:pPr>
    </w:p>
    <w:p>
      <w:pPr>
        <w:spacing w:line="600" w:lineRule="exact"/>
        <w:ind w:left="540" w:hanging="540"/>
        <w:jc w:val="center"/>
        <w:rPr>
          <w:rFonts w:hint="eastAsia" w:eastAsia="方正小标宋_GBK"/>
          <w:spacing w:val="-8"/>
          <w:sz w:val="28"/>
          <w:szCs w:val="28"/>
        </w:rPr>
      </w:pPr>
      <w:r>
        <w:rPr>
          <w:rFonts w:eastAsia="方正小标宋_GBK"/>
          <w:sz w:val="36"/>
          <w:szCs w:val="36"/>
        </w:rPr>
        <w:t>20</w:t>
      </w:r>
      <w:r>
        <w:rPr>
          <w:rFonts w:hint="eastAsia" w:eastAsia="方正小标宋_GBK"/>
          <w:sz w:val="36"/>
          <w:szCs w:val="36"/>
        </w:rPr>
        <w:t>20年度部门整体支出</w:t>
      </w:r>
      <w:r>
        <w:rPr>
          <w:rFonts w:eastAsia="方正小标宋_GBK"/>
          <w:spacing w:val="-8"/>
          <w:sz w:val="36"/>
          <w:szCs w:val="36"/>
        </w:rPr>
        <w:t>绩效评价指标评分表</w:t>
      </w:r>
    </w:p>
    <w:p>
      <w:pPr>
        <w:spacing w:line="600" w:lineRule="exact"/>
        <w:ind w:left="396" w:hanging="396"/>
        <w:rPr>
          <w:rFonts w:hint="eastAsia" w:ascii="楷体_GB2312" w:eastAsia="楷体_GB2312"/>
          <w:spacing w:val="-8"/>
          <w:sz w:val="28"/>
          <w:szCs w:val="28"/>
        </w:rPr>
      </w:pPr>
      <w:r>
        <w:rPr>
          <w:rFonts w:hint="eastAsia" w:ascii="楷体_GB2312" w:eastAsia="楷体_GB2312"/>
          <w:spacing w:val="-8"/>
          <w:sz w:val="28"/>
          <w:szCs w:val="28"/>
        </w:rPr>
        <w:t>填报单位（盖章）：</w:t>
      </w:r>
    </w:p>
    <w:tbl>
      <w:tblPr>
        <w:tblStyle w:val="6"/>
        <w:tblW w:w="14287" w:type="dxa"/>
        <w:jc w:val="center"/>
        <w:tblLayout w:type="fixed"/>
        <w:tblCellMar>
          <w:top w:w="0" w:type="dxa"/>
          <w:left w:w="0" w:type="dxa"/>
          <w:bottom w:w="0" w:type="dxa"/>
          <w:right w:w="0" w:type="dxa"/>
        </w:tblCellMar>
      </w:tblPr>
      <w:tblGrid>
        <w:gridCol w:w="690"/>
        <w:gridCol w:w="704"/>
        <w:gridCol w:w="960"/>
        <w:gridCol w:w="5340"/>
        <w:gridCol w:w="5825"/>
        <w:gridCol w:w="768"/>
      </w:tblGrid>
      <w:tr>
        <w:tblPrEx>
          <w:tblCellMar>
            <w:top w:w="0" w:type="dxa"/>
            <w:left w:w="0" w:type="dxa"/>
            <w:bottom w:w="0" w:type="dxa"/>
            <w:right w:w="0" w:type="dxa"/>
          </w:tblCellMar>
        </w:tblPrEx>
        <w:trPr>
          <w:trHeight w:val="644" w:hRule="atLeast"/>
          <w:tblHeader/>
          <w:jc w:val="center"/>
        </w:trPr>
        <w:tc>
          <w:tcPr>
            <w:tcW w:w="690" w:type="dxa"/>
            <w:tcBorders>
              <w:top w:val="single" w:color="auto" w:sz="4" w:space="0"/>
              <w:left w:val="single" w:color="auto" w:sz="8" w:space="0"/>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一级</w:t>
            </w:r>
            <w:r>
              <w:rPr>
                <w:rFonts w:hint="eastAsia" w:ascii="宋体" w:hAnsi="宋体" w:cs="宋体"/>
                <w:color w:val="000000"/>
                <w:sz w:val="21"/>
                <w:szCs w:val="21"/>
              </w:rPr>
              <w:br w:type="textWrapping"/>
            </w:r>
            <w:r>
              <w:rPr>
                <w:rFonts w:hint="eastAsia" w:ascii="宋体" w:hAnsi="宋体" w:cs="宋体"/>
                <w:color w:val="000000"/>
                <w:sz w:val="21"/>
                <w:szCs w:val="21"/>
              </w:rPr>
              <w:t>指标</w:t>
            </w:r>
          </w:p>
        </w:tc>
        <w:tc>
          <w:tcPr>
            <w:tcW w:w="704" w:type="dxa"/>
            <w:tcBorders>
              <w:top w:val="single" w:color="auto" w:sz="4" w:space="0"/>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二级指标</w:t>
            </w:r>
          </w:p>
        </w:tc>
        <w:tc>
          <w:tcPr>
            <w:tcW w:w="960" w:type="dxa"/>
            <w:tcBorders>
              <w:top w:val="single" w:color="auto" w:sz="4" w:space="0"/>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三级指标</w:t>
            </w:r>
          </w:p>
        </w:tc>
        <w:tc>
          <w:tcPr>
            <w:tcW w:w="5340" w:type="dxa"/>
            <w:tcBorders>
              <w:top w:val="single" w:color="auto" w:sz="4" w:space="0"/>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指标解释</w:t>
            </w:r>
          </w:p>
        </w:tc>
        <w:tc>
          <w:tcPr>
            <w:tcW w:w="5825" w:type="dxa"/>
            <w:tcBorders>
              <w:top w:val="single" w:color="auto" w:sz="4" w:space="0"/>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指标说明</w:t>
            </w:r>
          </w:p>
        </w:tc>
        <w:tc>
          <w:tcPr>
            <w:tcW w:w="768" w:type="dxa"/>
            <w:tcBorders>
              <w:top w:val="single" w:color="auto" w:sz="4" w:space="0"/>
              <w:left w:val="nil"/>
              <w:bottom w:val="single" w:color="auto" w:sz="8" w:space="0"/>
              <w:right w:val="single" w:color="auto" w:sz="8" w:space="0"/>
            </w:tcBorders>
            <w:noWrap w:val="0"/>
            <w:vAlign w:val="center"/>
          </w:tcPr>
          <w:p>
            <w:pPr>
              <w:pStyle w:val="5"/>
              <w:widowControl/>
              <w:spacing w:before="0" w:beforeAutospacing="0" w:after="0" w:afterAutospacing="0" w:line="600" w:lineRule="exact"/>
              <w:jc w:val="center"/>
            </w:pPr>
            <w:r>
              <w:rPr>
                <w:rFonts w:hint="eastAsia" w:ascii="宋体" w:hAnsi="宋体" w:cs="宋体"/>
                <w:color w:val="000000"/>
                <w:sz w:val="21"/>
                <w:szCs w:val="21"/>
              </w:rPr>
              <w:t>自评分</w:t>
            </w:r>
          </w:p>
        </w:tc>
      </w:tr>
      <w:tr>
        <w:tblPrEx>
          <w:tblCellMar>
            <w:top w:w="0" w:type="dxa"/>
            <w:left w:w="0" w:type="dxa"/>
            <w:bottom w:w="0" w:type="dxa"/>
            <w:right w:w="0" w:type="dxa"/>
          </w:tblCellMar>
        </w:tblPrEx>
        <w:trPr>
          <w:trHeight w:val="1006" w:hRule="atLeast"/>
          <w:jc w:val="center"/>
        </w:trPr>
        <w:tc>
          <w:tcPr>
            <w:tcW w:w="690" w:type="dxa"/>
            <w:vMerge w:val="restart"/>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投入(20分)</w:t>
            </w: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目标</w:t>
            </w:r>
            <w:r>
              <w:rPr>
                <w:rFonts w:hint="eastAsia" w:ascii="宋体" w:hAnsi="宋体" w:cs="宋体"/>
                <w:color w:val="000000"/>
                <w:sz w:val="21"/>
                <w:szCs w:val="21"/>
              </w:rPr>
              <w:br w:type="textWrapping"/>
            </w:r>
            <w:r>
              <w:rPr>
                <w:rFonts w:hint="eastAsia" w:ascii="宋体" w:hAnsi="宋体" w:cs="宋体"/>
                <w:color w:val="000000"/>
                <w:sz w:val="21"/>
                <w:szCs w:val="21"/>
              </w:rPr>
              <w:t>设定</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（5分）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绩效目标合理性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部门所设立的整体绩效目标依据是否充分，是否符合客观实际，用以反映和考核部门整体绩效目标与部门履职、年度工作任务的相符性情况。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①符合国家法律法规、国民经济和社会发展总体规划计1分；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②符合部门“三定”方案确定的职责计0.5分；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③是否符合部门制定的中长期实施规划计0.5分。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096"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绩效指标明确性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（3分）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部门依据整体绩效目标所设定的绩效指标是否清晰、细化、可衡量，用以反映和考核部门整体绩效目标的明细化情况。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①将部门整体的绩效目标细化分解为具体的工作任务计1分；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②通过清晰、可衡量的指标值予以体现计0.5分；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③与部门年度的任务数或计划数相对应计0.5分；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④与本年度部门预算资金相匹配计1分。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3</w:t>
            </w:r>
          </w:p>
        </w:tc>
      </w:tr>
      <w:tr>
        <w:tblPrEx>
          <w:tblCellMar>
            <w:top w:w="0" w:type="dxa"/>
            <w:left w:w="0" w:type="dxa"/>
            <w:bottom w:w="0" w:type="dxa"/>
            <w:right w:w="0" w:type="dxa"/>
          </w:tblCellMar>
        </w:tblPrEx>
        <w:trPr>
          <w:trHeight w:val="1231"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预算</w:t>
            </w:r>
            <w:r>
              <w:rPr>
                <w:rFonts w:hint="eastAsia" w:ascii="宋体" w:hAnsi="宋体" w:cs="宋体"/>
                <w:color w:val="000000"/>
                <w:sz w:val="21"/>
                <w:szCs w:val="21"/>
              </w:rPr>
              <w:br w:type="textWrapping"/>
            </w:r>
            <w:r>
              <w:rPr>
                <w:rFonts w:hint="eastAsia" w:ascii="宋体" w:hAnsi="宋体" w:cs="宋体"/>
                <w:color w:val="000000"/>
                <w:sz w:val="21"/>
                <w:szCs w:val="21"/>
              </w:rPr>
              <w:t>配置（15分）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在职人员控制率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部门本年度实际在职人员数与编制数的比率，用以反映和考核部门对人员成本的控制程度。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1238"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“三公经费”变动率（5分）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部门本年度“三公经费”预算数与上年度“三公经费”预算数的变动比率，用以反映和考核部门对控制重点行政成本的努力程度。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4</w:t>
            </w:r>
          </w:p>
        </w:tc>
      </w:tr>
      <w:tr>
        <w:tblPrEx>
          <w:tblCellMar>
            <w:top w:w="0" w:type="dxa"/>
            <w:left w:w="0" w:type="dxa"/>
            <w:bottom w:w="0" w:type="dxa"/>
            <w:right w:w="0" w:type="dxa"/>
          </w:tblCellMar>
        </w:tblPrEx>
        <w:trPr>
          <w:trHeight w:val="1550"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重点支出安排率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部门本年度预算安排的重点项目支出与部门项目总支出的比率，用以反映和考核部门对履行主要职责或完成重点任务的保障程度。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4</w:t>
            </w:r>
          </w:p>
        </w:tc>
      </w:tr>
      <w:tr>
        <w:tblPrEx>
          <w:tblCellMar>
            <w:top w:w="0" w:type="dxa"/>
            <w:left w:w="0" w:type="dxa"/>
            <w:bottom w:w="0" w:type="dxa"/>
            <w:right w:w="0" w:type="dxa"/>
          </w:tblCellMar>
        </w:tblPrEx>
        <w:trPr>
          <w:trHeight w:val="976" w:hRule="atLeast"/>
          <w:jc w:val="center"/>
        </w:trPr>
        <w:tc>
          <w:tcPr>
            <w:tcW w:w="690" w:type="dxa"/>
            <w:vMerge w:val="restart"/>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过程</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(40分)</w:t>
            </w: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预算</w:t>
            </w:r>
            <w:r>
              <w:rPr>
                <w:rFonts w:hint="eastAsia" w:ascii="宋体" w:hAnsi="宋体" w:cs="宋体"/>
                <w:color w:val="000000"/>
                <w:sz w:val="21"/>
                <w:szCs w:val="21"/>
              </w:rPr>
              <w:br w:type="textWrapping"/>
            </w:r>
            <w:r>
              <w:rPr>
                <w:rFonts w:hint="eastAsia" w:ascii="宋体" w:hAnsi="宋体" w:cs="宋体"/>
                <w:color w:val="000000"/>
                <w:sz w:val="21"/>
                <w:szCs w:val="21"/>
              </w:rPr>
              <w:t>执行</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(23分)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预算</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完成率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（4分）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部门本年度预算完成数与预算数的比率，用以反映和考核部门预算完成程度。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预算完成率=（预算完成数/预算数）×100%。完成年初预算计4分，未完成年初预算按比例扣减，预算完成数：部门本年度实际完成的预算数。预算数：财政部门批复的本年度部门预算数。</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4</w:t>
            </w:r>
          </w:p>
        </w:tc>
      </w:tr>
      <w:tr>
        <w:tblPrEx>
          <w:tblCellMar>
            <w:top w:w="0" w:type="dxa"/>
            <w:left w:w="0" w:type="dxa"/>
            <w:bottom w:w="0" w:type="dxa"/>
            <w:right w:w="0" w:type="dxa"/>
          </w:tblCellMar>
        </w:tblPrEx>
        <w:trPr>
          <w:trHeight w:val="1500"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预算</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调整率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部门本年度预算调整数与预算数的比率，用以反映和考核部门预算的调整程度。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770"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支付</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进度率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部门实际支付进度与既定支付进度的比率，用以反映和考核部门预算执行的及时性和均衡性程度。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231"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结转结余控制率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（4分）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部门本年度结转结余总额与上年结转结余总额增减比例，用以反映和考核部门对存量资金的实际控制程度。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结转结余控制率=（本年结转结余总额-上年结转结余总额）/上年结转结余总额×100%。低于15%的计4分，每超过5个百分点扣1分，扣完为止。结转结余总额：部门本年度的结转资金与结余资金之和（以决算数为准）。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4</w:t>
            </w:r>
          </w:p>
        </w:tc>
      </w:tr>
      <w:tr>
        <w:tblPrEx>
          <w:tblCellMar>
            <w:top w:w="0" w:type="dxa"/>
            <w:left w:w="0" w:type="dxa"/>
            <w:bottom w:w="0" w:type="dxa"/>
            <w:right w:w="0" w:type="dxa"/>
          </w:tblCellMar>
        </w:tblPrEx>
        <w:trPr>
          <w:trHeight w:val="936"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公用经费</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控制率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（4分）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部门本年度实际支出的公用经费总额与预算安排的公用经费总额的比率，用以反映和考核部门对机构运转成本的实际控制程度。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公用经费控制率=（实际支出公用经费总额/预算安排公用经费总额）×100%。为100%的计4分，每超过1个百分点扣0.1分，扣完为止。</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3</w:t>
            </w:r>
          </w:p>
        </w:tc>
      </w:tr>
      <w:tr>
        <w:tblPrEx>
          <w:tblCellMar>
            <w:top w:w="0" w:type="dxa"/>
            <w:left w:w="0" w:type="dxa"/>
            <w:bottom w:w="0" w:type="dxa"/>
            <w:right w:w="0" w:type="dxa"/>
          </w:tblCellMar>
        </w:tblPrEx>
        <w:trPr>
          <w:trHeight w:val="879"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“三公经费”控制率（3分）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部门本年度“三公经费”实际支出数与预算安排数的比率，用以反映和考核部门对“三公经费”的实际控制程度。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“三公经费”控制率=（“三公经费”实际支出数/“三公经费”预算安排数）×100%。为100%的计3分，每超过1个百分点扣0.5分，扣完为止。</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283"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政府采购</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执行率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（4分）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部门本年度实际政府采购金额与年初政府采购预算的比率，用以反映和考核部门政府采购预算执行情况。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政府采购执行率=（实际政府采购金额/政府采购预算数）×100%，为100%的计2分，每低于1个百分点扣0.5分，扣完为止；政府采购预算：采购机关根据事业发展计划和行政任务编制的、并经过规定程序批准的年度政府采购计划。</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4</w:t>
            </w:r>
          </w:p>
        </w:tc>
      </w:tr>
      <w:tr>
        <w:tblPrEx>
          <w:tblCellMar>
            <w:top w:w="0" w:type="dxa"/>
            <w:left w:w="0" w:type="dxa"/>
            <w:bottom w:w="0" w:type="dxa"/>
            <w:right w:w="0" w:type="dxa"/>
          </w:tblCellMar>
        </w:tblPrEx>
        <w:trPr>
          <w:trHeight w:val="952"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预算</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管理</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(12分)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管理制度</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健全性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部门为加强预算管理、规范财务行为而制定的管理制度是否健全完整，用以反映和考核部门预算管理制度对完成主要职责或促进事业发展的保障情况。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已制定或具有预算资金管理办法、内部财务管理制度、会计核算制度等管理制度计1分；相关管理制度合法、合规、完整计0.5分；相关管理制度得到有效执行计0.5分。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605"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资金使用</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合规性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部门使用预算资金是否符合相关的预算财务管理制度的规定，用以反映和考核部门预算资金的规范运行情况。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①符合国家财经法规和财务管理制度规定以及有关专项资金管理办法的规定计1分；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②资金的拨付有完整的审批程序和手续计1分；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③项目的重大开支经过评估论证计1分；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④符合部门预算批复的用途计1分；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⑤不存在截留、挤占、挪用、虚列支出等情况计1分。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1259"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预决算信</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息公开性（2分）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部门是否按照政府信息公开有关规定公开相关预决算信息，用以反映和考核部门预决算管理的公开透明情况。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①按规定内容公开预决算信息计1分；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②按规定时限公开预决算信息计1分。预决算信息是指与部门预算、执行、决算、监督、绩效等管理相关的信息。</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934"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基础信息</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完善性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（3分）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部门基础信息是否完善，用以反映和考核基础信息对预算管理工作的支撑情况。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①基础数据信息和会计信息资料真实计1分；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②基础数据信息和会计信息资料完整计1分；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③基础数据信息和会计信息资料准确计1分。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3</w:t>
            </w:r>
          </w:p>
        </w:tc>
      </w:tr>
      <w:tr>
        <w:tblPrEx>
          <w:tblCellMar>
            <w:top w:w="0" w:type="dxa"/>
            <w:left w:w="0" w:type="dxa"/>
            <w:bottom w:w="0" w:type="dxa"/>
            <w:right w:w="0" w:type="dxa"/>
          </w:tblCellMar>
        </w:tblPrEx>
        <w:trPr>
          <w:trHeight w:val="968"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资产</w:t>
            </w:r>
            <w:r>
              <w:rPr>
                <w:rFonts w:hint="eastAsia" w:ascii="宋体" w:hAnsi="宋体" w:cs="宋体"/>
                <w:color w:val="000000"/>
                <w:sz w:val="21"/>
                <w:szCs w:val="21"/>
              </w:rPr>
              <w:br w:type="textWrapping"/>
            </w:r>
            <w:r>
              <w:rPr>
                <w:rFonts w:hint="eastAsia" w:ascii="宋体" w:hAnsi="宋体" w:cs="宋体"/>
                <w:color w:val="000000"/>
                <w:sz w:val="21"/>
                <w:szCs w:val="21"/>
              </w:rPr>
              <w:t>管理</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（5分）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管理制度</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健全性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部门为加强资产管理、规范资产管理行为而制定的管理制度是否健全完整，用以反映和考核部门资产管理制度对完成主要职责或促进社会发展的保障情况。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①制定或具有资产管理制度计1分；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②相关资金管理制度合法、合规、完整计0.5分；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③相关资产管理制度得到有效执行计0.5分。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566"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资产管理</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安全性</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761"/>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部门的资产是否保存完整、使用合规、配置合理、处置规范、收入及时足额上缴，用以反映和考核部门资产安全运行情况。</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①资产保存完整计0.4分；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②资产配置合理计0.4分；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③资产处置规范计0.4分；</w:t>
            </w:r>
          </w:p>
          <w:p>
            <w:pPr>
              <w:pStyle w:val="5"/>
              <w:widowControl/>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④资产账务管理合规、帐实相符计0.4分；</w:t>
            </w:r>
          </w:p>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⑤资产有偿使用及处置收入及时足额上缴计0.4分。</w:t>
            </w:r>
          </w:p>
        </w:tc>
        <w:tc>
          <w:tcPr>
            <w:tcW w:w="768" w:type="dxa"/>
            <w:tcBorders>
              <w:top w:val="nil"/>
              <w:left w:val="nil"/>
              <w:bottom w:val="single" w:color="auto" w:sz="8" w:space="0"/>
              <w:right w:val="single" w:color="auto" w:sz="8" w:space="0"/>
            </w:tcBorders>
            <w:noWrap w:val="0"/>
            <w:vAlign w:val="center"/>
          </w:tcPr>
          <w:p>
            <w:pPr>
              <w:pStyle w:val="5"/>
              <w:widowControl/>
              <w:tabs>
                <w:tab w:val="left" w:pos="761"/>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2</w:t>
            </w:r>
          </w:p>
        </w:tc>
      </w:tr>
      <w:tr>
        <w:tblPrEx>
          <w:tblCellMar>
            <w:top w:w="0" w:type="dxa"/>
            <w:left w:w="0" w:type="dxa"/>
            <w:bottom w:w="0" w:type="dxa"/>
            <w:right w:w="0" w:type="dxa"/>
          </w:tblCellMar>
        </w:tblPrEx>
        <w:trPr>
          <w:trHeight w:val="1059"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固定资产</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利用率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（1分）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部门实际在用固定资产总额与所有固定资产总额的比率，用以反映和考核部门固定资产使用效率程度。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固定资产利用率=（实际在用固定资产总额/所有固定资产总额）×100%。利用率为100%的计1分，每降1个百分点扣0.1分，扣完为止。</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1</w:t>
            </w:r>
          </w:p>
        </w:tc>
      </w:tr>
      <w:tr>
        <w:tblPrEx>
          <w:tblCellMar>
            <w:top w:w="0" w:type="dxa"/>
            <w:left w:w="0" w:type="dxa"/>
            <w:bottom w:w="0" w:type="dxa"/>
            <w:right w:w="0" w:type="dxa"/>
          </w:tblCellMar>
        </w:tblPrEx>
        <w:trPr>
          <w:trHeight w:val="894" w:hRule="atLeast"/>
          <w:jc w:val="center"/>
        </w:trPr>
        <w:tc>
          <w:tcPr>
            <w:tcW w:w="690" w:type="dxa"/>
            <w:vMerge w:val="restart"/>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产出</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(20分)</w:t>
            </w: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职责</w:t>
            </w:r>
            <w:r>
              <w:rPr>
                <w:rFonts w:hint="eastAsia" w:ascii="宋体" w:hAnsi="宋体" w:cs="宋体"/>
                <w:color w:val="000000"/>
                <w:sz w:val="21"/>
                <w:szCs w:val="21"/>
              </w:rPr>
              <w:br w:type="textWrapping"/>
            </w:r>
            <w:r>
              <w:rPr>
                <w:rFonts w:hint="eastAsia" w:ascii="宋体" w:hAnsi="宋体" w:cs="宋体"/>
                <w:color w:val="000000"/>
                <w:sz w:val="21"/>
                <w:szCs w:val="21"/>
              </w:rPr>
              <w:t>履行</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实际完成率（5分）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部门履行职责而实际完成工作数与计划工作数的比率，用以反映和考核部门履职工作任务目标的实现程度。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实际完成率得分=完成县委县政府绩效考核得分或上级主管部门考核指标得分/指标分值*5分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864"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完成及时率（4分）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部门在规定时限内及时完成的实际工作数与计划工作数的比率,用以反映和考核部门履职时效目标的实现程度。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210" w:afterAutospacing="0" w:line="600" w:lineRule="exact"/>
              <w:jc w:val="both"/>
              <w:rPr>
                <w:rFonts w:hint="eastAsia" w:ascii="宋体" w:hAnsi="宋体" w:cs="宋体"/>
                <w:sz w:val="21"/>
                <w:szCs w:val="21"/>
              </w:rPr>
            </w:pPr>
            <w:r>
              <w:rPr>
                <w:rFonts w:hint="eastAsia" w:ascii="宋体" w:hAnsi="宋体" w:cs="宋体"/>
                <w:color w:val="000000"/>
                <w:sz w:val="21"/>
                <w:szCs w:val="21"/>
              </w:rPr>
              <w:t>完成及时率=（及时完成实际工作数/计划工作数）×100%。1-4季度各得1分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804"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质量达标率（5分）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达到质量标准（绩效标准值）的实际工作数与计划工作数的比率,用以反映和考核部门履职质量目标的实现程度。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质量达标率=（质量达标实际工作数/计划工作数）×100%。实际得分=达标率*5分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1059"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重点工作</w:t>
            </w:r>
          </w:p>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办结率</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（6分）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部门年度重点工作实际完成数与交办或下达数的比率，用以反映部门对重点工作的办理落实程度。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重点工作办结率=（重点工作实际完成数/交办或下达数）×100%。实际得分=办结率*6分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644" w:hRule="atLeast"/>
          <w:jc w:val="center"/>
        </w:trPr>
        <w:tc>
          <w:tcPr>
            <w:tcW w:w="690" w:type="dxa"/>
            <w:vMerge w:val="restart"/>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r>
              <w:rPr>
                <w:rFonts w:hint="eastAsia" w:ascii="宋体" w:hAnsi="宋体" w:cs="宋体"/>
                <w:color w:val="000000"/>
                <w:sz w:val="21"/>
                <w:szCs w:val="21"/>
              </w:rPr>
              <w:t>效果</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(20分)</w:t>
            </w:r>
          </w:p>
        </w:tc>
        <w:tc>
          <w:tcPr>
            <w:tcW w:w="704" w:type="dxa"/>
            <w:vMerge w:val="restart"/>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履职</w:t>
            </w:r>
            <w:r>
              <w:rPr>
                <w:rFonts w:hint="eastAsia" w:ascii="宋体" w:hAnsi="宋体" w:cs="宋体"/>
                <w:color w:val="000000"/>
                <w:sz w:val="21"/>
                <w:szCs w:val="21"/>
              </w:rPr>
              <w:br w:type="textWrapping"/>
            </w:r>
            <w:r>
              <w:rPr>
                <w:rFonts w:hint="eastAsia" w:ascii="宋体" w:hAnsi="宋体" w:cs="宋体"/>
                <w:color w:val="000000"/>
                <w:sz w:val="21"/>
                <w:szCs w:val="21"/>
              </w:rPr>
              <w:t>效益(20分)</w:t>
            </w: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经济效益（5分）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部门履行职责对经济发展所带来的直接或间接影响。</w:t>
            </w:r>
          </w:p>
        </w:tc>
        <w:tc>
          <w:tcPr>
            <w:tcW w:w="5825" w:type="dxa"/>
            <w:tcBorders>
              <w:top w:val="nil"/>
              <w:left w:val="nil"/>
              <w:bottom w:val="single" w:color="auto" w:sz="4"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按经济效益实现程度计算得分（5分）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644"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社会效益（5分）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部门履行职责对社会发展所带来的直接或间接影响。</w:t>
            </w:r>
          </w:p>
        </w:tc>
        <w:tc>
          <w:tcPr>
            <w:tcW w:w="5825" w:type="dxa"/>
            <w:tcBorders>
              <w:top w:val="single" w:color="auto" w:sz="4" w:space="0"/>
              <w:left w:val="nil"/>
              <w:bottom w:val="single" w:color="auto" w:sz="4" w:space="0"/>
              <w:right w:val="single" w:color="auto" w:sz="8" w:space="0"/>
            </w:tcBorders>
            <w:noWrap w:val="0"/>
            <w:tcMar>
              <w:top w:w="10" w:type="dxa"/>
              <w:left w:w="10" w:type="dxa"/>
              <w:right w:w="10" w:type="dxa"/>
            </w:tcMar>
            <w:vAlign w:val="center"/>
          </w:tcPr>
          <w:p>
            <w:pPr>
              <w:spacing w:line="600" w:lineRule="exact"/>
              <w:ind w:left="315" w:hanging="315"/>
              <w:rPr>
                <w:rFonts w:hint="eastAsia" w:ascii="宋体" w:hAnsi="宋体" w:cs="宋体"/>
                <w:color w:val="000000"/>
                <w:sz w:val="15"/>
                <w:szCs w:val="15"/>
              </w:rPr>
            </w:pPr>
            <w:r>
              <w:rPr>
                <w:rFonts w:hint="eastAsia" w:ascii="宋体" w:hAnsi="宋体" w:cs="宋体"/>
                <w:color w:val="000000"/>
                <w:szCs w:val="21"/>
              </w:rPr>
              <w:t>按社会效益实现程度计算得分（5分）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644"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315" w:hanging="315"/>
              <w:jc w:val="center"/>
              <w:rPr>
                <w:rFonts w:hint="eastAsia" w:ascii="宋体" w:hAnsi="宋体" w:cs="宋体"/>
                <w:color w:val="000000"/>
                <w:kern w:val="0"/>
                <w:szCs w:val="21"/>
                <w:lang w:bidi="ar"/>
              </w:rPr>
            </w:pPr>
            <w:r>
              <w:rPr>
                <w:rFonts w:hint="eastAsia" w:ascii="宋体" w:hAnsi="宋体" w:cs="宋体"/>
                <w:color w:val="000000"/>
                <w:kern w:val="0"/>
                <w:szCs w:val="21"/>
                <w:lang w:bidi="ar"/>
              </w:rPr>
              <w:t>生态效益</w:t>
            </w:r>
          </w:p>
          <w:p>
            <w:pPr>
              <w:spacing w:line="600" w:lineRule="exact"/>
              <w:ind w:left="315" w:hanging="315"/>
              <w:jc w:val="center"/>
              <w:rPr>
                <w:rFonts w:hint="eastAsia" w:ascii="宋体" w:hAnsi="宋体" w:cs="宋体"/>
                <w:color w:val="000000"/>
                <w:kern w:val="0"/>
                <w:szCs w:val="21"/>
                <w:lang w:bidi="ar"/>
              </w:rPr>
            </w:pPr>
            <w:r>
              <w:rPr>
                <w:rFonts w:hint="eastAsia" w:ascii="宋体" w:hAnsi="宋体" w:cs="宋体"/>
                <w:color w:val="000000"/>
                <w:kern w:val="0"/>
                <w:szCs w:val="21"/>
                <w:lang w:bidi="ar"/>
              </w:rPr>
              <w:t>（5分）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部门履行职责对生态环境所带来的直接或间接影响。</w:t>
            </w:r>
          </w:p>
        </w:tc>
        <w:tc>
          <w:tcPr>
            <w:tcW w:w="5825" w:type="dxa"/>
            <w:tcBorders>
              <w:top w:val="single" w:color="auto" w:sz="4" w:space="0"/>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color w:val="000000"/>
                <w:sz w:val="21"/>
                <w:szCs w:val="21"/>
              </w:rPr>
            </w:pPr>
            <w:r>
              <w:rPr>
                <w:rFonts w:hint="eastAsia" w:ascii="宋体" w:hAnsi="宋体" w:cs="宋体"/>
                <w:color w:val="000000"/>
                <w:sz w:val="21"/>
                <w:szCs w:val="21"/>
              </w:rPr>
              <w:t>对生态环境影响较好的计5分；一般3分；效果不明显0分。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1259" w:hRule="atLeast"/>
          <w:jc w:val="center"/>
        </w:trPr>
        <w:tc>
          <w:tcPr>
            <w:tcW w:w="690" w:type="dxa"/>
            <w:vMerge w:val="continue"/>
            <w:tcBorders>
              <w:top w:val="nil"/>
              <w:left w:val="single" w:color="auto" w:sz="8" w:space="0"/>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704" w:type="dxa"/>
            <w:vMerge w:val="continue"/>
            <w:tcBorders>
              <w:top w:val="nil"/>
              <w:left w:val="nil"/>
              <w:bottom w:val="single" w:color="auto" w:sz="8" w:space="0"/>
              <w:right w:val="single" w:color="auto" w:sz="8" w:space="0"/>
            </w:tcBorders>
            <w:noWrap w:val="0"/>
            <w:tcMar>
              <w:top w:w="10" w:type="dxa"/>
              <w:left w:w="10" w:type="dxa"/>
              <w:right w:w="10" w:type="dxa"/>
            </w:tcMar>
            <w:vAlign w:val="center"/>
          </w:tcPr>
          <w:p>
            <w:pPr>
              <w:spacing w:line="600" w:lineRule="exact"/>
              <w:ind w:left="225" w:hanging="225"/>
              <w:rPr>
                <w:rFonts w:hint="eastAsia" w:ascii="宋体" w:hAnsi="宋体" w:cs="宋体"/>
                <w:color w:val="000000"/>
                <w:sz w:val="15"/>
                <w:szCs w:val="15"/>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社会公众</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或服务对</w:t>
            </w:r>
          </w:p>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象满意度（5分）</w:t>
            </w: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社会公众或部门的服务对象对部门履职效果的满意程度。</w:t>
            </w: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sz w:val="18"/>
                <w:szCs w:val="18"/>
              </w:rPr>
              <w:t>90%</w:t>
            </w:r>
            <w:r>
              <w:rPr>
                <w:rFonts w:hint="eastAsia" w:ascii="宋体" w:hAnsi="宋体" w:cs="宋体"/>
                <w:color w:val="000000"/>
                <w:sz w:val="21"/>
                <w:szCs w:val="21"/>
              </w:rPr>
              <w:t>（含）以上计5分；80%（含）-90%，计4分；70%（含）-80%，计3分；60%（含）-70%，计2分；低于60%计0分。</w:t>
            </w: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ind w:left="0" w:leftChars="0" w:firstLine="0" w:firstLineChars="0"/>
              <w:jc w:val="center"/>
              <w:rPr>
                <w:rFonts w:hint="eastAsia" w:ascii="Times New Roman" w:hAnsi="Times New Roman"/>
                <w:kern w:val="0"/>
                <w:sz w:val="24"/>
                <w:szCs w:val="24"/>
                <w:lang w:val="en-US" w:eastAsia="zh-CN" w:bidi="ar-SA"/>
              </w:rPr>
            </w:pPr>
            <w:r>
              <w:rPr>
                <w:rFonts w:hint="eastAsia"/>
              </w:rPr>
              <w:t>5</w:t>
            </w:r>
          </w:p>
        </w:tc>
      </w:tr>
      <w:tr>
        <w:tblPrEx>
          <w:tblCellMar>
            <w:top w:w="0" w:type="dxa"/>
            <w:left w:w="0" w:type="dxa"/>
            <w:bottom w:w="0" w:type="dxa"/>
            <w:right w:w="0" w:type="dxa"/>
          </w:tblCellMar>
        </w:tblPrEx>
        <w:trPr>
          <w:trHeight w:val="608" w:hRule="atLeast"/>
          <w:jc w:val="center"/>
        </w:trPr>
        <w:tc>
          <w:tcPr>
            <w:tcW w:w="690" w:type="dxa"/>
            <w:tcBorders>
              <w:top w:val="nil"/>
              <w:left w:val="single" w:color="auto" w:sz="8" w:space="0"/>
              <w:bottom w:val="nil"/>
              <w:right w:val="single" w:color="auto" w:sz="8" w:space="0"/>
            </w:tcBorders>
            <w:noWrap w:val="0"/>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总分</w:t>
            </w:r>
          </w:p>
        </w:tc>
        <w:tc>
          <w:tcPr>
            <w:tcW w:w="704" w:type="dxa"/>
            <w:tcBorders>
              <w:top w:val="nil"/>
              <w:left w:val="nil"/>
              <w:bottom w:val="nil"/>
              <w:right w:val="single" w:color="auto" w:sz="8" w:space="0"/>
            </w:tcBorders>
            <w:noWrap w:val="0"/>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100</w:t>
            </w:r>
          </w:p>
        </w:tc>
        <w:tc>
          <w:tcPr>
            <w:tcW w:w="960" w:type="dxa"/>
            <w:tcBorders>
              <w:top w:val="nil"/>
              <w:left w:val="nil"/>
              <w:bottom w:val="nil"/>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sz w:val="21"/>
                <w:szCs w:val="21"/>
              </w:rPr>
            </w:pPr>
            <w:r>
              <w:rPr>
                <w:rFonts w:hint="eastAsia" w:ascii="宋体" w:hAnsi="宋体" w:cs="宋体"/>
                <w:color w:val="000000"/>
                <w:sz w:val="21"/>
                <w:szCs w:val="21"/>
              </w:rPr>
              <w:t>100　</w:t>
            </w:r>
          </w:p>
        </w:tc>
        <w:tc>
          <w:tcPr>
            <w:tcW w:w="5340" w:type="dxa"/>
            <w:tcBorders>
              <w:top w:val="nil"/>
              <w:left w:val="nil"/>
              <w:bottom w:val="nil"/>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 </w:t>
            </w:r>
          </w:p>
        </w:tc>
        <w:tc>
          <w:tcPr>
            <w:tcW w:w="5825" w:type="dxa"/>
            <w:tcBorders>
              <w:top w:val="nil"/>
              <w:left w:val="nil"/>
              <w:bottom w:val="nil"/>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sz w:val="21"/>
                <w:szCs w:val="21"/>
              </w:rPr>
            </w:pPr>
            <w:r>
              <w:rPr>
                <w:rFonts w:hint="eastAsia" w:ascii="宋体" w:hAnsi="宋体" w:cs="宋体"/>
                <w:color w:val="000000"/>
                <w:sz w:val="21"/>
                <w:szCs w:val="21"/>
              </w:rPr>
              <w:t> </w:t>
            </w:r>
          </w:p>
        </w:tc>
        <w:tc>
          <w:tcPr>
            <w:tcW w:w="768" w:type="dxa"/>
            <w:tcBorders>
              <w:top w:val="nil"/>
              <w:left w:val="nil"/>
              <w:bottom w:val="nil"/>
              <w:right w:val="single" w:color="auto" w:sz="8" w:space="0"/>
            </w:tcBorders>
            <w:noWrap w:val="0"/>
            <w:vAlign w:val="center"/>
          </w:tcPr>
          <w:p>
            <w:pPr>
              <w:pStyle w:val="5"/>
              <w:widowControl/>
              <w:tabs>
                <w:tab w:val="left" w:pos="2604"/>
              </w:tabs>
              <w:spacing w:before="0" w:beforeAutospacing="0" w:after="0" w:afterAutospacing="0" w:line="600" w:lineRule="exact"/>
              <w:jc w:val="center"/>
              <w:rPr>
                <w:rFonts w:hint="default" w:eastAsia="宋体"/>
                <w:lang w:val="en-US" w:eastAsia="zh-CN"/>
              </w:rPr>
            </w:pPr>
            <w:r>
              <w:rPr>
                <w:rFonts w:hint="eastAsia"/>
                <w:lang w:val="en-US" w:eastAsia="zh-CN"/>
              </w:rPr>
              <w:t>96</w:t>
            </w:r>
          </w:p>
        </w:tc>
      </w:tr>
      <w:tr>
        <w:tblPrEx>
          <w:tblCellMar>
            <w:top w:w="0" w:type="dxa"/>
            <w:left w:w="0" w:type="dxa"/>
            <w:bottom w:w="0" w:type="dxa"/>
            <w:right w:w="0" w:type="dxa"/>
          </w:tblCellMar>
        </w:tblPrEx>
        <w:trPr>
          <w:trHeight w:val="608" w:hRule="atLeast"/>
          <w:jc w:val="center"/>
        </w:trPr>
        <w:tc>
          <w:tcPr>
            <w:tcW w:w="690" w:type="dxa"/>
            <w:tcBorders>
              <w:top w:val="nil"/>
              <w:left w:val="single" w:color="auto" w:sz="8" w:space="0"/>
              <w:bottom w:val="single" w:color="auto" w:sz="8" w:space="0"/>
              <w:right w:val="single" w:color="auto" w:sz="8" w:space="0"/>
            </w:tcBorders>
            <w:noWrap w:val="0"/>
            <w:vAlign w:val="center"/>
          </w:tcPr>
          <w:p>
            <w:pPr>
              <w:pStyle w:val="5"/>
              <w:widowControl/>
              <w:spacing w:before="0" w:beforeAutospacing="0" w:after="0" w:afterAutospacing="0" w:line="600" w:lineRule="exact"/>
              <w:rPr>
                <w:rFonts w:hint="eastAsia" w:ascii="宋体" w:hAnsi="宋体" w:cs="宋体"/>
                <w:color w:val="000000"/>
                <w:sz w:val="21"/>
                <w:szCs w:val="21"/>
              </w:rPr>
            </w:pPr>
          </w:p>
        </w:tc>
        <w:tc>
          <w:tcPr>
            <w:tcW w:w="704" w:type="dxa"/>
            <w:tcBorders>
              <w:top w:val="nil"/>
              <w:left w:val="nil"/>
              <w:bottom w:val="single" w:color="auto" w:sz="8" w:space="0"/>
              <w:right w:val="single" w:color="auto" w:sz="8" w:space="0"/>
            </w:tcBorders>
            <w:noWrap w:val="0"/>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p>
        </w:tc>
        <w:tc>
          <w:tcPr>
            <w:tcW w:w="96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center"/>
              <w:rPr>
                <w:rFonts w:hint="eastAsia" w:ascii="宋体" w:hAnsi="宋体" w:cs="宋体"/>
                <w:color w:val="000000"/>
                <w:sz w:val="21"/>
                <w:szCs w:val="21"/>
              </w:rPr>
            </w:pPr>
          </w:p>
        </w:tc>
        <w:tc>
          <w:tcPr>
            <w:tcW w:w="5340"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tabs>
                <w:tab w:val="left" w:pos="2604"/>
              </w:tabs>
              <w:spacing w:before="0" w:beforeAutospacing="0" w:after="0" w:afterAutospacing="0" w:line="600" w:lineRule="exact"/>
              <w:jc w:val="both"/>
              <w:rPr>
                <w:rFonts w:hint="eastAsia" w:ascii="宋体" w:hAnsi="宋体" w:cs="宋体"/>
                <w:color w:val="000000"/>
                <w:sz w:val="21"/>
                <w:szCs w:val="21"/>
              </w:rPr>
            </w:pPr>
          </w:p>
        </w:tc>
        <w:tc>
          <w:tcPr>
            <w:tcW w:w="5825" w:type="dxa"/>
            <w:tcBorders>
              <w:top w:val="nil"/>
              <w:left w:val="nil"/>
              <w:bottom w:val="single" w:color="auto" w:sz="8" w:space="0"/>
              <w:right w:val="single" w:color="auto" w:sz="8" w:space="0"/>
            </w:tcBorders>
            <w:noWrap w:val="0"/>
            <w:tcMar>
              <w:top w:w="10" w:type="dxa"/>
              <w:left w:w="10" w:type="dxa"/>
              <w:right w:w="10" w:type="dxa"/>
            </w:tcMar>
            <w:vAlign w:val="center"/>
          </w:tcPr>
          <w:p>
            <w:pPr>
              <w:pStyle w:val="5"/>
              <w:widowControl/>
              <w:spacing w:before="0" w:beforeAutospacing="0" w:after="0" w:afterAutospacing="0" w:line="600" w:lineRule="exact"/>
              <w:jc w:val="both"/>
              <w:rPr>
                <w:rFonts w:hint="eastAsia" w:ascii="宋体" w:hAnsi="宋体" w:cs="宋体"/>
                <w:color w:val="000000"/>
                <w:sz w:val="21"/>
                <w:szCs w:val="21"/>
              </w:rPr>
            </w:pPr>
          </w:p>
        </w:tc>
        <w:tc>
          <w:tcPr>
            <w:tcW w:w="768" w:type="dxa"/>
            <w:tcBorders>
              <w:top w:val="nil"/>
              <w:left w:val="nil"/>
              <w:bottom w:val="single" w:color="auto" w:sz="8" w:space="0"/>
              <w:right w:val="single" w:color="auto" w:sz="8" w:space="0"/>
            </w:tcBorders>
            <w:noWrap w:val="0"/>
            <w:vAlign w:val="center"/>
          </w:tcPr>
          <w:p>
            <w:pPr>
              <w:pStyle w:val="5"/>
              <w:widowControl/>
              <w:tabs>
                <w:tab w:val="left" w:pos="2604"/>
              </w:tabs>
              <w:spacing w:before="0" w:beforeAutospacing="0" w:after="0" w:afterAutospacing="0" w:line="600" w:lineRule="exact"/>
              <w:jc w:val="cente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1F63FA"/>
    <w:multiLevelType w:val="singleLevel"/>
    <w:tmpl w:val="D51F63FA"/>
    <w:lvl w:ilvl="0" w:tentative="0">
      <w:start w:val="1"/>
      <w:numFmt w:val="decimal"/>
      <w:suff w:val="nothing"/>
      <w:lvlText w:val="%1、"/>
      <w:lvlJc w:val="left"/>
    </w:lvl>
  </w:abstractNum>
  <w:abstractNum w:abstractNumId="1">
    <w:nsid w:val="17208BD1"/>
    <w:multiLevelType w:val="singleLevel"/>
    <w:tmpl w:val="17208BD1"/>
    <w:lvl w:ilvl="0" w:tentative="0">
      <w:start w:val="2"/>
      <w:numFmt w:val="chineseCounting"/>
      <w:suff w:val="nothing"/>
      <w:lvlText w:val="（%1）"/>
      <w:lvlJc w:val="left"/>
      <w:rPr>
        <w:rFonts w:hint="eastAsia"/>
      </w:rPr>
    </w:lvl>
  </w:abstractNum>
  <w:abstractNum w:abstractNumId="2">
    <w:nsid w:val="2BDB4C6C"/>
    <w:multiLevelType w:val="singleLevel"/>
    <w:tmpl w:val="2BDB4C6C"/>
    <w:lvl w:ilvl="0" w:tentative="0">
      <w:start w:val="3"/>
      <w:numFmt w:val="decimal"/>
      <w:suff w:val="nothing"/>
      <w:lvlText w:val="%1、"/>
      <w:lvlJc w:val="left"/>
    </w:lvl>
  </w:abstractNum>
  <w:abstractNum w:abstractNumId="3">
    <w:nsid w:val="478BDD1E"/>
    <w:multiLevelType w:val="singleLevel"/>
    <w:tmpl w:val="478BDD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726A8"/>
    <w:rsid w:val="0B181119"/>
    <w:rsid w:val="17826376"/>
    <w:rsid w:val="1F8726A8"/>
    <w:rsid w:val="2F9B24A4"/>
    <w:rsid w:val="477B3A38"/>
    <w:rsid w:val="4AE16B7D"/>
    <w:rsid w:val="50BF5F8D"/>
    <w:rsid w:val="58607C13"/>
    <w:rsid w:val="58B92C35"/>
    <w:rsid w:val="6DE536FA"/>
    <w:rsid w:val="7259369D"/>
    <w:rsid w:val="7B920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0" w:lineRule="exact"/>
      <w:ind w:left="150" w:hanging="150" w:hangingChars="15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line="240" w:lineRule="auto"/>
      <w:ind w:left="0" w:firstLine="0" w:firstLineChars="0"/>
      <w:jc w:val="left"/>
      <w:outlineLvl w:val="0"/>
    </w:pPr>
    <w:rPr>
      <w:rFonts w:hint="eastAsia" w:ascii="宋体" w:hAnsi="宋体"/>
      <w:b/>
      <w:kern w:val="44"/>
      <w:sz w:val="48"/>
      <w:szCs w:val="48"/>
    </w:rPr>
  </w:style>
  <w:style w:type="paragraph" w:styleId="3">
    <w:name w:val="heading 2"/>
    <w:basedOn w:val="1"/>
    <w:next w:val="1"/>
    <w:qFormat/>
    <w:uiPriority w:val="0"/>
    <w:pPr>
      <w:spacing w:before="100" w:beforeAutospacing="1" w:after="100" w:afterAutospacing="1" w:line="240" w:lineRule="auto"/>
      <w:ind w:left="0" w:firstLine="0" w:firstLineChars="0"/>
      <w:jc w:val="left"/>
      <w:outlineLvl w:val="1"/>
    </w:pPr>
    <w:rPr>
      <w:rFonts w:hint="eastAsia" w:ascii="宋体" w:hAnsi="宋体"/>
      <w:b/>
      <w:kern w:val="0"/>
      <w:sz w:val="36"/>
      <w:szCs w:val="36"/>
    </w:rPr>
  </w:style>
  <w:style w:type="paragraph" w:styleId="4">
    <w:name w:val="heading 3"/>
    <w:basedOn w:val="1"/>
    <w:next w:val="1"/>
    <w:qFormat/>
    <w:uiPriority w:val="0"/>
    <w:pPr>
      <w:spacing w:before="100" w:beforeAutospacing="1" w:after="100" w:afterAutospacing="1" w:line="240" w:lineRule="auto"/>
      <w:ind w:left="0" w:firstLine="0" w:firstLineChars="0"/>
      <w:jc w:val="left"/>
      <w:outlineLvl w:val="2"/>
    </w:pPr>
    <w:rPr>
      <w:rFonts w:hint="eastAsia" w:ascii="宋体" w:hAnsi="宋体"/>
      <w:b/>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100" w:beforeAutospacing="1" w:after="100" w:afterAutospacing="1" w:line="240" w:lineRule="auto"/>
      <w:ind w:left="0" w:firstLine="0" w:firstLineChars="0"/>
      <w:jc w:val="left"/>
    </w:pPr>
    <w:rPr>
      <w:rFonts w:ascii="Times New Roman" w:hAnsi="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2021-07-29T07:52:00Z</dcterms:created>
  <dc:creator>Administrator</dc:creator>
  <cp:lastModifiedBy>Administrator</cp:lastModifiedBy>
  <dcterms:modified xsi:type="dcterms:W3CDTF">2021-08-03T02:42:08Z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