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480" w:hanging="480"/>
        <w:rPr>
          <w:rFonts w:hint="eastAsia" w:eastAsia="黑体"/>
          <w:sz w:val="32"/>
          <w:szCs w:val="32"/>
        </w:rPr>
      </w:pPr>
      <w:r>
        <w:rPr>
          <w:rFonts w:eastAsia="黑体"/>
          <w:sz w:val="32"/>
          <w:szCs w:val="32"/>
        </w:rPr>
        <w:t>附件</w:t>
      </w:r>
      <w:r>
        <w:rPr>
          <w:rFonts w:hint="eastAsia" w:eastAsia="黑体"/>
          <w:sz w:val="32"/>
          <w:szCs w:val="32"/>
        </w:rPr>
        <w:t>3</w:t>
      </w:r>
    </w:p>
    <w:p>
      <w:pPr>
        <w:spacing w:line="600" w:lineRule="exact"/>
        <w:ind w:left="540" w:hanging="540"/>
        <w:jc w:val="center"/>
        <w:rPr>
          <w:rFonts w:hint="eastAsia" w:eastAsia="方正小标宋_GBK"/>
          <w:spacing w:val="-8"/>
          <w:sz w:val="28"/>
          <w:szCs w:val="28"/>
        </w:rPr>
      </w:pPr>
      <w:r>
        <w:rPr>
          <w:rFonts w:eastAsia="方正小标宋_GBK"/>
          <w:sz w:val="36"/>
          <w:szCs w:val="36"/>
        </w:rPr>
        <w:t>20</w:t>
      </w:r>
      <w:r>
        <w:rPr>
          <w:rFonts w:hint="eastAsia" w:eastAsia="方正小标宋_GBK"/>
          <w:sz w:val="36"/>
          <w:szCs w:val="36"/>
        </w:rPr>
        <w:t>20年度部门整体支出</w:t>
      </w:r>
      <w:r>
        <w:rPr>
          <w:rFonts w:eastAsia="方正小标宋_GBK"/>
          <w:spacing w:val="-8"/>
          <w:sz w:val="36"/>
          <w:szCs w:val="36"/>
        </w:rPr>
        <w:t>绩效评价指标评分表</w:t>
      </w:r>
    </w:p>
    <w:p>
      <w:pPr>
        <w:spacing w:line="600" w:lineRule="exact"/>
        <w:ind w:left="396" w:hanging="396"/>
        <w:rPr>
          <w:rFonts w:hint="default" w:ascii="楷体_GB2312" w:eastAsia="楷体_GB2312"/>
          <w:spacing w:val="-8"/>
          <w:sz w:val="28"/>
          <w:szCs w:val="28"/>
          <w:lang w:val="en-US" w:eastAsia="zh-CN"/>
        </w:rPr>
      </w:pPr>
      <w:r>
        <w:rPr>
          <w:rFonts w:hint="eastAsia" w:ascii="楷体_GB2312" w:eastAsia="楷体_GB2312"/>
          <w:spacing w:val="-8"/>
          <w:sz w:val="28"/>
          <w:szCs w:val="28"/>
        </w:rPr>
        <w:t>填报单位（盖章）：</w:t>
      </w:r>
      <w:r>
        <w:rPr>
          <w:rFonts w:hint="eastAsia" w:ascii="楷体_GB2312" w:eastAsia="楷体_GB2312"/>
          <w:spacing w:val="-8"/>
          <w:sz w:val="28"/>
          <w:szCs w:val="28"/>
          <w:lang w:eastAsia="zh-CN"/>
        </w:rPr>
        <w:t>新邵县</w:t>
      </w:r>
      <w:r>
        <w:rPr>
          <w:rFonts w:hint="eastAsia" w:ascii="楷体_GB2312" w:eastAsia="楷体_GB2312"/>
          <w:spacing w:val="-8"/>
          <w:sz w:val="28"/>
          <w:szCs w:val="28"/>
          <w:lang w:val="en-US" w:eastAsia="zh-CN"/>
        </w:rPr>
        <w:t>农村公路管理所</w:t>
      </w:r>
      <w:bookmarkStart w:id="0" w:name="_GoBack"/>
      <w:bookmarkEnd w:id="0"/>
    </w:p>
    <w:tbl>
      <w:tblPr>
        <w:tblStyle w:val="5"/>
        <w:tblW w:w="14287" w:type="dxa"/>
        <w:jc w:val="center"/>
        <w:tblLayout w:type="fixed"/>
        <w:tblCellMar>
          <w:top w:w="0" w:type="dxa"/>
          <w:left w:w="0" w:type="dxa"/>
          <w:bottom w:w="0" w:type="dxa"/>
          <w:right w:w="0" w:type="dxa"/>
        </w:tblCellMar>
      </w:tblPr>
      <w:tblGrid>
        <w:gridCol w:w="690"/>
        <w:gridCol w:w="704"/>
        <w:gridCol w:w="960"/>
        <w:gridCol w:w="5340"/>
        <w:gridCol w:w="5825"/>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一级</w:t>
            </w:r>
            <w:r>
              <w:rPr>
                <w:rFonts w:hint="eastAsia" w:ascii="宋体" w:hAnsi="宋体" w:cs="宋体"/>
                <w:color w:val="000000"/>
                <w:sz w:val="21"/>
                <w:szCs w:val="21"/>
              </w:rPr>
              <w:br w:type="textWrapping"/>
            </w: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指标解释</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指标说明</w:t>
            </w:r>
          </w:p>
        </w:tc>
        <w:tc>
          <w:tcPr>
            <w:tcW w:w="768" w:type="dxa"/>
            <w:tcBorders>
              <w:top w:val="single" w:color="auto" w:sz="4" w:space="0"/>
              <w:left w:val="nil"/>
              <w:bottom w:val="single" w:color="auto" w:sz="8" w:space="0"/>
              <w:right w:val="single" w:color="auto" w:sz="8" w:space="0"/>
            </w:tcBorders>
            <w:noWrap w:val="0"/>
            <w:vAlign w:val="center"/>
          </w:tcPr>
          <w:p>
            <w:pPr>
              <w:pStyle w:val="4"/>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目标</w:t>
            </w:r>
            <w:r>
              <w:rPr>
                <w:rFonts w:hint="eastAsia" w:ascii="宋体" w:hAnsi="宋体" w:cs="宋体"/>
                <w:color w:val="000000"/>
                <w:sz w:val="21"/>
                <w:szCs w:val="21"/>
              </w:rPr>
              <w:br w:type="textWrapping"/>
            </w:r>
            <w:r>
              <w:rPr>
                <w:rFonts w:hint="eastAsia" w:ascii="宋体" w:hAnsi="宋体" w:cs="宋体"/>
                <w:color w:val="000000"/>
                <w:sz w:val="21"/>
                <w:szCs w:val="21"/>
              </w:rPr>
              <w:t>设定</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绩效目标合理性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绩效指标明确性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在职人员控制率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重点支出安排率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过程</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执行</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完成率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调整率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eastAsia="宋体"/>
                <w:kern w:val="0"/>
                <w:sz w:val="24"/>
                <w:szCs w:val="24"/>
                <w:lang w:val="en-US" w:eastAsia="zh-CN" w:bidi="ar-SA"/>
              </w:rPr>
            </w:pPr>
            <w:r>
              <w:rPr>
                <w:rFonts w:hint="eastAsia"/>
                <w:lang w:val="en-US" w:eastAsia="zh-CN"/>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支付</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进度率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结转结余控制率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公用经费</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2.5</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政府采购</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执行率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default" w:ascii="Times New Roman" w:hAnsi="Times New Roman" w:eastAsia="宋体"/>
                <w:kern w:val="0"/>
                <w:sz w:val="24"/>
                <w:szCs w:val="24"/>
                <w:lang w:val="en-US" w:eastAsia="zh-CN" w:bidi="ar-SA"/>
              </w:rPr>
            </w:pPr>
            <w:r>
              <w:rPr>
                <w:rFonts w:hint="eastAsia"/>
                <w:lang w:val="en-US" w:eastAsia="zh-CN"/>
              </w:rPr>
              <w:t>3.5</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资金使用</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合规性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④符合部门预算批复的用途计1分；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预决算信</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①按规定内容公开预决算信息计1分；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基础信息</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资产</w:t>
            </w:r>
            <w:r>
              <w:rPr>
                <w:rFonts w:hint="eastAsia" w:ascii="宋体" w:hAnsi="宋体" w:cs="宋体"/>
                <w:color w:val="000000"/>
                <w:sz w:val="21"/>
                <w:szCs w:val="21"/>
              </w:rPr>
              <w:br w:type="textWrapping"/>
            </w: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①制定或具有资产管理制度计1分；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资产管理</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安全性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761"/>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部门的资产是否保存完整、使用合规、配置合理、</w:t>
            </w:r>
            <w:r>
              <w:rPr>
                <w:rFonts w:hint="eastAsia" w:ascii="宋体" w:hAnsi="宋体" w:cs="宋体"/>
                <w:color w:val="000000"/>
                <w:sz w:val="21"/>
                <w:szCs w:val="21"/>
                <w:lang w:eastAsia="zh-CN"/>
              </w:rPr>
              <w:t>中心</w:t>
            </w:r>
            <w:r>
              <w:rPr>
                <w:rFonts w:hint="eastAsia" w:ascii="宋体" w:hAnsi="宋体" w:cs="宋体"/>
                <w:color w:val="000000"/>
                <w:sz w:val="21"/>
                <w:szCs w:val="21"/>
              </w:rPr>
              <w:t>置规范、收入及时足额上缴，用以反映和考核部门资产安全运行情况。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①资产保存完整计0.4分；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②资产配置合理计0.4分；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③资产</w:t>
            </w:r>
            <w:r>
              <w:rPr>
                <w:rFonts w:hint="eastAsia" w:ascii="宋体" w:hAnsi="宋体" w:cs="宋体"/>
                <w:color w:val="000000"/>
                <w:sz w:val="21"/>
                <w:szCs w:val="21"/>
                <w:lang w:eastAsia="zh-CN"/>
              </w:rPr>
              <w:t>中心</w:t>
            </w:r>
            <w:r>
              <w:rPr>
                <w:rFonts w:hint="eastAsia" w:ascii="宋体" w:hAnsi="宋体" w:cs="宋体"/>
                <w:color w:val="000000"/>
                <w:sz w:val="21"/>
                <w:szCs w:val="21"/>
              </w:rPr>
              <w:t>置规范计0.4分；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④资产账务管理合规、帐实相符计0.4分；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⑤资产有偿使用及</w:t>
            </w:r>
            <w:r>
              <w:rPr>
                <w:rFonts w:hint="eastAsia" w:ascii="宋体" w:hAnsi="宋体" w:cs="宋体"/>
                <w:color w:val="000000"/>
                <w:sz w:val="21"/>
                <w:szCs w:val="21"/>
                <w:lang w:eastAsia="zh-CN"/>
              </w:rPr>
              <w:t>中心</w:t>
            </w:r>
            <w:r>
              <w:rPr>
                <w:rFonts w:hint="eastAsia" w:ascii="宋体" w:hAnsi="宋体" w:cs="宋体"/>
                <w:color w:val="000000"/>
                <w:sz w:val="21"/>
                <w:szCs w:val="21"/>
              </w:rPr>
              <w:t>置收入及时足额上缴计0.4分。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固定资产</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利用率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产出</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职责</w:t>
            </w:r>
            <w:r>
              <w:rPr>
                <w:rFonts w:hint="eastAsia" w:ascii="宋体" w:hAnsi="宋体" w:cs="宋体"/>
                <w:color w:val="000000"/>
                <w:sz w:val="21"/>
                <w:szCs w:val="21"/>
              </w:rPr>
              <w:br w:type="textWrapping"/>
            </w: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210" w:afterAutospacing="0" w:line="600" w:lineRule="exact"/>
              <w:jc w:val="both"/>
              <w:rPr>
                <w:rFonts w:hint="eastAsia"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重点工作</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办结率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效果</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履职</w:t>
            </w:r>
            <w:r>
              <w:rPr>
                <w:rFonts w:hint="eastAsia" w:ascii="宋体" w:hAnsi="宋体" w:cs="宋体"/>
                <w:color w:val="000000"/>
                <w:sz w:val="21"/>
                <w:szCs w:val="21"/>
              </w:rPr>
              <w:br w:type="textWrapping"/>
            </w: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noWrap w:val="0"/>
            <w:tcMar>
              <w:top w:w="10" w:type="dxa"/>
              <w:left w:w="10" w:type="dxa"/>
              <w:right w:w="10" w:type="dxa"/>
            </w:tcMar>
            <w:vAlign w:val="center"/>
          </w:tcPr>
          <w:p>
            <w:pPr>
              <w:spacing w:line="600" w:lineRule="exact"/>
              <w:ind w:left="315" w:hanging="315"/>
              <w:rPr>
                <w:rFonts w:hint="eastAsia" w:ascii="宋体" w:hAnsi="宋体" w:cs="宋体"/>
                <w:color w:val="000000"/>
                <w:sz w:val="15"/>
                <w:szCs w:val="15"/>
              </w:rPr>
            </w:pPr>
            <w:r>
              <w:rPr>
                <w:rFonts w:hint="eastAsia" w:ascii="宋体" w:hAnsi="宋体" w:cs="宋体"/>
                <w:color w:val="000000"/>
                <w:szCs w:val="21"/>
              </w:rPr>
              <w:t>按社会效益实现程度计算得分（5分）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生态效益</w:t>
            </w:r>
          </w:p>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部门履行职责对生态环境所带来的直接或间接影响。</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对生态环境影响较好的计5分；一般3分；效果不明显0分。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社会公众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或服务对</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eastAsia" w:ascii="Times New Roman" w:hAnsi="Times New Roman"/>
                <w:kern w:val="0"/>
                <w:sz w:val="24"/>
                <w:szCs w:val="24"/>
                <w:lang w:val="en-US" w:eastAsia="zh-CN" w:bidi="ar-SA"/>
              </w:rPr>
            </w:pPr>
            <w:r>
              <w:rPr>
                <w:rFonts w:hint="eastAsia"/>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　</w:t>
            </w:r>
          </w:p>
        </w:tc>
        <w:tc>
          <w:tcPr>
            <w:tcW w:w="5340" w:type="dxa"/>
            <w:tcBorders>
              <w:top w:val="nil"/>
              <w:left w:val="nil"/>
              <w:bottom w:val="nil"/>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5825" w:type="dxa"/>
            <w:tcBorders>
              <w:top w:val="nil"/>
              <w:left w:val="nil"/>
              <w:bottom w:val="nil"/>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768" w:type="dxa"/>
            <w:tcBorders>
              <w:top w:val="nil"/>
              <w:left w:val="nil"/>
              <w:bottom w:val="nil"/>
              <w:right w:val="single" w:color="auto" w:sz="8" w:space="0"/>
            </w:tcBorders>
            <w:noWrap w:val="0"/>
            <w:vAlign w:val="center"/>
          </w:tcPr>
          <w:p>
            <w:pPr>
              <w:pStyle w:val="4"/>
              <w:widowControl/>
              <w:spacing w:before="0" w:beforeAutospacing="0" w:after="0" w:afterAutospacing="0" w:line="600" w:lineRule="exact"/>
              <w:ind w:left="0" w:leftChars="0" w:firstLine="0" w:firstLineChars="0"/>
              <w:jc w:val="center"/>
              <w:rPr>
                <w:rFonts w:hint="default" w:ascii="Times New Roman" w:hAnsi="Times New Roman" w:eastAsia="宋体"/>
                <w:kern w:val="0"/>
                <w:sz w:val="24"/>
                <w:szCs w:val="24"/>
                <w:lang w:val="en-US" w:eastAsia="zh-CN" w:bidi="ar-SA"/>
              </w:rPr>
            </w:pPr>
            <w:r>
              <w:rPr>
                <w:rFonts w:hint="eastAsia"/>
                <w:lang w:val="en-US" w:eastAsia="zh-CN"/>
              </w:rPr>
              <w:t>98</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noWrap w:val="0"/>
            <w:vAlign w:val="center"/>
          </w:tcPr>
          <w:p>
            <w:pPr>
              <w:pStyle w:val="4"/>
              <w:widowControl/>
              <w:spacing w:before="0" w:beforeAutospacing="0" w:after="0" w:afterAutospacing="0" w:line="600" w:lineRule="exact"/>
              <w:rPr>
                <w:rFonts w:hint="eastAsia" w:ascii="宋体" w:hAnsi="宋体" w:cs="宋体"/>
                <w:color w:val="000000"/>
                <w:sz w:val="21"/>
                <w:szCs w:val="21"/>
              </w:rPr>
            </w:pPr>
          </w:p>
        </w:tc>
        <w:tc>
          <w:tcPr>
            <w:tcW w:w="704" w:type="dxa"/>
            <w:tcBorders>
              <w:top w:val="nil"/>
              <w:left w:val="nil"/>
              <w:bottom w:val="single" w:color="auto" w:sz="8" w:space="0"/>
              <w:right w:val="single" w:color="auto" w:sz="8" w:space="0"/>
            </w:tcBorders>
            <w:noWrap w:val="0"/>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p>
        </w:tc>
        <w:tc>
          <w:tcPr>
            <w:tcW w:w="768" w:type="dxa"/>
            <w:tcBorders>
              <w:top w:val="nil"/>
              <w:left w:val="nil"/>
              <w:bottom w:val="single" w:color="auto" w:sz="8" w:space="0"/>
              <w:right w:val="single" w:color="auto" w:sz="8" w:space="0"/>
            </w:tcBorders>
            <w:noWrap w:val="0"/>
            <w:vAlign w:val="center"/>
          </w:tcPr>
          <w:p>
            <w:pPr>
              <w:pStyle w:val="4"/>
              <w:widowControl/>
              <w:tabs>
                <w:tab w:val="left" w:pos="2604"/>
              </w:tabs>
              <w:spacing w:before="0" w:beforeAutospacing="0" w:after="0" w:afterAutospacing="0" w:line="600" w:lineRule="exact"/>
              <w:jc w:val="center"/>
            </w:pPr>
          </w:p>
        </w:tc>
      </w:tr>
    </w:tbl>
    <w:p>
      <w:pPr>
        <w:widowControl/>
        <w:spacing w:line="600" w:lineRule="exact"/>
        <w:ind w:left="147" w:hanging="147" w:hangingChars="46"/>
        <w:rPr>
          <w:rFonts w:ascii="仿宋" w:hAnsi="仿宋" w:eastAsia="仿宋"/>
          <w:sz w:val="32"/>
          <w:szCs w:val="32"/>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118E5"/>
    <w:rsid w:val="00B03053"/>
    <w:rsid w:val="342118E5"/>
    <w:rsid w:val="3AF16E26"/>
    <w:rsid w:val="3D231431"/>
    <w:rsid w:val="5CCF6BC9"/>
    <w:rsid w:val="63A26FE6"/>
    <w:rsid w:val="67D72EB2"/>
    <w:rsid w:val="73301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2021-07-21T00:09:00Z</dcterms:created>
  <dc:creator>飞翔</dc:creator>
  <cp:lastModifiedBy>Administrator</cp:lastModifiedBy>
  <cp:lastPrinted>2021-07-21T01:44:00Z</cp:lastPrinted>
  <dcterms:modified xsi:type="dcterms:W3CDTF">2021-08-03T00:49:02Z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417D9C82C0A846E8A4413A226EA96C85</vt:lpwstr>
  </property>
</Properties>
</file>