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default" w:ascii="Times New Roman" w:hAnsi="Times New Roman" w:cs="Times New Roman"/>
          <w:sz w:val="21"/>
          <w:szCs w:val="21"/>
        </w:rPr>
      </w:pPr>
      <w:r>
        <w:rPr>
          <w:rFonts w:hint="eastAsia" w:ascii="微软雅黑" w:hAnsi="微软雅黑" w:eastAsia="微软雅黑" w:cs="微软雅黑"/>
          <w:b/>
          <w:i w:val="0"/>
          <w:caps w:val="0"/>
          <w:color w:val="1E1E1E"/>
          <w:spacing w:val="0"/>
          <w:kern w:val="0"/>
          <w:sz w:val="37"/>
          <w:szCs w:val="37"/>
          <w:lang w:val="en-US" w:eastAsia="zh-CN" w:bidi="ar"/>
        </w:rPr>
        <w:t>邵阳市生态环境局新邵分局2020年度部门整体支出绩效自评报告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hanging="48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hanging="48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rPr>
        <w:t>一、部门概况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rPr>
        <w:t>（一）部门基本情况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rPr>
          <w:rFonts w:hint="default" w:ascii="Times New Roman" w:hAnsi="Times New Roman" w:cs="Times New Roman"/>
          <w:sz w:val="24"/>
          <w:szCs w:val="24"/>
        </w:rPr>
      </w:pPr>
      <w:r>
        <w:rPr>
          <w:rFonts w:hint="eastAsia" w:ascii="仿宋" w:hAnsi="仿宋" w:eastAsia="仿宋" w:cs="仿宋"/>
          <w:i w:val="0"/>
          <w:caps w:val="0"/>
          <w:color w:val="1E1E1E"/>
          <w:spacing w:val="0"/>
          <w:sz w:val="32"/>
          <w:szCs w:val="32"/>
        </w:rPr>
        <w:t>我局设办公室（政工、财务）、审批与法制宣教股、水环境与监测股、土壤与自然生态保护股、综合与大气环境股。下设二级机构生态环境监测站、综合行政执法大队，均为非财政独立核算单位。2020年，在职人员47人，退休人员8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rPr>
          <w:rFonts w:hint="default" w:ascii="Times New Roman" w:hAnsi="Times New Roman" w:cs="Times New Roman"/>
          <w:sz w:val="24"/>
          <w:szCs w:val="24"/>
        </w:rPr>
      </w:pPr>
      <w:r>
        <w:rPr>
          <w:rFonts w:hint="eastAsia" w:ascii="仿宋" w:hAnsi="仿宋" w:eastAsia="仿宋" w:cs="仿宋"/>
          <w:i w:val="0"/>
          <w:caps w:val="0"/>
          <w:color w:val="1E1E1E"/>
          <w:spacing w:val="0"/>
          <w:sz w:val="32"/>
          <w:szCs w:val="32"/>
        </w:rPr>
        <w:t>（二）主要工作职责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150" w:right="0" w:firstLine="627"/>
        <w:jc w:val="left"/>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rPr>
        <w:t>1、贯彻执行上级环境保护的方针、政策和法律、法规及规章制度。按照权限和组织对辖区内的重大发展规划以及重大经济开发计划进行环境影响评价。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150" w:right="0" w:firstLine="627"/>
        <w:jc w:val="left"/>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rPr>
        <w:t>2、制订本县环境保护规划和计划，参与制订和审定城市总体规划，组织拟定和监督实施本县重点区域、重点流域污染防治规划和生态保护规划。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150" w:right="0" w:firstLine="627"/>
        <w:jc w:val="left"/>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rPr>
        <w:t>3、组织实施国家、省、市有关大气、水体、土壤、噪声、固定废物、有毒化学品、放射性废物以及机动车等污染防治法规、规章和管理办法；组织制订全县污染物排放总量计划；承办用作原料的废物进出口许可预审工作；参与有毒化学品进出口登记和管理的有关工作。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150" w:right="0" w:firstLine="627"/>
        <w:jc w:val="left"/>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rPr>
        <w:t>4、监督对生态环境有影响的自然资源开发利用活动，重点生态环境建设和生态破坏恢复工作；监督检查各类型自然保护区以及风景名胜区、森林公园环境保护工作；监督检查生物多样性保护、野生动植物保护工作；承办县内新建国家和省、市级自然保护区的申报等有关工作，负责向县政府提出新建的各类自然保护区的审批建设以及上报备案工作，监督管理自然保护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150" w:right="0" w:firstLine="627"/>
        <w:jc w:val="left"/>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rPr>
        <w:t>5、指导和协调解决全县重大环境问题；调查处理县内重大环境污染事故和生态破坏事件；组织和协调县内流域，水域水污染防治工作；负责环境监理和环境保护行政稽查；组织开展全县环境保护执法检查活动。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150" w:right="0" w:firstLine="627"/>
        <w:jc w:val="left"/>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rPr>
        <w:t>6、监督实施国家和省环境质量标准及污染物排放标准；组织编报全县环境质量报告书，发布环境状况公报；参与编制全县可持续发展纲要。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150" w:right="0" w:firstLine="627"/>
        <w:jc w:val="left"/>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rPr>
        <w:t>7、拟定和组织实施各项环境管理制度；按照国家、省、市规定审批建设项目环境影响报告书；负责城市环境综合及定量考核工作，指导城乡环境综合整治；监督管理农村生态环境保护，指导全县生态示范区建设和生态农业建设，组织环境保护科技发展、科学研究和技术示范工程。负责管理全县环境管理体系认证申报和环境标志认证申报工作，指导和推动环境保护产业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150" w:right="0" w:firstLine="627"/>
        <w:jc w:val="left"/>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rPr>
        <w:t>8、负责环境保护监测、统计、信息工作；组织建设和管理环境监测和环境信息网络；组织对全县环境质量监测和污染源监督性监测。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150" w:right="0" w:firstLine="627"/>
        <w:jc w:val="left"/>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rPr>
        <w:t>9、贯彻执行国家关于全球环境问题的基本原则，开展县内外区域间的环境保护合作交流、协调与履约、有关的利用外资项目；受政府委托处理涉外环境保护事务。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150" w:right="0" w:firstLine="627"/>
        <w:jc w:val="left"/>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rPr>
        <w:t>10、组织、指导和协调全县环境保护宣传教育工作，推动公众和非政府组织参与环境保护；负责局机关及直属单位机构编制与人事管理等有关工作；完成县委、县政府交办的其他事项。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150" w:right="0" w:firstLine="627"/>
        <w:jc w:val="left"/>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rPr>
        <w:t>（三）2020年度工作计划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36" w:lineRule="atLeast"/>
        <w:ind w:left="150" w:right="0" w:firstLine="64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rPr>
        <w:t>1、以改善环境质量为核心，着力抓好环境污染防治。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36" w:lineRule="atLeast"/>
        <w:ind w:left="150" w:right="0" w:firstLine="64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rPr>
        <w:t>一是深入开展大气污染防治，全面落实国家、省、市大气污染防治规划，继续深入开展好蓝天保卫战，进一步改善县域空气质量。二是持续开展水污染防治，积极配合推行“河长制”，加大资江、龙山河等重点流域的水污染治理和饮用水水源保护工作，确保人民群众生产、生活用水安全。三是积极开展土壤污染防治，规范有序开展县域受污染地块的治理与修复。四是全力推进农村环境综合整治，完成农村环境综合整治整县推进项目任务，切实抓好以生态县、环境优美乡（镇）为载体的生态建设与保护工作。五是持续推进区域环境综合整治。按照湘商产业园区、雀塘再生资源工业园区、龙溪铺石材工业园综合整治方案的部署要求，全面实施该区域环境污染治理和升级改造工作。六是严格控制主要污染物排放，积极推进污染物排放许可制度，加强排污许可证发放管理，全面完成减排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36" w:lineRule="atLeast"/>
        <w:ind w:left="150" w:right="0" w:firstLine="64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rPr>
        <w:t>2、以环保督察整改为主线，着力抓好环境监管执法。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36" w:lineRule="atLeast"/>
        <w:ind w:left="150" w:right="0" w:firstLine="64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rPr>
        <w:t>一是严格按照中央、省、市的要求，继续做好配合各级环保督察工作，继续抓好环保突出问题的整改，防止死灰复燃，加快推进环保项目建设，确保按时完成整治任务；二是进一步强化对重点企业、重点行业、重点领域的监管，严厉打击环境违法行为；三是继续深入开展好专项整治行动。深入开展好固废清理、绿盾行动、饮用水源整治、涉锑污染整治、养殖污染整治、砖瓦窑整治、采石场整治等专项行动。四是切实抓好环境信访处置。对网络舆情、群众信访做到第一时间处置，并变“上访”为“下访”，主动深入排查环境问题，使环境污染纠纷能化解在萌芽状态，环境问题能第一时间整改到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36" w:lineRule="atLeast"/>
        <w:ind w:left="150" w:right="0" w:firstLine="64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rPr>
        <w:t>3、以环保体系改革为主线，着力抓好环保能力建设。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36" w:lineRule="atLeast"/>
        <w:ind w:left="150" w:right="0" w:firstLine="64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rPr>
        <w:t>一是推行环境污染第三方治理方式，落实碳排放交易总量设定与配额分配方案，出台实施关于大力推进绿色发展加快建设生态强县的意见，出台关于健全生态补偿机制的意见，落实环境保护行政执法与刑事司法衔接工作机制，配合做好环保机构监测监察执法垂直管理制度改革,搞好环评登记对接和服务工作，加强对项目竣工验收的监督管理。二是加强干部队伍建设，不断加大干部培养和内部交流轮岗力度，积极引进环保专业人才。三是提升环境监管能力，推动移动执法系统建设，提高执法能力水平和应急处置能力，加强重点企业在线监控建设。四是强化环境宣传教育，进一步提高社会各方面的环保法律意识。五是抓好环保系统党风廉政建设，进一步筑牢</w:t>
      </w:r>
      <w:r>
        <w:rPr>
          <w:rFonts w:hint="eastAsia" w:ascii="仿宋" w:hAnsi="仿宋" w:eastAsia="仿宋" w:cs="仿宋"/>
          <w:i w:val="0"/>
          <w:caps w:val="0"/>
          <w:color w:val="1E1E1E"/>
          <w:spacing w:val="0"/>
          <w:sz w:val="32"/>
          <w:szCs w:val="32"/>
          <w:lang w:eastAsia="zh-CN"/>
        </w:rPr>
        <w:t>拒腐防变</w:t>
      </w:r>
      <w:bookmarkStart w:id="0" w:name="_GoBack"/>
      <w:bookmarkEnd w:id="0"/>
      <w:r>
        <w:rPr>
          <w:rFonts w:hint="eastAsia" w:ascii="仿宋" w:hAnsi="仿宋" w:eastAsia="仿宋" w:cs="仿宋"/>
          <w:i w:val="0"/>
          <w:caps w:val="0"/>
          <w:color w:val="1E1E1E"/>
          <w:spacing w:val="0"/>
          <w:sz w:val="32"/>
          <w:szCs w:val="32"/>
        </w:rPr>
        <w:t>的思想防线。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36" w:lineRule="atLeast"/>
        <w:ind w:left="150" w:right="0" w:firstLine="64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rPr>
        <w:t>二 、部门整体支出规模、使用方向和内容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36" w:lineRule="atLeast"/>
        <w:ind w:left="150" w:right="0" w:firstLine="64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rPr>
        <w:t>（一）年度预算收支情况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36" w:lineRule="atLeast"/>
        <w:ind w:left="150" w:right="0" w:firstLine="64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rPr>
        <w:t>1.年初预算收支</w:t>
      </w:r>
    </w:p>
    <w:tbl>
      <w:tblPr>
        <w:tblStyle w:val="5"/>
        <w:tblpPr w:vertAnchor="text" w:tblpXSpec="left"/>
        <w:tblW w:w="8522" w:type="dxa"/>
        <w:tblInd w:w="0" w:type="dxa"/>
        <w:shd w:val="clear" w:color="auto" w:fill="auto"/>
        <w:tblLayout w:type="fixed"/>
        <w:tblCellMar>
          <w:top w:w="0" w:type="dxa"/>
          <w:left w:w="0" w:type="dxa"/>
          <w:bottom w:w="0" w:type="dxa"/>
          <w:right w:w="0" w:type="dxa"/>
        </w:tblCellMar>
      </w:tblPr>
      <w:tblGrid>
        <w:gridCol w:w="2095"/>
        <w:gridCol w:w="1703"/>
        <w:gridCol w:w="1595"/>
        <w:gridCol w:w="1324"/>
        <w:gridCol w:w="1805"/>
      </w:tblGrid>
      <w:tr>
        <w:tblPrEx>
          <w:shd w:val="clear" w:color="auto" w:fill="auto"/>
          <w:tblCellMar>
            <w:top w:w="0" w:type="dxa"/>
            <w:left w:w="0" w:type="dxa"/>
            <w:bottom w:w="0" w:type="dxa"/>
            <w:right w:w="0" w:type="dxa"/>
          </w:tblCellMar>
        </w:tblPrEx>
        <w:trPr>
          <w:trHeight w:val="337" w:hRule="atLeast"/>
        </w:trPr>
        <w:tc>
          <w:tcPr>
            <w:tcW w:w="2095" w:type="dxa"/>
            <w:vMerge w:val="restart"/>
            <w:tcBorders>
              <w:top w:val="single" w:color="auto" w:sz="8" w:space="0"/>
              <w:left w:val="single" w:color="auto" w:sz="8" w:space="0"/>
              <w:bottom w:val="single" w:color="auto" w:sz="8" w:space="0"/>
              <w:right w:val="single" w:color="auto" w:sz="8" w:space="0"/>
            </w:tcBorders>
            <w:shd w:val="clear" w:color="auto" w:fill="D9D9D9"/>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6" w:right="0" w:hanging="316"/>
              <w:jc w:val="center"/>
              <w:textAlignment w:val="center"/>
              <w:rPr>
                <w:rFonts w:hint="default" w:ascii="Times New Roman" w:hAnsi="Times New Roman" w:cs="Times New Roman"/>
                <w:sz w:val="21"/>
                <w:szCs w:val="21"/>
              </w:rPr>
            </w:pPr>
            <w:r>
              <w:rPr>
                <w:rFonts w:hint="eastAsia" w:ascii="仿宋" w:hAnsi="仿宋" w:eastAsia="仿宋" w:cs="仿宋"/>
                <w:b/>
                <w:color w:val="000000"/>
                <w:sz w:val="21"/>
                <w:szCs w:val="21"/>
              </w:rPr>
              <w:t>预算项目</w:t>
            </w:r>
          </w:p>
        </w:tc>
        <w:tc>
          <w:tcPr>
            <w:tcW w:w="3298" w:type="dxa"/>
            <w:gridSpan w:val="2"/>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6" w:right="0" w:hanging="316"/>
              <w:jc w:val="center"/>
              <w:textAlignment w:val="center"/>
              <w:rPr>
                <w:rFonts w:hint="default" w:ascii="Times New Roman" w:hAnsi="Times New Roman" w:cs="Times New Roman"/>
                <w:sz w:val="21"/>
                <w:szCs w:val="21"/>
              </w:rPr>
            </w:pPr>
            <w:r>
              <w:rPr>
                <w:rFonts w:hint="eastAsia" w:ascii="仿宋" w:hAnsi="仿宋" w:eastAsia="仿宋" w:cs="仿宋"/>
                <w:b/>
                <w:color w:val="000000"/>
                <w:sz w:val="21"/>
                <w:szCs w:val="21"/>
              </w:rPr>
              <w:t>预算金额</w:t>
            </w:r>
          </w:p>
        </w:tc>
        <w:tc>
          <w:tcPr>
            <w:tcW w:w="3129" w:type="dxa"/>
            <w:gridSpan w:val="2"/>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6" w:right="0" w:hanging="316"/>
              <w:jc w:val="center"/>
              <w:textAlignment w:val="center"/>
              <w:rPr>
                <w:rFonts w:hint="default" w:ascii="Times New Roman" w:hAnsi="Times New Roman" w:cs="Times New Roman"/>
                <w:sz w:val="21"/>
                <w:szCs w:val="21"/>
              </w:rPr>
            </w:pPr>
            <w:r>
              <w:rPr>
                <w:rFonts w:hint="eastAsia" w:ascii="仿宋" w:hAnsi="仿宋" w:eastAsia="仿宋" w:cs="仿宋"/>
                <w:b/>
                <w:color w:val="000000"/>
                <w:sz w:val="21"/>
                <w:szCs w:val="21"/>
              </w:rPr>
              <w:t>较上年增减变化</w:t>
            </w:r>
          </w:p>
        </w:tc>
      </w:tr>
      <w:tr>
        <w:tblPrEx>
          <w:shd w:val="clear" w:color="auto" w:fill="auto"/>
          <w:tblCellMar>
            <w:top w:w="0" w:type="dxa"/>
            <w:left w:w="0" w:type="dxa"/>
            <w:bottom w:w="0" w:type="dxa"/>
            <w:right w:w="0" w:type="dxa"/>
          </w:tblCellMar>
        </w:tblPrEx>
        <w:trPr>
          <w:trHeight w:val="397" w:hRule="atLeast"/>
        </w:trPr>
        <w:tc>
          <w:tcPr>
            <w:tcW w:w="2095" w:type="dxa"/>
            <w:vMerge w:val="continue"/>
            <w:tcBorders>
              <w:top w:val="single" w:color="auto" w:sz="8" w:space="0"/>
              <w:left w:val="single" w:color="auto" w:sz="8" w:space="0"/>
              <w:bottom w:val="single" w:color="auto" w:sz="8" w:space="0"/>
              <w:right w:val="single" w:color="auto" w:sz="8" w:space="0"/>
            </w:tcBorders>
            <w:shd w:val="clear" w:color="auto" w:fill="D9D9D9"/>
            <w:tcMar>
              <w:left w:w="108" w:type="dxa"/>
              <w:right w:w="108" w:type="dxa"/>
            </w:tcMar>
            <w:vAlign w:val="center"/>
          </w:tcPr>
          <w:p>
            <w:pPr>
              <w:rPr>
                <w:rFonts w:hint="eastAsia" w:ascii="宋体"/>
                <w:sz w:val="24"/>
                <w:szCs w:val="24"/>
              </w:rPr>
            </w:pPr>
          </w:p>
        </w:tc>
        <w:tc>
          <w:tcPr>
            <w:tcW w:w="1703" w:type="dxa"/>
            <w:tcBorders>
              <w:top w:val="nil"/>
              <w:left w:val="nil"/>
              <w:bottom w:val="single" w:color="auto" w:sz="8" w:space="0"/>
              <w:right w:val="single" w:color="auto" w:sz="8" w:space="0"/>
            </w:tcBorders>
            <w:shd w:val="clear" w:color="auto" w:fill="D9D9D9"/>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6" w:right="0" w:hanging="316"/>
              <w:jc w:val="center"/>
              <w:textAlignment w:val="center"/>
              <w:rPr>
                <w:rFonts w:hint="default" w:ascii="Times New Roman" w:hAnsi="Times New Roman" w:cs="Times New Roman"/>
                <w:sz w:val="21"/>
                <w:szCs w:val="21"/>
              </w:rPr>
            </w:pPr>
            <w:r>
              <w:rPr>
                <w:rFonts w:hint="eastAsia" w:ascii="仿宋" w:hAnsi="仿宋" w:eastAsia="仿宋" w:cs="仿宋"/>
                <w:b/>
                <w:color w:val="000000"/>
                <w:sz w:val="21"/>
                <w:szCs w:val="21"/>
              </w:rPr>
              <w:t>2020年</w:t>
            </w:r>
          </w:p>
        </w:tc>
        <w:tc>
          <w:tcPr>
            <w:tcW w:w="1595" w:type="dxa"/>
            <w:tcBorders>
              <w:top w:val="nil"/>
              <w:left w:val="nil"/>
              <w:bottom w:val="single" w:color="auto" w:sz="8" w:space="0"/>
              <w:right w:val="single" w:color="auto" w:sz="8" w:space="0"/>
            </w:tcBorders>
            <w:shd w:val="clear" w:color="auto" w:fill="D9D9D9"/>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6" w:right="0" w:hanging="316"/>
              <w:jc w:val="center"/>
              <w:textAlignment w:val="center"/>
              <w:rPr>
                <w:rFonts w:hint="default" w:ascii="Times New Roman" w:hAnsi="Times New Roman" w:cs="Times New Roman"/>
                <w:sz w:val="21"/>
                <w:szCs w:val="21"/>
              </w:rPr>
            </w:pPr>
            <w:r>
              <w:rPr>
                <w:rFonts w:hint="eastAsia" w:ascii="仿宋" w:hAnsi="仿宋" w:eastAsia="仿宋" w:cs="仿宋"/>
                <w:b/>
                <w:color w:val="000000"/>
                <w:sz w:val="21"/>
                <w:szCs w:val="21"/>
              </w:rPr>
              <w:t>2019年</w:t>
            </w:r>
          </w:p>
        </w:tc>
        <w:tc>
          <w:tcPr>
            <w:tcW w:w="1324" w:type="dxa"/>
            <w:tcBorders>
              <w:top w:val="nil"/>
              <w:left w:val="nil"/>
              <w:bottom w:val="single" w:color="auto" w:sz="8" w:space="0"/>
              <w:right w:val="single" w:color="auto" w:sz="8" w:space="0"/>
            </w:tcBorders>
            <w:shd w:val="clear" w:color="auto" w:fill="D9D9D9"/>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6" w:right="0" w:hanging="316"/>
              <w:jc w:val="center"/>
              <w:textAlignment w:val="center"/>
              <w:rPr>
                <w:rFonts w:hint="default" w:ascii="Times New Roman" w:hAnsi="Times New Roman" w:cs="Times New Roman"/>
                <w:sz w:val="21"/>
                <w:szCs w:val="21"/>
              </w:rPr>
            </w:pPr>
            <w:r>
              <w:rPr>
                <w:rFonts w:hint="eastAsia" w:ascii="仿宋" w:hAnsi="仿宋" w:eastAsia="仿宋" w:cs="仿宋"/>
                <w:b/>
                <w:color w:val="000000"/>
                <w:sz w:val="21"/>
                <w:szCs w:val="21"/>
              </w:rPr>
              <w:t>金额</w:t>
            </w:r>
          </w:p>
        </w:tc>
        <w:tc>
          <w:tcPr>
            <w:tcW w:w="1805" w:type="dxa"/>
            <w:tcBorders>
              <w:top w:val="nil"/>
              <w:left w:val="nil"/>
              <w:bottom w:val="single" w:color="auto" w:sz="8" w:space="0"/>
              <w:right w:val="single" w:color="auto" w:sz="8" w:space="0"/>
            </w:tcBorders>
            <w:shd w:val="clear" w:color="auto" w:fill="D9D9D9"/>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6" w:right="0" w:hanging="316"/>
              <w:jc w:val="center"/>
              <w:textAlignment w:val="center"/>
              <w:rPr>
                <w:rFonts w:hint="default" w:ascii="Times New Roman" w:hAnsi="Times New Roman" w:cs="Times New Roman"/>
                <w:sz w:val="21"/>
                <w:szCs w:val="21"/>
              </w:rPr>
            </w:pPr>
            <w:r>
              <w:rPr>
                <w:rFonts w:hint="eastAsia" w:ascii="仿宋" w:hAnsi="仿宋" w:eastAsia="仿宋" w:cs="仿宋"/>
                <w:b/>
                <w:color w:val="000000"/>
                <w:sz w:val="21"/>
                <w:szCs w:val="21"/>
              </w:rPr>
              <w:t>比例</w:t>
            </w:r>
          </w:p>
        </w:tc>
      </w:tr>
      <w:tr>
        <w:tblPrEx>
          <w:shd w:val="clear" w:color="auto" w:fill="auto"/>
          <w:tblCellMar>
            <w:top w:w="0" w:type="dxa"/>
            <w:left w:w="0" w:type="dxa"/>
            <w:bottom w:w="0" w:type="dxa"/>
            <w:right w:w="0" w:type="dxa"/>
          </w:tblCellMar>
        </w:tblPrEx>
        <w:trPr>
          <w:trHeight w:val="534" w:hRule="atLeast"/>
        </w:trPr>
        <w:tc>
          <w:tcPr>
            <w:tcW w:w="209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6" w:right="0" w:hanging="316"/>
              <w:jc w:val="left"/>
              <w:rPr>
                <w:rFonts w:hint="default" w:ascii="Times New Roman" w:hAnsi="Times New Roman" w:cs="Times New Roman"/>
                <w:sz w:val="21"/>
                <w:szCs w:val="21"/>
              </w:rPr>
            </w:pPr>
            <w:r>
              <w:rPr>
                <w:rFonts w:hint="eastAsia" w:ascii="仿宋" w:hAnsi="仿宋" w:eastAsia="仿宋" w:cs="仿宋"/>
                <w:b/>
                <w:color w:val="010101"/>
                <w:sz w:val="21"/>
                <w:szCs w:val="21"/>
              </w:rPr>
              <w:t>收入预算</w:t>
            </w:r>
          </w:p>
        </w:tc>
        <w:tc>
          <w:tcPr>
            <w:tcW w:w="170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126" w:hanging="315"/>
              <w:jc w:val="right"/>
              <w:rPr>
                <w:rFonts w:hint="default" w:ascii="Times New Roman" w:hAnsi="Times New Roman" w:cs="Times New Roman"/>
                <w:sz w:val="21"/>
                <w:szCs w:val="21"/>
              </w:rPr>
            </w:pPr>
            <w:r>
              <w:rPr>
                <w:rFonts w:hint="eastAsia" w:ascii="仿宋" w:hAnsi="仿宋" w:eastAsia="仿宋" w:cs="仿宋"/>
                <w:color w:val="010101"/>
                <w:sz w:val="21"/>
                <w:szCs w:val="21"/>
              </w:rPr>
              <w:t>976</w:t>
            </w:r>
          </w:p>
        </w:tc>
        <w:tc>
          <w:tcPr>
            <w:tcW w:w="159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126" w:hanging="315"/>
              <w:jc w:val="right"/>
              <w:rPr>
                <w:rFonts w:hint="default" w:ascii="Times New Roman" w:hAnsi="Times New Roman" w:cs="Times New Roman"/>
                <w:sz w:val="21"/>
                <w:szCs w:val="21"/>
              </w:rPr>
            </w:pPr>
            <w:r>
              <w:rPr>
                <w:rFonts w:hint="eastAsia" w:ascii="仿宋" w:hAnsi="仿宋" w:eastAsia="仿宋" w:cs="仿宋"/>
                <w:sz w:val="21"/>
                <w:szCs w:val="21"/>
              </w:rPr>
              <w:t>926</w:t>
            </w:r>
          </w:p>
        </w:tc>
        <w:tc>
          <w:tcPr>
            <w:tcW w:w="132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126" w:hanging="315"/>
              <w:jc w:val="right"/>
              <w:rPr>
                <w:rFonts w:hint="default" w:ascii="Times New Roman" w:hAnsi="Times New Roman" w:cs="Times New Roman"/>
                <w:sz w:val="21"/>
                <w:szCs w:val="21"/>
              </w:rPr>
            </w:pPr>
            <w:r>
              <w:rPr>
                <w:rFonts w:hint="eastAsia" w:ascii="仿宋" w:hAnsi="仿宋" w:eastAsia="仿宋" w:cs="仿宋"/>
                <w:color w:val="010101"/>
                <w:sz w:val="21"/>
                <w:szCs w:val="21"/>
              </w:rPr>
              <w:t>50</w:t>
            </w:r>
          </w:p>
        </w:tc>
        <w:tc>
          <w:tcPr>
            <w:tcW w:w="18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5%</w:t>
            </w:r>
          </w:p>
        </w:tc>
      </w:tr>
      <w:tr>
        <w:tblPrEx>
          <w:shd w:val="clear" w:color="auto" w:fill="auto"/>
          <w:tblCellMar>
            <w:top w:w="0" w:type="dxa"/>
            <w:left w:w="0" w:type="dxa"/>
            <w:bottom w:w="0" w:type="dxa"/>
            <w:right w:w="0" w:type="dxa"/>
          </w:tblCellMar>
        </w:tblPrEx>
        <w:trPr>
          <w:trHeight w:val="630" w:hRule="atLeast"/>
        </w:trPr>
        <w:tc>
          <w:tcPr>
            <w:tcW w:w="209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left"/>
              <w:rPr>
                <w:rFonts w:hint="default" w:ascii="Times New Roman" w:hAnsi="Times New Roman" w:cs="Times New Roman"/>
                <w:sz w:val="21"/>
                <w:szCs w:val="21"/>
              </w:rPr>
            </w:pPr>
            <w:r>
              <w:rPr>
                <w:rFonts w:hint="eastAsia" w:ascii="仿宋" w:hAnsi="仿宋" w:eastAsia="仿宋" w:cs="仿宋"/>
                <w:color w:val="010101"/>
                <w:sz w:val="21"/>
                <w:szCs w:val="21"/>
              </w:rPr>
              <w:t>其中：财政经费拨款</w:t>
            </w:r>
          </w:p>
        </w:tc>
        <w:tc>
          <w:tcPr>
            <w:tcW w:w="170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126" w:hanging="315"/>
              <w:jc w:val="right"/>
              <w:rPr>
                <w:rFonts w:hint="default" w:ascii="Times New Roman" w:hAnsi="Times New Roman" w:cs="Times New Roman"/>
                <w:sz w:val="21"/>
                <w:szCs w:val="21"/>
              </w:rPr>
            </w:pPr>
            <w:r>
              <w:rPr>
                <w:rFonts w:hint="eastAsia" w:ascii="仿宋" w:hAnsi="仿宋" w:eastAsia="仿宋" w:cs="仿宋"/>
                <w:color w:val="010101"/>
                <w:sz w:val="21"/>
                <w:szCs w:val="21"/>
              </w:rPr>
              <w:t>976</w:t>
            </w:r>
          </w:p>
        </w:tc>
        <w:tc>
          <w:tcPr>
            <w:tcW w:w="159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126" w:hanging="315"/>
              <w:jc w:val="right"/>
              <w:rPr>
                <w:rFonts w:hint="default" w:ascii="Times New Roman" w:hAnsi="Times New Roman" w:cs="Times New Roman"/>
                <w:sz w:val="21"/>
                <w:szCs w:val="21"/>
              </w:rPr>
            </w:pPr>
            <w:r>
              <w:rPr>
                <w:rFonts w:hint="eastAsia" w:ascii="仿宋" w:hAnsi="仿宋" w:eastAsia="仿宋" w:cs="仿宋"/>
                <w:sz w:val="21"/>
                <w:szCs w:val="21"/>
              </w:rPr>
              <w:t>926</w:t>
            </w:r>
          </w:p>
        </w:tc>
        <w:tc>
          <w:tcPr>
            <w:tcW w:w="132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126" w:hanging="315"/>
              <w:jc w:val="right"/>
              <w:rPr>
                <w:rFonts w:hint="default" w:ascii="Times New Roman" w:hAnsi="Times New Roman" w:cs="Times New Roman"/>
                <w:sz w:val="21"/>
                <w:szCs w:val="21"/>
              </w:rPr>
            </w:pPr>
            <w:r>
              <w:rPr>
                <w:rFonts w:hint="eastAsia" w:ascii="仿宋" w:hAnsi="仿宋" w:eastAsia="仿宋" w:cs="仿宋"/>
                <w:color w:val="010101"/>
                <w:sz w:val="21"/>
                <w:szCs w:val="21"/>
              </w:rPr>
              <w:t>50</w:t>
            </w:r>
          </w:p>
        </w:tc>
        <w:tc>
          <w:tcPr>
            <w:tcW w:w="18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5%</w:t>
            </w:r>
          </w:p>
        </w:tc>
      </w:tr>
      <w:tr>
        <w:tblPrEx>
          <w:shd w:val="clear" w:color="auto" w:fill="auto"/>
          <w:tblCellMar>
            <w:top w:w="0" w:type="dxa"/>
            <w:left w:w="0" w:type="dxa"/>
            <w:bottom w:w="0" w:type="dxa"/>
            <w:right w:w="0" w:type="dxa"/>
          </w:tblCellMar>
        </w:tblPrEx>
        <w:trPr>
          <w:trHeight w:val="534" w:hRule="atLeast"/>
        </w:trPr>
        <w:tc>
          <w:tcPr>
            <w:tcW w:w="209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6" w:right="0" w:hanging="316"/>
              <w:jc w:val="left"/>
              <w:rPr>
                <w:rFonts w:hint="default" w:ascii="Times New Roman" w:hAnsi="Times New Roman" w:cs="Times New Roman"/>
                <w:sz w:val="21"/>
                <w:szCs w:val="21"/>
              </w:rPr>
            </w:pPr>
            <w:r>
              <w:rPr>
                <w:rFonts w:hint="eastAsia" w:ascii="仿宋" w:hAnsi="仿宋" w:eastAsia="仿宋" w:cs="仿宋"/>
                <w:b/>
                <w:color w:val="010101"/>
                <w:sz w:val="21"/>
                <w:szCs w:val="21"/>
              </w:rPr>
              <w:t>支出预算</w:t>
            </w:r>
          </w:p>
        </w:tc>
        <w:tc>
          <w:tcPr>
            <w:tcW w:w="170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126" w:hanging="315"/>
              <w:jc w:val="right"/>
              <w:rPr>
                <w:rFonts w:hint="default" w:ascii="Times New Roman" w:hAnsi="Times New Roman" w:cs="Times New Roman"/>
                <w:sz w:val="21"/>
                <w:szCs w:val="21"/>
              </w:rPr>
            </w:pPr>
            <w:r>
              <w:rPr>
                <w:rFonts w:hint="eastAsia" w:ascii="仿宋" w:hAnsi="仿宋" w:eastAsia="仿宋" w:cs="仿宋"/>
                <w:color w:val="010101"/>
                <w:sz w:val="21"/>
                <w:szCs w:val="21"/>
              </w:rPr>
              <w:t>976</w:t>
            </w:r>
          </w:p>
        </w:tc>
        <w:tc>
          <w:tcPr>
            <w:tcW w:w="159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126" w:hanging="315"/>
              <w:jc w:val="right"/>
              <w:rPr>
                <w:rFonts w:hint="default" w:ascii="Times New Roman" w:hAnsi="Times New Roman" w:cs="Times New Roman"/>
                <w:sz w:val="21"/>
                <w:szCs w:val="21"/>
              </w:rPr>
            </w:pPr>
            <w:r>
              <w:rPr>
                <w:rFonts w:hint="eastAsia" w:ascii="仿宋" w:hAnsi="仿宋" w:eastAsia="仿宋" w:cs="仿宋"/>
                <w:sz w:val="21"/>
                <w:szCs w:val="21"/>
              </w:rPr>
              <w:t>926</w:t>
            </w:r>
          </w:p>
        </w:tc>
        <w:tc>
          <w:tcPr>
            <w:tcW w:w="132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126" w:hanging="315"/>
              <w:jc w:val="right"/>
              <w:rPr>
                <w:rFonts w:hint="default" w:ascii="Times New Roman" w:hAnsi="Times New Roman" w:cs="Times New Roman"/>
                <w:sz w:val="21"/>
                <w:szCs w:val="21"/>
              </w:rPr>
            </w:pPr>
            <w:r>
              <w:rPr>
                <w:rFonts w:hint="eastAsia" w:ascii="仿宋" w:hAnsi="仿宋" w:eastAsia="仿宋" w:cs="仿宋"/>
                <w:color w:val="010101"/>
                <w:sz w:val="21"/>
                <w:szCs w:val="21"/>
              </w:rPr>
              <w:t>50</w:t>
            </w:r>
          </w:p>
        </w:tc>
        <w:tc>
          <w:tcPr>
            <w:tcW w:w="18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5%</w:t>
            </w:r>
          </w:p>
        </w:tc>
      </w:tr>
      <w:tr>
        <w:tblPrEx>
          <w:shd w:val="clear" w:color="auto" w:fill="auto"/>
          <w:tblCellMar>
            <w:top w:w="0" w:type="dxa"/>
            <w:left w:w="0" w:type="dxa"/>
            <w:bottom w:w="0" w:type="dxa"/>
            <w:right w:w="0" w:type="dxa"/>
          </w:tblCellMar>
        </w:tblPrEx>
        <w:trPr>
          <w:trHeight w:val="534" w:hRule="atLeast"/>
        </w:trPr>
        <w:tc>
          <w:tcPr>
            <w:tcW w:w="209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left"/>
              <w:rPr>
                <w:rFonts w:hint="default" w:ascii="Times New Roman" w:hAnsi="Times New Roman" w:cs="Times New Roman"/>
                <w:sz w:val="21"/>
                <w:szCs w:val="21"/>
              </w:rPr>
            </w:pPr>
            <w:r>
              <w:rPr>
                <w:rFonts w:hint="eastAsia" w:ascii="仿宋" w:hAnsi="仿宋" w:eastAsia="仿宋" w:cs="仿宋"/>
                <w:color w:val="010101"/>
                <w:sz w:val="21"/>
                <w:szCs w:val="21"/>
              </w:rPr>
              <w:t>其中：基本支出</w:t>
            </w:r>
          </w:p>
        </w:tc>
        <w:tc>
          <w:tcPr>
            <w:tcW w:w="170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126" w:hanging="315"/>
              <w:jc w:val="right"/>
              <w:rPr>
                <w:rFonts w:hint="default" w:ascii="Times New Roman" w:hAnsi="Times New Roman" w:cs="Times New Roman"/>
                <w:sz w:val="21"/>
                <w:szCs w:val="21"/>
              </w:rPr>
            </w:pPr>
            <w:r>
              <w:rPr>
                <w:rFonts w:hint="eastAsia" w:ascii="仿宋" w:hAnsi="仿宋" w:eastAsia="仿宋" w:cs="仿宋"/>
                <w:color w:val="010101"/>
                <w:sz w:val="21"/>
                <w:szCs w:val="21"/>
              </w:rPr>
              <w:t>474</w:t>
            </w:r>
          </w:p>
        </w:tc>
        <w:tc>
          <w:tcPr>
            <w:tcW w:w="159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126" w:hanging="315"/>
              <w:jc w:val="right"/>
              <w:rPr>
                <w:rFonts w:hint="default" w:ascii="Times New Roman" w:hAnsi="Times New Roman" w:cs="Times New Roman"/>
                <w:sz w:val="21"/>
                <w:szCs w:val="21"/>
              </w:rPr>
            </w:pPr>
            <w:r>
              <w:rPr>
                <w:rFonts w:hint="eastAsia" w:ascii="仿宋" w:hAnsi="仿宋" w:eastAsia="仿宋" w:cs="仿宋"/>
                <w:sz w:val="21"/>
                <w:szCs w:val="21"/>
              </w:rPr>
              <w:t>454</w:t>
            </w:r>
          </w:p>
        </w:tc>
        <w:tc>
          <w:tcPr>
            <w:tcW w:w="132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126" w:hanging="315"/>
              <w:jc w:val="right"/>
              <w:rPr>
                <w:rFonts w:hint="default" w:ascii="Times New Roman" w:hAnsi="Times New Roman" w:cs="Times New Roman"/>
                <w:sz w:val="21"/>
                <w:szCs w:val="21"/>
              </w:rPr>
            </w:pPr>
            <w:r>
              <w:rPr>
                <w:rFonts w:hint="eastAsia" w:ascii="仿宋" w:hAnsi="仿宋" w:eastAsia="仿宋" w:cs="仿宋"/>
                <w:color w:val="010101"/>
                <w:sz w:val="21"/>
                <w:szCs w:val="21"/>
              </w:rPr>
              <w:t>20</w:t>
            </w:r>
          </w:p>
        </w:tc>
        <w:tc>
          <w:tcPr>
            <w:tcW w:w="18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4%</w:t>
            </w:r>
          </w:p>
        </w:tc>
      </w:tr>
      <w:tr>
        <w:tblPrEx>
          <w:shd w:val="clear" w:color="auto" w:fill="auto"/>
          <w:tblCellMar>
            <w:top w:w="0" w:type="dxa"/>
            <w:left w:w="0" w:type="dxa"/>
            <w:bottom w:w="0" w:type="dxa"/>
            <w:right w:w="0" w:type="dxa"/>
          </w:tblCellMar>
        </w:tblPrEx>
        <w:trPr>
          <w:trHeight w:val="512" w:hRule="atLeast"/>
        </w:trPr>
        <w:tc>
          <w:tcPr>
            <w:tcW w:w="209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left"/>
              <w:rPr>
                <w:rFonts w:hint="default" w:ascii="Times New Roman" w:hAnsi="Times New Roman" w:cs="Times New Roman"/>
                <w:sz w:val="21"/>
                <w:szCs w:val="21"/>
              </w:rPr>
            </w:pPr>
            <w:r>
              <w:rPr>
                <w:rFonts w:hint="eastAsia" w:ascii="仿宋" w:hAnsi="仿宋" w:eastAsia="仿宋" w:cs="仿宋"/>
                <w:color w:val="010101"/>
                <w:sz w:val="21"/>
                <w:szCs w:val="21"/>
              </w:rPr>
              <w:t>其中：项目支出</w:t>
            </w:r>
          </w:p>
        </w:tc>
        <w:tc>
          <w:tcPr>
            <w:tcW w:w="170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126" w:hanging="315"/>
              <w:jc w:val="right"/>
              <w:rPr>
                <w:rFonts w:hint="default" w:ascii="Times New Roman" w:hAnsi="Times New Roman" w:cs="Times New Roman"/>
                <w:sz w:val="21"/>
                <w:szCs w:val="21"/>
              </w:rPr>
            </w:pPr>
            <w:r>
              <w:rPr>
                <w:rFonts w:hint="eastAsia" w:ascii="仿宋" w:hAnsi="仿宋" w:eastAsia="仿宋" w:cs="仿宋"/>
                <w:color w:val="010101"/>
                <w:sz w:val="21"/>
                <w:szCs w:val="21"/>
              </w:rPr>
              <w:t>502</w:t>
            </w:r>
          </w:p>
        </w:tc>
        <w:tc>
          <w:tcPr>
            <w:tcW w:w="159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126" w:hanging="315"/>
              <w:jc w:val="right"/>
              <w:rPr>
                <w:rFonts w:hint="default" w:ascii="Times New Roman" w:hAnsi="Times New Roman" w:cs="Times New Roman"/>
                <w:sz w:val="21"/>
                <w:szCs w:val="21"/>
              </w:rPr>
            </w:pPr>
            <w:r>
              <w:rPr>
                <w:rFonts w:hint="eastAsia" w:ascii="仿宋" w:hAnsi="仿宋" w:eastAsia="仿宋" w:cs="仿宋"/>
                <w:sz w:val="21"/>
                <w:szCs w:val="21"/>
              </w:rPr>
              <w:t>472</w:t>
            </w:r>
          </w:p>
        </w:tc>
        <w:tc>
          <w:tcPr>
            <w:tcW w:w="132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126" w:hanging="315"/>
              <w:jc w:val="right"/>
              <w:rPr>
                <w:rFonts w:hint="default" w:ascii="Times New Roman" w:hAnsi="Times New Roman" w:cs="Times New Roman"/>
                <w:sz w:val="21"/>
                <w:szCs w:val="21"/>
              </w:rPr>
            </w:pPr>
            <w:r>
              <w:rPr>
                <w:rFonts w:hint="eastAsia" w:ascii="仿宋" w:hAnsi="仿宋" w:eastAsia="仿宋" w:cs="仿宋"/>
                <w:color w:val="010101"/>
                <w:sz w:val="21"/>
                <w:szCs w:val="21"/>
              </w:rPr>
              <w:t>30</w:t>
            </w:r>
          </w:p>
        </w:tc>
        <w:tc>
          <w:tcPr>
            <w:tcW w:w="18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6%</w:t>
            </w:r>
          </w:p>
        </w:tc>
      </w:tr>
      <w:tr>
        <w:tblPrEx>
          <w:tblCellMar>
            <w:top w:w="0" w:type="dxa"/>
            <w:left w:w="0" w:type="dxa"/>
            <w:bottom w:w="0" w:type="dxa"/>
            <w:right w:w="0" w:type="dxa"/>
          </w:tblCellMar>
        </w:tblPrEx>
        <w:trPr>
          <w:trHeight w:val="59" w:hRule="atLeast"/>
        </w:trPr>
        <w:tc>
          <w:tcPr>
            <w:tcW w:w="2095" w:type="dxa"/>
            <w:tcBorders>
              <w:top w:val="nil"/>
              <w:left w:val="single" w:color="auto" w:sz="8" w:space="0"/>
              <w:bottom w:val="nil"/>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left"/>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703" w:type="dxa"/>
            <w:tcBorders>
              <w:top w:val="nil"/>
              <w:left w:val="nil"/>
              <w:bottom w:val="nil"/>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126" w:hanging="315"/>
              <w:jc w:val="right"/>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595" w:type="dxa"/>
            <w:tcBorders>
              <w:top w:val="nil"/>
              <w:left w:val="nil"/>
              <w:bottom w:val="nil"/>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126" w:hanging="315"/>
              <w:jc w:val="right"/>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324" w:type="dxa"/>
            <w:tcBorders>
              <w:top w:val="nil"/>
              <w:left w:val="nil"/>
              <w:bottom w:val="nil"/>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126" w:hanging="315"/>
              <w:jc w:val="right"/>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805" w:type="dxa"/>
            <w:tcBorders>
              <w:top w:val="nil"/>
              <w:left w:val="nil"/>
              <w:bottom w:val="nil"/>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r>
      <w:tr>
        <w:tblPrEx>
          <w:tblCellMar>
            <w:top w:w="0" w:type="dxa"/>
            <w:left w:w="0" w:type="dxa"/>
            <w:bottom w:w="0" w:type="dxa"/>
            <w:right w:w="0" w:type="dxa"/>
          </w:tblCellMar>
        </w:tblPrEx>
        <w:trPr>
          <w:trHeight w:val="141" w:hRule="atLeast"/>
        </w:trPr>
        <w:tc>
          <w:tcPr>
            <w:tcW w:w="209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149" w:right="0" w:hanging="149"/>
              <w:jc w:val="left"/>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70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126" w:hanging="315"/>
              <w:jc w:val="right"/>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59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126" w:hanging="315"/>
              <w:jc w:val="right"/>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32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126" w:hanging="315"/>
              <w:jc w:val="right"/>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8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firstLine="640" w:firstLineChars="20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rPr>
        <w:t>根据年初预算批复，与上年比较，较上年有所增长，主要因工资调整、项目增加。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hanging="48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rPr>
        <w:t>2.财政预算整体支出使用范围、方向和内容</w:t>
      </w:r>
    </w:p>
    <w:tbl>
      <w:tblPr>
        <w:tblStyle w:val="5"/>
        <w:tblW w:w="8317" w:type="dxa"/>
        <w:jc w:val="center"/>
        <w:shd w:val="clear" w:color="auto" w:fill="auto"/>
        <w:tblLayout w:type="fixed"/>
        <w:tblCellMar>
          <w:top w:w="0" w:type="dxa"/>
          <w:left w:w="0" w:type="dxa"/>
          <w:bottom w:w="0" w:type="dxa"/>
          <w:right w:w="0" w:type="dxa"/>
        </w:tblCellMar>
      </w:tblPr>
      <w:tblGrid>
        <w:gridCol w:w="2859"/>
        <w:gridCol w:w="1748"/>
        <w:gridCol w:w="1331"/>
        <w:gridCol w:w="2379"/>
      </w:tblGrid>
      <w:tr>
        <w:tblPrEx>
          <w:shd w:val="clear" w:color="auto" w:fill="auto"/>
          <w:tblCellMar>
            <w:top w:w="0" w:type="dxa"/>
            <w:left w:w="0" w:type="dxa"/>
            <w:bottom w:w="0" w:type="dxa"/>
            <w:right w:w="0" w:type="dxa"/>
          </w:tblCellMar>
        </w:tblPrEx>
        <w:trPr>
          <w:trHeight w:val="276" w:hRule="atLeast"/>
          <w:jc w:val="center"/>
        </w:trPr>
        <w:tc>
          <w:tcPr>
            <w:tcW w:w="2859" w:type="dxa"/>
            <w:tcBorders>
              <w:top w:val="single" w:color="auto" w:sz="8" w:space="0"/>
              <w:left w:val="single" w:color="auto" w:sz="8" w:space="0"/>
              <w:bottom w:val="single" w:color="auto" w:sz="8" w:space="0"/>
              <w:right w:val="single" w:color="auto" w:sz="8" w:space="0"/>
            </w:tcBorders>
            <w:shd w:val="clear" w:color="auto" w:fill="D9D9D9"/>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rPr>
              <w:t>支出项目</w:t>
            </w:r>
          </w:p>
        </w:tc>
        <w:tc>
          <w:tcPr>
            <w:tcW w:w="1748"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rPr>
              <w:t>基本支出</w:t>
            </w:r>
          </w:p>
        </w:tc>
        <w:tc>
          <w:tcPr>
            <w:tcW w:w="1331"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rPr>
              <w:t>项目支出</w:t>
            </w:r>
          </w:p>
        </w:tc>
        <w:tc>
          <w:tcPr>
            <w:tcW w:w="2379"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rPr>
              <w:t>合计</w:t>
            </w:r>
          </w:p>
        </w:tc>
      </w:tr>
      <w:tr>
        <w:tblPrEx>
          <w:tblCellMar>
            <w:top w:w="0" w:type="dxa"/>
            <w:left w:w="0" w:type="dxa"/>
            <w:bottom w:w="0" w:type="dxa"/>
            <w:right w:w="0" w:type="dxa"/>
          </w:tblCellMar>
        </w:tblPrEx>
        <w:trPr>
          <w:trHeight w:val="437" w:hRule="atLeast"/>
          <w:jc w:val="center"/>
        </w:trPr>
        <w:tc>
          <w:tcPr>
            <w:tcW w:w="285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rPr>
              <w:t>工资福利支出</w:t>
            </w:r>
          </w:p>
        </w:tc>
        <w:tc>
          <w:tcPr>
            <w:tcW w:w="174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rPr>
              <w:t>321</w:t>
            </w:r>
          </w:p>
        </w:tc>
        <w:tc>
          <w:tcPr>
            <w:tcW w:w="13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c>
          <w:tcPr>
            <w:tcW w:w="237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rPr>
              <w:t>321</w:t>
            </w:r>
          </w:p>
        </w:tc>
      </w:tr>
      <w:tr>
        <w:tblPrEx>
          <w:tblCellMar>
            <w:top w:w="0" w:type="dxa"/>
            <w:left w:w="0" w:type="dxa"/>
            <w:bottom w:w="0" w:type="dxa"/>
            <w:right w:w="0" w:type="dxa"/>
          </w:tblCellMar>
        </w:tblPrEx>
        <w:trPr>
          <w:trHeight w:val="437" w:hRule="atLeast"/>
          <w:jc w:val="center"/>
        </w:trPr>
        <w:tc>
          <w:tcPr>
            <w:tcW w:w="285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rPr>
              <w:t>商品和服务支出</w:t>
            </w:r>
          </w:p>
        </w:tc>
        <w:tc>
          <w:tcPr>
            <w:tcW w:w="174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rPr>
              <w:t>153</w:t>
            </w:r>
          </w:p>
        </w:tc>
        <w:tc>
          <w:tcPr>
            <w:tcW w:w="13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rPr>
              <w:t>444</w:t>
            </w:r>
          </w:p>
        </w:tc>
        <w:tc>
          <w:tcPr>
            <w:tcW w:w="237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rPr>
              <w:t>597</w:t>
            </w:r>
          </w:p>
        </w:tc>
      </w:tr>
      <w:tr>
        <w:tblPrEx>
          <w:tblCellMar>
            <w:top w:w="0" w:type="dxa"/>
            <w:left w:w="0" w:type="dxa"/>
            <w:bottom w:w="0" w:type="dxa"/>
            <w:right w:w="0" w:type="dxa"/>
          </w:tblCellMar>
        </w:tblPrEx>
        <w:trPr>
          <w:trHeight w:val="437" w:hRule="atLeast"/>
          <w:jc w:val="center"/>
        </w:trPr>
        <w:tc>
          <w:tcPr>
            <w:tcW w:w="285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rPr>
              <w:t>对个人和家庭的补助</w:t>
            </w:r>
          </w:p>
        </w:tc>
        <w:tc>
          <w:tcPr>
            <w:tcW w:w="174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c>
          <w:tcPr>
            <w:tcW w:w="13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c>
          <w:tcPr>
            <w:tcW w:w="237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CellMar>
            <w:top w:w="0" w:type="dxa"/>
            <w:left w:w="0" w:type="dxa"/>
            <w:bottom w:w="0" w:type="dxa"/>
            <w:right w:w="0" w:type="dxa"/>
          </w:tblCellMar>
        </w:tblPrEx>
        <w:trPr>
          <w:trHeight w:val="437" w:hRule="atLeast"/>
          <w:jc w:val="center"/>
        </w:trPr>
        <w:tc>
          <w:tcPr>
            <w:tcW w:w="285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20" w:right="0" w:firstLine="315"/>
              <w:jc w:val="both"/>
              <w:textAlignment w:val="center"/>
              <w:rPr>
                <w:rFonts w:hint="default" w:ascii="Times New Roman" w:hAnsi="Times New Roman" w:cs="Times New Roman"/>
                <w:sz w:val="21"/>
                <w:szCs w:val="21"/>
              </w:rPr>
            </w:pPr>
            <w:r>
              <w:rPr>
                <w:rFonts w:hint="eastAsia" w:ascii="仿宋" w:hAnsi="仿宋" w:eastAsia="仿宋" w:cs="仿宋"/>
                <w:color w:val="000000"/>
                <w:sz w:val="21"/>
                <w:szCs w:val="21"/>
              </w:rPr>
              <w:t>资本性支出</w:t>
            </w:r>
          </w:p>
        </w:tc>
        <w:tc>
          <w:tcPr>
            <w:tcW w:w="174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c>
          <w:tcPr>
            <w:tcW w:w="133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rPr>
              <w:t>58</w:t>
            </w:r>
          </w:p>
        </w:tc>
        <w:tc>
          <w:tcPr>
            <w:tcW w:w="237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rPr>
              <w:t>58</w:t>
            </w:r>
          </w:p>
        </w:tc>
      </w:tr>
      <w:tr>
        <w:tblPrEx>
          <w:tblCellMar>
            <w:top w:w="0" w:type="dxa"/>
            <w:left w:w="0" w:type="dxa"/>
            <w:bottom w:w="0" w:type="dxa"/>
            <w:right w:w="0" w:type="dxa"/>
          </w:tblCellMar>
        </w:tblPrEx>
        <w:trPr>
          <w:trHeight w:val="467" w:hRule="atLeast"/>
          <w:jc w:val="center"/>
        </w:trPr>
        <w:tc>
          <w:tcPr>
            <w:tcW w:w="2859" w:type="dxa"/>
            <w:tcBorders>
              <w:top w:val="nil"/>
              <w:left w:val="single" w:color="auto" w:sz="8" w:space="0"/>
              <w:bottom w:val="single" w:color="auto" w:sz="8" w:space="0"/>
              <w:right w:val="single" w:color="auto" w:sz="8" w:space="0"/>
            </w:tcBorders>
            <w:shd w:val="clear" w:color="auto" w:fill="D9D9D9"/>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rPr>
              <w:t>合</w:t>
            </w:r>
            <w:r>
              <w:rPr>
                <w:rFonts w:hint="eastAsia" w:ascii="宋体" w:hAnsi="宋体" w:eastAsia="宋体" w:cs="宋体"/>
                <w:color w:val="000000"/>
                <w:sz w:val="21"/>
                <w:szCs w:val="21"/>
              </w:rPr>
              <w:t> </w:t>
            </w:r>
            <w:r>
              <w:rPr>
                <w:rFonts w:hint="eastAsia" w:ascii="仿宋" w:hAnsi="仿宋" w:eastAsia="仿宋" w:cs="仿宋"/>
                <w:color w:val="000000"/>
                <w:sz w:val="21"/>
                <w:szCs w:val="21"/>
              </w:rPr>
              <w:t>计</w:t>
            </w:r>
          </w:p>
        </w:tc>
        <w:tc>
          <w:tcPr>
            <w:tcW w:w="1748" w:type="dxa"/>
            <w:tcBorders>
              <w:top w:val="nil"/>
              <w:left w:val="nil"/>
              <w:bottom w:val="single" w:color="auto" w:sz="8" w:space="0"/>
              <w:right w:val="single" w:color="auto" w:sz="8" w:space="0"/>
            </w:tcBorders>
            <w:shd w:val="clear" w:color="auto" w:fill="D9D9D9"/>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rPr>
              <w:t>474</w:t>
            </w:r>
          </w:p>
        </w:tc>
        <w:tc>
          <w:tcPr>
            <w:tcW w:w="1331" w:type="dxa"/>
            <w:tcBorders>
              <w:top w:val="nil"/>
              <w:left w:val="nil"/>
              <w:bottom w:val="single" w:color="auto" w:sz="8" w:space="0"/>
              <w:right w:val="single" w:color="auto" w:sz="8" w:space="0"/>
            </w:tcBorders>
            <w:shd w:val="clear" w:color="auto" w:fill="D9D9D9"/>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rPr>
              <w:t>502</w:t>
            </w:r>
          </w:p>
        </w:tc>
        <w:tc>
          <w:tcPr>
            <w:tcW w:w="2379" w:type="dxa"/>
            <w:tcBorders>
              <w:top w:val="nil"/>
              <w:left w:val="nil"/>
              <w:bottom w:val="single" w:color="auto" w:sz="8" w:space="0"/>
              <w:right w:val="single" w:color="auto" w:sz="8" w:space="0"/>
            </w:tcBorders>
            <w:shd w:val="clear" w:color="auto" w:fill="D9D9D9"/>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rPr>
              <w:t>976</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hanging="48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rPr>
        <w:t>（二）年度收支决算情况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hanging="48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rPr>
        <w:t>1.年度收入决算</w:t>
      </w:r>
    </w:p>
    <w:tbl>
      <w:tblPr>
        <w:tblStyle w:val="5"/>
        <w:tblW w:w="7840" w:type="dxa"/>
        <w:jc w:val="center"/>
        <w:shd w:val="clear" w:color="auto" w:fill="auto"/>
        <w:tblLayout w:type="fixed"/>
        <w:tblCellMar>
          <w:top w:w="0" w:type="dxa"/>
          <w:left w:w="0" w:type="dxa"/>
          <w:bottom w:w="0" w:type="dxa"/>
          <w:right w:w="0" w:type="dxa"/>
        </w:tblCellMar>
      </w:tblPr>
      <w:tblGrid>
        <w:gridCol w:w="2063"/>
        <w:gridCol w:w="1693"/>
        <w:gridCol w:w="1820"/>
        <w:gridCol w:w="2264"/>
      </w:tblGrid>
      <w:tr>
        <w:tblPrEx>
          <w:shd w:val="clear" w:color="auto" w:fill="auto"/>
          <w:tblCellMar>
            <w:top w:w="0" w:type="dxa"/>
            <w:left w:w="0" w:type="dxa"/>
            <w:bottom w:w="0" w:type="dxa"/>
            <w:right w:w="0" w:type="dxa"/>
          </w:tblCellMar>
        </w:tblPrEx>
        <w:trPr>
          <w:trHeight w:val="564" w:hRule="atLeast"/>
          <w:jc w:val="center"/>
        </w:trPr>
        <w:tc>
          <w:tcPr>
            <w:tcW w:w="2063" w:type="dxa"/>
            <w:tcBorders>
              <w:top w:val="single" w:color="auto" w:sz="8" w:space="0"/>
              <w:left w:val="single" w:color="auto" w:sz="8" w:space="0"/>
              <w:bottom w:val="single" w:color="auto" w:sz="8" w:space="0"/>
              <w:right w:val="single" w:color="auto" w:sz="8" w:space="0"/>
            </w:tcBorders>
            <w:shd w:val="clear" w:color="auto" w:fill="D9D9D9"/>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rPr>
              <w:t>收入来源</w:t>
            </w:r>
          </w:p>
        </w:tc>
        <w:tc>
          <w:tcPr>
            <w:tcW w:w="1693"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rPr>
              <w:t>预算金额</w:t>
            </w:r>
          </w:p>
        </w:tc>
        <w:tc>
          <w:tcPr>
            <w:tcW w:w="1820"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rPr>
              <w:t>决算金额</w:t>
            </w:r>
          </w:p>
        </w:tc>
        <w:tc>
          <w:tcPr>
            <w:tcW w:w="2264"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rPr>
              <w:t>差额</w:t>
            </w:r>
          </w:p>
        </w:tc>
      </w:tr>
      <w:tr>
        <w:tblPrEx>
          <w:shd w:val="clear" w:color="auto" w:fill="auto"/>
          <w:tblCellMar>
            <w:top w:w="0" w:type="dxa"/>
            <w:left w:w="0" w:type="dxa"/>
            <w:bottom w:w="0" w:type="dxa"/>
            <w:right w:w="0" w:type="dxa"/>
          </w:tblCellMar>
        </w:tblPrEx>
        <w:trPr>
          <w:trHeight w:val="599" w:hRule="atLeast"/>
          <w:jc w:val="center"/>
        </w:trPr>
        <w:tc>
          <w:tcPr>
            <w:tcW w:w="206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rPr>
              <w:t>财政拨款收入</w:t>
            </w:r>
          </w:p>
        </w:tc>
        <w:tc>
          <w:tcPr>
            <w:tcW w:w="1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rPr>
              <w:t>976</w:t>
            </w:r>
          </w:p>
        </w:tc>
        <w:tc>
          <w:tcPr>
            <w:tcW w:w="18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rPr>
              <w:t>1671</w:t>
            </w:r>
          </w:p>
        </w:tc>
        <w:tc>
          <w:tcPr>
            <w:tcW w:w="22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rPr>
              <w:t>695</w:t>
            </w:r>
          </w:p>
        </w:tc>
      </w:tr>
      <w:tr>
        <w:tblPrEx>
          <w:tblCellMar>
            <w:top w:w="0" w:type="dxa"/>
            <w:left w:w="0" w:type="dxa"/>
            <w:bottom w:w="0" w:type="dxa"/>
            <w:right w:w="0" w:type="dxa"/>
          </w:tblCellMar>
        </w:tblPrEx>
        <w:trPr>
          <w:trHeight w:val="599" w:hRule="atLeast"/>
          <w:jc w:val="center"/>
        </w:trPr>
        <w:tc>
          <w:tcPr>
            <w:tcW w:w="206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c>
          <w:tcPr>
            <w:tcW w:w="1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c>
          <w:tcPr>
            <w:tcW w:w="18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c>
          <w:tcPr>
            <w:tcW w:w="22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150" w:right="0" w:firstLine="64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rPr>
        <w:t>由于本单位使用了未纳入年初预算的其他资金（上级资金等）用于支付单位的部分支出，导致决算金额超预算。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hanging="48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rPr>
        <w:t>2.年度预算支出决算及结余</w:t>
      </w:r>
    </w:p>
    <w:tbl>
      <w:tblPr>
        <w:tblStyle w:val="5"/>
        <w:tblW w:w="7955" w:type="dxa"/>
        <w:tblInd w:w="0" w:type="dxa"/>
        <w:shd w:val="clear" w:color="auto" w:fill="auto"/>
        <w:tblLayout w:type="fixed"/>
        <w:tblCellMar>
          <w:top w:w="0" w:type="dxa"/>
          <w:left w:w="0" w:type="dxa"/>
          <w:bottom w:w="0" w:type="dxa"/>
          <w:right w:w="0" w:type="dxa"/>
        </w:tblCellMar>
      </w:tblPr>
      <w:tblGrid>
        <w:gridCol w:w="1739"/>
        <w:gridCol w:w="2270"/>
        <w:gridCol w:w="1984"/>
        <w:gridCol w:w="1962"/>
      </w:tblGrid>
      <w:tr>
        <w:tblPrEx>
          <w:shd w:val="clear" w:color="auto" w:fill="auto"/>
          <w:tblCellMar>
            <w:top w:w="0" w:type="dxa"/>
            <w:left w:w="0" w:type="dxa"/>
            <w:bottom w:w="0" w:type="dxa"/>
            <w:right w:w="0" w:type="dxa"/>
          </w:tblCellMar>
        </w:tblPrEx>
        <w:trPr>
          <w:trHeight w:val="517" w:hRule="atLeast"/>
        </w:trPr>
        <w:tc>
          <w:tcPr>
            <w:tcW w:w="1739" w:type="dxa"/>
            <w:tcBorders>
              <w:top w:val="single" w:color="000000" w:sz="8" w:space="0"/>
              <w:left w:val="single" w:color="000000" w:sz="8" w:space="0"/>
              <w:bottom w:val="single" w:color="000000" w:sz="8" w:space="0"/>
              <w:right w:val="single" w:color="000000" w:sz="8" w:space="0"/>
            </w:tcBorders>
            <w:shd w:val="clear" w:color="auto" w:fill="C0C0C0"/>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rPr>
              <w:t>预算支出类别</w:t>
            </w:r>
          </w:p>
        </w:tc>
        <w:tc>
          <w:tcPr>
            <w:tcW w:w="2270" w:type="dxa"/>
            <w:tcBorders>
              <w:top w:val="single" w:color="auto" w:sz="8" w:space="0"/>
              <w:left w:val="nil"/>
              <w:bottom w:val="single" w:color="auto" w:sz="8" w:space="0"/>
              <w:right w:val="single" w:color="auto" w:sz="8" w:space="0"/>
            </w:tcBorders>
            <w:shd w:val="clear" w:color="auto" w:fill="C0C0C0"/>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rPr>
              <w:t>预算金额</w:t>
            </w:r>
          </w:p>
        </w:tc>
        <w:tc>
          <w:tcPr>
            <w:tcW w:w="1984" w:type="dxa"/>
            <w:tcBorders>
              <w:top w:val="single" w:color="auto" w:sz="8" w:space="0"/>
              <w:left w:val="nil"/>
              <w:bottom w:val="single" w:color="auto" w:sz="8" w:space="0"/>
              <w:right w:val="single" w:color="auto" w:sz="8" w:space="0"/>
            </w:tcBorders>
            <w:shd w:val="clear" w:color="auto" w:fill="C0C0C0"/>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rPr>
              <w:t>决算金额</w:t>
            </w:r>
          </w:p>
        </w:tc>
        <w:tc>
          <w:tcPr>
            <w:tcW w:w="1962" w:type="dxa"/>
            <w:tcBorders>
              <w:top w:val="single" w:color="auto" w:sz="8" w:space="0"/>
              <w:left w:val="nil"/>
              <w:bottom w:val="single" w:color="auto" w:sz="8" w:space="0"/>
              <w:right w:val="single" w:color="auto" w:sz="8" w:space="0"/>
            </w:tcBorders>
            <w:shd w:val="clear" w:color="auto" w:fill="C0C0C0"/>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rPr>
              <w:t>增减金额</w:t>
            </w:r>
          </w:p>
        </w:tc>
      </w:tr>
      <w:tr>
        <w:tblPrEx>
          <w:tblCellMar>
            <w:top w:w="0" w:type="dxa"/>
            <w:left w:w="0" w:type="dxa"/>
            <w:bottom w:w="0" w:type="dxa"/>
            <w:right w:w="0" w:type="dxa"/>
          </w:tblCellMar>
        </w:tblPrEx>
        <w:trPr>
          <w:trHeight w:val="523" w:hRule="atLeast"/>
        </w:trPr>
        <w:tc>
          <w:tcPr>
            <w:tcW w:w="1739" w:type="dxa"/>
            <w:tcBorders>
              <w:top w:val="nil"/>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rPr>
              <w:t>基本支出</w:t>
            </w:r>
          </w:p>
        </w:tc>
        <w:tc>
          <w:tcPr>
            <w:tcW w:w="2270"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126"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474</w:t>
            </w:r>
          </w:p>
        </w:tc>
        <w:tc>
          <w:tcPr>
            <w:tcW w:w="1984"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rPr>
              <w:t>1659</w:t>
            </w:r>
          </w:p>
        </w:tc>
        <w:tc>
          <w:tcPr>
            <w:tcW w:w="1962"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rPr>
              <w:t>1100</w:t>
            </w:r>
          </w:p>
        </w:tc>
      </w:tr>
      <w:tr>
        <w:tblPrEx>
          <w:tblCellMar>
            <w:top w:w="0" w:type="dxa"/>
            <w:left w:w="0" w:type="dxa"/>
            <w:bottom w:w="0" w:type="dxa"/>
            <w:right w:w="0" w:type="dxa"/>
          </w:tblCellMar>
        </w:tblPrEx>
        <w:trPr>
          <w:trHeight w:val="523" w:hRule="atLeast"/>
        </w:trPr>
        <w:tc>
          <w:tcPr>
            <w:tcW w:w="1739" w:type="dxa"/>
            <w:tcBorders>
              <w:top w:val="nil"/>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rPr>
              <w:t>项目支出</w:t>
            </w:r>
          </w:p>
        </w:tc>
        <w:tc>
          <w:tcPr>
            <w:tcW w:w="2270"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126"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502</w:t>
            </w:r>
          </w:p>
        </w:tc>
        <w:tc>
          <w:tcPr>
            <w:tcW w:w="1984"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c>
          <w:tcPr>
            <w:tcW w:w="1962"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CellMar>
            <w:top w:w="0" w:type="dxa"/>
            <w:left w:w="0" w:type="dxa"/>
            <w:bottom w:w="0" w:type="dxa"/>
            <w:right w:w="0" w:type="dxa"/>
          </w:tblCellMar>
        </w:tblPrEx>
        <w:trPr>
          <w:trHeight w:val="523" w:hRule="atLeast"/>
        </w:trPr>
        <w:tc>
          <w:tcPr>
            <w:tcW w:w="1739" w:type="dxa"/>
            <w:tcBorders>
              <w:top w:val="nil"/>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c>
          <w:tcPr>
            <w:tcW w:w="2270"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c>
          <w:tcPr>
            <w:tcW w:w="1984"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c>
          <w:tcPr>
            <w:tcW w:w="1962"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r>
      <w:tr>
        <w:tblPrEx>
          <w:tblCellMar>
            <w:top w:w="0" w:type="dxa"/>
            <w:left w:w="0" w:type="dxa"/>
            <w:bottom w:w="0" w:type="dxa"/>
            <w:right w:w="0" w:type="dxa"/>
          </w:tblCellMar>
        </w:tblPrEx>
        <w:trPr>
          <w:trHeight w:val="400" w:hRule="atLeast"/>
        </w:trPr>
        <w:tc>
          <w:tcPr>
            <w:tcW w:w="1739" w:type="dxa"/>
            <w:tcBorders>
              <w:top w:val="nil"/>
              <w:left w:val="single" w:color="auto" w:sz="8" w:space="0"/>
              <w:bottom w:val="single" w:color="auto" w:sz="8" w:space="0"/>
              <w:right w:val="single" w:color="auto" w:sz="8" w:space="0"/>
            </w:tcBorders>
            <w:shd w:val="clear" w:color="auto" w:fill="C0C0C0"/>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rPr>
              <w:t>小计</w:t>
            </w:r>
          </w:p>
        </w:tc>
        <w:tc>
          <w:tcPr>
            <w:tcW w:w="2270" w:type="dxa"/>
            <w:tcBorders>
              <w:top w:val="nil"/>
              <w:left w:val="nil"/>
              <w:bottom w:val="single" w:color="auto" w:sz="8" w:space="0"/>
              <w:right w:val="single" w:color="auto" w:sz="8" w:space="0"/>
            </w:tcBorders>
            <w:shd w:val="clear" w:color="auto" w:fill="C0C0C0"/>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rPr>
              <w:t>976</w:t>
            </w:r>
          </w:p>
        </w:tc>
        <w:tc>
          <w:tcPr>
            <w:tcW w:w="1984" w:type="dxa"/>
            <w:tcBorders>
              <w:top w:val="nil"/>
              <w:left w:val="nil"/>
              <w:bottom w:val="single" w:color="auto" w:sz="8" w:space="0"/>
              <w:right w:val="single" w:color="auto" w:sz="8" w:space="0"/>
            </w:tcBorders>
            <w:shd w:val="clear" w:color="auto" w:fill="C0C0C0"/>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rPr>
              <w:t>1659</w:t>
            </w:r>
          </w:p>
        </w:tc>
        <w:tc>
          <w:tcPr>
            <w:tcW w:w="1962" w:type="dxa"/>
            <w:tcBorders>
              <w:top w:val="nil"/>
              <w:left w:val="nil"/>
              <w:bottom w:val="single" w:color="auto" w:sz="8" w:space="0"/>
              <w:right w:val="single" w:color="auto" w:sz="8" w:space="0"/>
            </w:tcBorders>
            <w:shd w:val="clear" w:color="auto" w:fill="C0C0C0"/>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rPr>
              <w:t>683</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32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rPr>
        <w:t>由于本单位使用了未纳入年初预算的其他资金用于支付单位的部分支出，导致决算金额超预算。由于实际支出科目与记账科目设置不同，导致决算金额有差额。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32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rPr>
        <w:t>三、部门整体支出管理及使用情况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320"/>
        <w:jc w:val="both"/>
      </w:pPr>
      <w:r>
        <w:rPr>
          <w:rFonts w:hint="eastAsia" w:ascii="仿宋" w:hAnsi="仿宋" w:eastAsia="仿宋" w:cs="仿宋"/>
          <w:b w:val="0"/>
          <w:i w:val="0"/>
          <w:caps w:val="0"/>
          <w:color w:val="1E1E1E"/>
          <w:spacing w:val="0"/>
          <w:sz w:val="32"/>
          <w:szCs w:val="32"/>
        </w:rPr>
        <w:t>（一）基本支出管理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pPr>
      <w:r>
        <w:rPr>
          <w:rFonts w:hint="eastAsia" w:ascii="仿宋" w:hAnsi="仿宋" w:eastAsia="仿宋" w:cs="仿宋"/>
          <w:b w:val="0"/>
          <w:i w:val="0"/>
          <w:caps w:val="0"/>
          <w:color w:val="1E1E1E"/>
          <w:spacing w:val="0"/>
          <w:sz w:val="32"/>
          <w:szCs w:val="32"/>
        </w:rPr>
        <w:t>1、基本支出总额使用和管理</w:t>
      </w:r>
    </w:p>
    <w:tbl>
      <w:tblPr>
        <w:tblStyle w:val="5"/>
        <w:tblW w:w="8100" w:type="dxa"/>
        <w:jc w:val="center"/>
        <w:shd w:val="clear" w:color="auto" w:fill="auto"/>
        <w:tblLayout w:type="fixed"/>
        <w:tblCellMar>
          <w:top w:w="0" w:type="dxa"/>
          <w:left w:w="0" w:type="dxa"/>
          <w:bottom w:w="0" w:type="dxa"/>
          <w:right w:w="0" w:type="dxa"/>
        </w:tblCellMar>
      </w:tblPr>
      <w:tblGrid>
        <w:gridCol w:w="2392"/>
        <w:gridCol w:w="1666"/>
        <w:gridCol w:w="1604"/>
        <w:gridCol w:w="2438"/>
      </w:tblGrid>
      <w:tr>
        <w:tblPrEx>
          <w:shd w:val="clear" w:color="auto" w:fill="auto"/>
          <w:tblCellMar>
            <w:top w:w="0" w:type="dxa"/>
            <w:left w:w="0" w:type="dxa"/>
            <w:bottom w:w="0" w:type="dxa"/>
            <w:right w:w="0" w:type="dxa"/>
          </w:tblCellMar>
        </w:tblPrEx>
        <w:trPr>
          <w:trHeight w:val="401" w:hRule="atLeast"/>
          <w:jc w:val="center"/>
        </w:trPr>
        <w:tc>
          <w:tcPr>
            <w:tcW w:w="2392" w:type="dxa"/>
            <w:tcBorders>
              <w:top w:val="single" w:color="auto" w:sz="8" w:space="0"/>
              <w:left w:val="single" w:color="auto" w:sz="8" w:space="0"/>
              <w:bottom w:val="single" w:color="auto" w:sz="8" w:space="0"/>
              <w:right w:val="single" w:color="auto" w:sz="8" w:space="0"/>
            </w:tcBorders>
            <w:shd w:val="clear" w:color="auto" w:fill="D9D9D9"/>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宋体" w:hAnsi="宋体" w:eastAsia="宋体" w:cs="宋体"/>
                <w:color w:val="000000"/>
                <w:sz w:val="21"/>
                <w:szCs w:val="21"/>
              </w:rPr>
              <w:t> </w:t>
            </w:r>
            <w:r>
              <w:rPr>
                <w:rFonts w:hint="eastAsia" w:ascii="仿宋" w:hAnsi="仿宋" w:eastAsia="仿宋" w:cs="仿宋"/>
                <w:color w:val="000000"/>
                <w:sz w:val="21"/>
                <w:szCs w:val="21"/>
              </w:rPr>
              <w:t>预决算支出项目</w:t>
            </w:r>
          </w:p>
        </w:tc>
        <w:tc>
          <w:tcPr>
            <w:tcW w:w="1666"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rPr>
              <w:t>预算金额</w:t>
            </w:r>
          </w:p>
        </w:tc>
        <w:tc>
          <w:tcPr>
            <w:tcW w:w="1604"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rPr>
              <w:t>决算金额</w:t>
            </w:r>
          </w:p>
        </w:tc>
        <w:tc>
          <w:tcPr>
            <w:tcW w:w="2438"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rPr>
              <w:t>节约/超支金额</w:t>
            </w:r>
          </w:p>
        </w:tc>
      </w:tr>
      <w:tr>
        <w:tblPrEx>
          <w:tblCellMar>
            <w:top w:w="0" w:type="dxa"/>
            <w:left w:w="0" w:type="dxa"/>
            <w:bottom w:w="0" w:type="dxa"/>
            <w:right w:w="0" w:type="dxa"/>
          </w:tblCellMar>
        </w:tblPrEx>
        <w:trPr>
          <w:trHeight w:val="401" w:hRule="atLeast"/>
          <w:jc w:val="center"/>
        </w:trPr>
        <w:tc>
          <w:tcPr>
            <w:tcW w:w="239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rPr>
              <w:t>工资福利支出</w:t>
            </w:r>
          </w:p>
        </w:tc>
        <w:tc>
          <w:tcPr>
            <w:tcW w:w="1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rPr>
              <w:t>321</w:t>
            </w:r>
          </w:p>
        </w:tc>
        <w:tc>
          <w:tcPr>
            <w:tcW w:w="16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rPr>
              <w:t>460</w:t>
            </w:r>
          </w:p>
        </w:tc>
        <w:tc>
          <w:tcPr>
            <w:tcW w:w="243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rPr>
              <w:t>139</w:t>
            </w:r>
          </w:p>
        </w:tc>
      </w:tr>
      <w:tr>
        <w:tblPrEx>
          <w:tblCellMar>
            <w:top w:w="0" w:type="dxa"/>
            <w:left w:w="0" w:type="dxa"/>
            <w:bottom w:w="0" w:type="dxa"/>
            <w:right w:w="0" w:type="dxa"/>
          </w:tblCellMar>
        </w:tblPrEx>
        <w:trPr>
          <w:trHeight w:val="401" w:hRule="atLeast"/>
          <w:jc w:val="center"/>
        </w:trPr>
        <w:tc>
          <w:tcPr>
            <w:tcW w:w="239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rPr>
              <w:t>商品和服务支出</w:t>
            </w:r>
          </w:p>
        </w:tc>
        <w:tc>
          <w:tcPr>
            <w:tcW w:w="1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rPr>
              <w:t>153</w:t>
            </w:r>
          </w:p>
        </w:tc>
        <w:tc>
          <w:tcPr>
            <w:tcW w:w="16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rPr>
              <w:t>1157</w:t>
            </w:r>
          </w:p>
        </w:tc>
        <w:tc>
          <w:tcPr>
            <w:tcW w:w="243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rPr>
              <w:t>1004</w:t>
            </w:r>
          </w:p>
        </w:tc>
      </w:tr>
      <w:tr>
        <w:tblPrEx>
          <w:tblCellMar>
            <w:top w:w="0" w:type="dxa"/>
            <w:left w:w="0" w:type="dxa"/>
            <w:bottom w:w="0" w:type="dxa"/>
            <w:right w:w="0" w:type="dxa"/>
          </w:tblCellMar>
        </w:tblPrEx>
        <w:trPr>
          <w:trHeight w:val="401" w:hRule="atLeast"/>
          <w:jc w:val="center"/>
        </w:trPr>
        <w:tc>
          <w:tcPr>
            <w:tcW w:w="239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rPr>
              <w:t>对个人和家庭的补助</w:t>
            </w:r>
          </w:p>
        </w:tc>
        <w:tc>
          <w:tcPr>
            <w:tcW w:w="1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c>
          <w:tcPr>
            <w:tcW w:w="16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rPr>
              <w:t>4</w:t>
            </w:r>
          </w:p>
        </w:tc>
        <w:tc>
          <w:tcPr>
            <w:tcW w:w="243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rPr>
              <w:t>4</w:t>
            </w:r>
          </w:p>
        </w:tc>
      </w:tr>
      <w:tr>
        <w:tblPrEx>
          <w:tblCellMar>
            <w:top w:w="0" w:type="dxa"/>
            <w:left w:w="0" w:type="dxa"/>
            <w:bottom w:w="0" w:type="dxa"/>
            <w:right w:w="0" w:type="dxa"/>
          </w:tblCellMar>
        </w:tblPrEx>
        <w:trPr>
          <w:trHeight w:val="401" w:hRule="atLeast"/>
          <w:jc w:val="center"/>
        </w:trPr>
        <w:tc>
          <w:tcPr>
            <w:tcW w:w="239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rPr>
              <w:t>资本性支出</w:t>
            </w:r>
          </w:p>
        </w:tc>
        <w:tc>
          <w:tcPr>
            <w:tcW w:w="1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rPr>
              <w:t> </w:t>
            </w:r>
          </w:p>
        </w:tc>
        <w:tc>
          <w:tcPr>
            <w:tcW w:w="16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rPr>
              <w:t>38</w:t>
            </w:r>
          </w:p>
        </w:tc>
        <w:tc>
          <w:tcPr>
            <w:tcW w:w="243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rPr>
              <w:t>38</w:t>
            </w:r>
          </w:p>
        </w:tc>
      </w:tr>
      <w:tr>
        <w:tblPrEx>
          <w:tblCellMar>
            <w:top w:w="0" w:type="dxa"/>
            <w:left w:w="0" w:type="dxa"/>
            <w:bottom w:w="0" w:type="dxa"/>
            <w:right w:w="0" w:type="dxa"/>
          </w:tblCellMar>
        </w:tblPrEx>
        <w:trPr>
          <w:trHeight w:val="495" w:hRule="atLeast"/>
          <w:jc w:val="center"/>
        </w:trPr>
        <w:tc>
          <w:tcPr>
            <w:tcW w:w="2392" w:type="dxa"/>
            <w:tcBorders>
              <w:top w:val="nil"/>
              <w:left w:val="single" w:color="auto" w:sz="8" w:space="0"/>
              <w:bottom w:val="single" w:color="auto" w:sz="8" w:space="0"/>
              <w:right w:val="single" w:color="auto" w:sz="8" w:space="0"/>
            </w:tcBorders>
            <w:shd w:val="clear" w:color="auto" w:fill="D9D9D9"/>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rPr>
              <w:t>合计</w:t>
            </w:r>
          </w:p>
        </w:tc>
        <w:tc>
          <w:tcPr>
            <w:tcW w:w="1666" w:type="dxa"/>
            <w:tcBorders>
              <w:top w:val="nil"/>
              <w:left w:val="nil"/>
              <w:bottom w:val="single" w:color="auto" w:sz="8" w:space="0"/>
              <w:right w:val="single" w:color="auto" w:sz="8" w:space="0"/>
            </w:tcBorders>
            <w:shd w:val="clear" w:color="auto" w:fill="D9D9D9"/>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rPr>
              <w:t>474</w:t>
            </w:r>
          </w:p>
        </w:tc>
        <w:tc>
          <w:tcPr>
            <w:tcW w:w="1604" w:type="dxa"/>
            <w:tcBorders>
              <w:top w:val="nil"/>
              <w:left w:val="nil"/>
              <w:bottom w:val="single" w:color="auto" w:sz="8" w:space="0"/>
              <w:right w:val="single" w:color="auto" w:sz="8" w:space="0"/>
            </w:tcBorders>
            <w:shd w:val="clear" w:color="auto" w:fill="D9D9D9"/>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rPr>
              <w:t>1659</w:t>
            </w:r>
          </w:p>
        </w:tc>
        <w:tc>
          <w:tcPr>
            <w:tcW w:w="2438" w:type="dxa"/>
            <w:tcBorders>
              <w:top w:val="nil"/>
              <w:left w:val="nil"/>
              <w:bottom w:val="single" w:color="auto" w:sz="8" w:space="0"/>
              <w:right w:val="single" w:color="auto" w:sz="8" w:space="0"/>
            </w:tcBorders>
            <w:shd w:val="clear" w:color="auto" w:fill="D9D9D9"/>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rPr>
              <w:t>1185</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rPr>
        <w:t>由于本单位使用了未纳入年初预算的其他资金用于支付单位的部分支出，导致决算金额超预算。由于实际支出科目与记账科目设置不同，以及人员数及项目数增加，导致决算金额超支。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rPr>
        <w:t>2、基本支出中各费用明细支出管理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hanging="48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rPr>
        <w:t>（1）工资福利支出</w:t>
      </w:r>
    </w:p>
    <w:tbl>
      <w:tblPr>
        <w:tblStyle w:val="5"/>
        <w:tblW w:w="7782" w:type="dxa"/>
        <w:jc w:val="center"/>
        <w:shd w:val="clear" w:color="auto" w:fill="auto"/>
        <w:tblLayout w:type="fixed"/>
        <w:tblCellMar>
          <w:top w:w="0" w:type="dxa"/>
          <w:left w:w="0" w:type="dxa"/>
          <w:bottom w:w="0" w:type="dxa"/>
          <w:right w:w="0" w:type="dxa"/>
        </w:tblCellMar>
      </w:tblPr>
      <w:tblGrid>
        <w:gridCol w:w="2431"/>
        <w:gridCol w:w="1135"/>
        <w:gridCol w:w="1135"/>
        <w:gridCol w:w="1417"/>
        <w:gridCol w:w="1664"/>
      </w:tblGrid>
      <w:tr>
        <w:tblPrEx>
          <w:shd w:val="clear" w:color="auto" w:fill="auto"/>
          <w:tblCellMar>
            <w:top w:w="0" w:type="dxa"/>
            <w:left w:w="0" w:type="dxa"/>
            <w:bottom w:w="0" w:type="dxa"/>
            <w:right w:w="0" w:type="dxa"/>
          </w:tblCellMar>
        </w:tblPrEx>
        <w:trPr>
          <w:trHeight w:val="888" w:hRule="atLeast"/>
          <w:jc w:val="center"/>
        </w:trPr>
        <w:tc>
          <w:tcPr>
            <w:tcW w:w="2431" w:type="dxa"/>
            <w:tcBorders>
              <w:top w:val="single" w:color="000000" w:sz="8" w:space="0"/>
              <w:left w:val="single" w:color="000000" w:sz="8" w:space="0"/>
              <w:bottom w:val="single" w:color="000000" w:sz="8" w:space="0"/>
              <w:right w:val="single" w:color="000000" w:sz="8" w:space="0"/>
            </w:tcBorders>
            <w:shd w:val="clear" w:color="auto" w:fill="D9D9D9"/>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费用项目</w:t>
            </w:r>
          </w:p>
        </w:tc>
        <w:tc>
          <w:tcPr>
            <w:tcW w:w="1135" w:type="dxa"/>
            <w:tcBorders>
              <w:top w:val="single" w:color="auto" w:sz="8" w:space="0"/>
              <w:left w:val="nil"/>
              <w:bottom w:val="single" w:color="auto" w:sz="8" w:space="0"/>
              <w:right w:val="single" w:color="auto" w:sz="8" w:space="0"/>
            </w:tcBorders>
            <w:shd w:val="clear" w:color="auto" w:fill="D9D9D9"/>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预算金额</w:t>
            </w:r>
          </w:p>
        </w:tc>
        <w:tc>
          <w:tcPr>
            <w:tcW w:w="1135" w:type="dxa"/>
            <w:tcBorders>
              <w:top w:val="single" w:color="auto" w:sz="8" w:space="0"/>
              <w:left w:val="nil"/>
              <w:bottom w:val="single" w:color="auto" w:sz="8" w:space="0"/>
              <w:right w:val="single" w:color="auto" w:sz="8" w:space="0"/>
            </w:tcBorders>
            <w:shd w:val="clear" w:color="auto" w:fill="D9D9D9"/>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决算金额</w:t>
            </w:r>
          </w:p>
        </w:tc>
        <w:tc>
          <w:tcPr>
            <w:tcW w:w="1417" w:type="dxa"/>
            <w:tcBorders>
              <w:top w:val="single" w:color="auto" w:sz="8" w:space="0"/>
              <w:left w:val="nil"/>
              <w:bottom w:val="single" w:color="auto" w:sz="8" w:space="0"/>
              <w:right w:val="single" w:color="auto" w:sz="8" w:space="0"/>
            </w:tcBorders>
            <w:shd w:val="clear" w:color="auto" w:fill="D9D9D9"/>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节约/超支金额</w:t>
            </w:r>
          </w:p>
        </w:tc>
        <w:tc>
          <w:tcPr>
            <w:tcW w:w="1664" w:type="dxa"/>
            <w:tcBorders>
              <w:top w:val="single" w:color="auto" w:sz="8" w:space="0"/>
              <w:left w:val="nil"/>
              <w:bottom w:val="single" w:color="auto" w:sz="8" w:space="0"/>
              <w:right w:val="single" w:color="auto" w:sz="8" w:space="0"/>
            </w:tcBorders>
            <w:shd w:val="clear" w:color="auto" w:fill="D9D9D9"/>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节约/超支率</w:t>
            </w:r>
          </w:p>
        </w:tc>
      </w:tr>
      <w:tr>
        <w:tblPrEx>
          <w:shd w:val="clear" w:color="auto" w:fill="auto"/>
          <w:tblCellMar>
            <w:top w:w="0" w:type="dxa"/>
            <w:left w:w="0" w:type="dxa"/>
            <w:bottom w:w="0" w:type="dxa"/>
            <w:right w:w="0" w:type="dxa"/>
          </w:tblCellMar>
        </w:tblPrEx>
        <w:trPr>
          <w:trHeight w:val="357" w:hRule="atLeast"/>
          <w:jc w:val="center"/>
        </w:trPr>
        <w:tc>
          <w:tcPr>
            <w:tcW w:w="2431" w:type="dxa"/>
            <w:tcBorders>
              <w:top w:val="nil"/>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基本工资</w:t>
            </w:r>
          </w:p>
        </w:tc>
        <w:tc>
          <w:tcPr>
            <w:tcW w:w="1135"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147</w:t>
            </w:r>
          </w:p>
        </w:tc>
        <w:tc>
          <w:tcPr>
            <w:tcW w:w="1135"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168</w:t>
            </w:r>
          </w:p>
        </w:tc>
        <w:tc>
          <w:tcPr>
            <w:tcW w:w="1417"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21</w:t>
            </w:r>
          </w:p>
        </w:tc>
        <w:tc>
          <w:tcPr>
            <w:tcW w:w="1664"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14%</w:t>
            </w:r>
          </w:p>
        </w:tc>
      </w:tr>
      <w:tr>
        <w:tblPrEx>
          <w:shd w:val="clear" w:color="auto" w:fill="auto"/>
          <w:tblCellMar>
            <w:top w:w="0" w:type="dxa"/>
            <w:left w:w="0" w:type="dxa"/>
            <w:bottom w:w="0" w:type="dxa"/>
            <w:right w:w="0" w:type="dxa"/>
          </w:tblCellMar>
        </w:tblPrEx>
        <w:trPr>
          <w:trHeight w:val="357" w:hRule="atLeast"/>
          <w:jc w:val="center"/>
        </w:trPr>
        <w:tc>
          <w:tcPr>
            <w:tcW w:w="2431" w:type="dxa"/>
            <w:tcBorders>
              <w:top w:val="nil"/>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津贴补贴</w:t>
            </w:r>
          </w:p>
        </w:tc>
        <w:tc>
          <w:tcPr>
            <w:tcW w:w="1135"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43</w:t>
            </w:r>
          </w:p>
        </w:tc>
        <w:tc>
          <w:tcPr>
            <w:tcW w:w="1135"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110</w:t>
            </w:r>
          </w:p>
        </w:tc>
        <w:tc>
          <w:tcPr>
            <w:tcW w:w="1417"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67</w:t>
            </w:r>
          </w:p>
        </w:tc>
        <w:tc>
          <w:tcPr>
            <w:tcW w:w="1664"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156%</w:t>
            </w:r>
          </w:p>
        </w:tc>
      </w:tr>
      <w:tr>
        <w:tblPrEx>
          <w:shd w:val="clear" w:color="auto" w:fill="auto"/>
          <w:tblCellMar>
            <w:top w:w="0" w:type="dxa"/>
            <w:left w:w="0" w:type="dxa"/>
            <w:bottom w:w="0" w:type="dxa"/>
            <w:right w:w="0" w:type="dxa"/>
          </w:tblCellMar>
        </w:tblPrEx>
        <w:trPr>
          <w:trHeight w:val="357" w:hRule="atLeast"/>
          <w:jc w:val="center"/>
        </w:trPr>
        <w:tc>
          <w:tcPr>
            <w:tcW w:w="2431" w:type="dxa"/>
            <w:tcBorders>
              <w:top w:val="nil"/>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奖金</w:t>
            </w:r>
          </w:p>
        </w:tc>
        <w:tc>
          <w:tcPr>
            <w:tcW w:w="1135"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12</w:t>
            </w:r>
          </w:p>
        </w:tc>
        <w:tc>
          <w:tcPr>
            <w:tcW w:w="1135"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66</w:t>
            </w:r>
          </w:p>
        </w:tc>
        <w:tc>
          <w:tcPr>
            <w:tcW w:w="1417"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54</w:t>
            </w:r>
          </w:p>
        </w:tc>
        <w:tc>
          <w:tcPr>
            <w:tcW w:w="1664"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450%</w:t>
            </w:r>
          </w:p>
        </w:tc>
      </w:tr>
      <w:tr>
        <w:tblPrEx>
          <w:shd w:val="clear" w:color="auto" w:fill="auto"/>
          <w:tblCellMar>
            <w:top w:w="0" w:type="dxa"/>
            <w:left w:w="0" w:type="dxa"/>
            <w:bottom w:w="0" w:type="dxa"/>
            <w:right w:w="0" w:type="dxa"/>
          </w:tblCellMar>
        </w:tblPrEx>
        <w:trPr>
          <w:trHeight w:val="357" w:hRule="atLeast"/>
          <w:jc w:val="center"/>
        </w:trPr>
        <w:tc>
          <w:tcPr>
            <w:tcW w:w="2431" w:type="dxa"/>
            <w:tcBorders>
              <w:top w:val="nil"/>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伙食补助费</w:t>
            </w:r>
          </w:p>
        </w:tc>
        <w:tc>
          <w:tcPr>
            <w:tcW w:w="1135"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135"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23</w:t>
            </w:r>
          </w:p>
        </w:tc>
        <w:tc>
          <w:tcPr>
            <w:tcW w:w="1417"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23</w:t>
            </w:r>
          </w:p>
        </w:tc>
        <w:tc>
          <w:tcPr>
            <w:tcW w:w="1664"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r>
      <w:tr>
        <w:tblPrEx>
          <w:shd w:val="clear" w:color="auto" w:fill="auto"/>
          <w:tblCellMar>
            <w:top w:w="0" w:type="dxa"/>
            <w:left w:w="0" w:type="dxa"/>
            <w:bottom w:w="0" w:type="dxa"/>
            <w:right w:w="0" w:type="dxa"/>
          </w:tblCellMar>
        </w:tblPrEx>
        <w:trPr>
          <w:trHeight w:val="357" w:hRule="atLeast"/>
          <w:jc w:val="center"/>
        </w:trPr>
        <w:tc>
          <w:tcPr>
            <w:tcW w:w="2431" w:type="dxa"/>
            <w:tcBorders>
              <w:top w:val="nil"/>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绩效工资</w:t>
            </w:r>
          </w:p>
        </w:tc>
        <w:tc>
          <w:tcPr>
            <w:tcW w:w="1135"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36</w:t>
            </w:r>
          </w:p>
        </w:tc>
        <w:tc>
          <w:tcPr>
            <w:tcW w:w="1135"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14</w:t>
            </w:r>
          </w:p>
        </w:tc>
        <w:tc>
          <w:tcPr>
            <w:tcW w:w="1417"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-22</w:t>
            </w:r>
          </w:p>
        </w:tc>
        <w:tc>
          <w:tcPr>
            <w:tcW w:w="1664"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-61%</w:t>
            </w:r>
          </w:p>
        </w:tc>
      </w:tr>
      <w:tr>
        <w:tblPrEx>
          <w:shd w:val="clear" w:color="auto" w:fill="auto"/>
          <w:tblCellMar>
            <w:top w:w="0" w:type="dxa"/>
            <w:left w:w="0" w:type="dxa"/>
            <w:bottom w:w="0" w:type="dxa"/>
            <w:right w:w="0" w:type="dxa"/>
          </w:tblCellMar>
        </w:tblPrEx>
        <w:trPr>
          <w:trHeight w:val="357" w:hRule="atLeast"/>
          <w:jc w:val="center"/>
        </w:trPr>
        <w:tc>
          <w:tcPr>
            <w:tcW w:w="2431" w:type="dxa"/>
            <w:tcBorders>
              <w:top w:val="nil"/>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机关事业单位基本养老保险缴费</w:t>
            </w:r>
          </w:p>
        </w:tc>
        <w:tc>
          <w:tcPr>
            <w:tcW w:w="1135"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39</w:t>
            </w:r>
          </w:p>
        </w:tc>
        <w:tc>
          <w:tcPr>
            <w:tcW w:w="1135"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42</w:t>
            </w:r>
          </w:p>
        </w:tc>
        <w:tc>
          <w:tcPr>
            <w:tcW w:w="1417"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3</w:t>
            </w:r>
          </w:p>
        </w:tc>
        <w:tc>
          <w:tcPr>
            <w:tcW w:w="1664"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8%</w:t>
            </w:r>
          </w:p>
        </w:tc>
      </w:tr>
      <w:tr>
        <w:tblPrEx>
          <w:shd w:val="clear" w:color="auto" w:fill="auto"/>
          <w:tblCellMar>
            <w:top w:w="0" w:type="dxa"/>
            <w:left w:w="0" w:type="dxa"/>
            <w:bottom w:w="0" w:type="dxa"/>
            <w:right w:w="0" w:type="dxa"/>
          </w:tblCellMar>
        </w:tblPrEx>
        <w:trPr>
          <w:trHeight w:val="357" w:hRule="atLeast"/>
          <w:jc w:val="center"/>
        </w:trPr>
        <w:tc>
          <w:tcPr>
            <w:tcW w:w="2431" w:type="dxa"/>
            <w:tcBorders>
              <w:top w:val="nil"/>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职业年金缴费</w:t>
            </w:r>
          </w:p>
        </w:tc>
        <w:tc>
          <w:tcPr>
            <w:tcW w:w="1135"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135"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417"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664"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r>
      <w:tr>
        <w:tblPrEx>
          <w:shd w:val="clear" w:color="auto" w:fill="auto"/>
          <w:tblCellMar>
            <w:top w:w="0" w:type="dxa"/>
            <w:left w:w="0" w:type="dxa"/>
            <w:bottom w:w="0" w:type="dxa"/>
            <w:right w:w="0" w:type="dxa"/>
          </w:tblCellMar>
        </w:tblPrEx>
        <w:trPr>
          <w:trHeight w:val="357" w:hRule="atLeast"/>
          <w:jc w:val="center"/>
        </w:trPr>
        <w:tc>
          <w:tcPr>
            <w:tcW w:w="2431" w:type="dxa"/>
            <w:tcBorders>
              <w:top w:val="nil"/>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职工基本医疗保险缴费</w:t>
            </w:r>
          </w:p>
        </w:tc>
        <w:tc>
          <w:tcPr>
            <w:tcW w:w="1135"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9</w:t>
            </w:r>
          </w:p>
        </w:tc>
        <w:tc>
          <w:tcPr>
            <w:tcW w:w="1135"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22</w:t>
            </w:r>
          </w:p>
        </w:tc>
        <w:tc>
          <w:tcPr>
            <w:tcW w:w="1417"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13</w:t>
            </w:r>
          </w:p>
        </w:tc>
        <w:tc>
          <w:tcPr>
            <w:tcW w:w="1664"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144%</w:t>
            </w:r>
          </w:p>
        </w:tc>
      </w:tr>
      <w:tr>
        <w:tblPrEx>
          <w:shd w:val="clear" w:color="auto" w:fill="auto"/>
          <w:tblCellMar>
            <w:top w:w="0" w:type="dxa"/>
            <w:left w:w="0" w:type="dxa"/>
            <w:bottom w:w="0" w:type="dxa"/>
            <w:right w:w="0" w:type="dxa"/>
          </w:tblCellMar>
        </w:tblPrEx>
        <w:trPr>
          <w:trHeight w:val="357" w:hRule="atLeast"/>
          <w:jc w:val="center"/>
        </w:trPr>
        <w:tc>
          <w:tcPr>
            <w:tcW w:w="2431" w:type="dxa"/>
            <w:tcBorders>
              <w:top w:val="nil"/>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公务员医疗补助缴费</w:t>
            </w:r>
          </w:p>
        </w:tc>
        <w:tc>
          <w:tcPr>
            <w:tcW w:w="1135"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135"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417"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664"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r>
      <w:tr>
        <w:tblPrEx>
          <w:shd w:val="clear" w:color="auto" w:fill="auto"/>
          <w:tblCellMar>
            <w:top w:w="0" w:type="dxa"/>
            <w:left w:w="0" w:type="dxa"/>
            <w:bottom w:w="0" w:type="dxa"/>
            <w:right w:w="0" w:type="dxa"/>
          </w:tblCellMar>
        </w:tblPrEx>
        <w:trPr>
          <w:trHeight w:val="357" w:hRule="atLeast"/>
          <w:jc w:val="center"/>
        </w:trPr>
        <w:tc>
          <w:tcPr>
            <w:tcW w:w="2431" w:type="dxa"/>
            <w:tcBorders>
              <w:top w:val="nil"/>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其他社会保障缴费</w:t>
            </w:r>
          </w:p>
        </w:tc>
        <w:tc>
          <w:tcPr>
            <w:tcW w:w="1135"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4</w:t>
            </w:r>
          </w:p>
        </w:tc>
        <w:tc>
          <w:tcPr>
            <w:tcW w:w="1135"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3</w:t>
            </w:r>
          </w:p>
        </w:tc>
        <w:tc>
          <w:tcPr>
            <w:tcW w:w="1417"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-1</w:t>
            </w:r>
          </w:p>
        </w:tc>
        <w:tc>
          <w:tcPr>
            <w:tcW w:w="1664"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-25%</w:t>
            </w:r>
          </w:p>
        </w:tc>
      </w:tr>
      <w:tr>
        <w:tblPrEx>
          <w:shd w:val="clear" w:color="auto" w:fill="auto"/>
          <w:tblCellMar>
            <w:top w:w="0" w:type="dxa"/>
            <w:left w:w="0" w:type="dxa"/>
            <w:bottom w:w="0" w:type="dxa"/>
            <w:right w:w="0" w:type="dxa"/>
          </w:tblCellMar>
        </w:tblPrEx>
        <w:trPr>
          <w:trHeight w:val="357" w:hRule="atLeast"/>
          <w:jc w:val="center"/>
        </w:trPr>
        <w:tc>
          <w:tcPr>
            <w:tcW w:w="2431" w:type="dxa"/>
            <w:tcBorders>
              <w:top w:val="nil"/>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住房公积金</w:t>
            </w:r>
          </w:p>
        </w:tc>
        <w:tc>
          <w:tcPr>
            <w:tcW w:w="1135"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31</w:t>
            </w:r>
          </w:p>
        </w:tc>
        <w:tc>
          <w:tcPr>
            <w:tcW w:w="1135"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6</w:t>
            </w:r>
          </w:p>
        </w:tc>
        <w:tc>
          <w:tcPr>
            <w:tcW w:w="1417"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-25</w:t>
            </w:r>
          </w:p>
        </w:tc>
        <w:tc>
          <w:tcPr>
            <w:tcW w:w="1664"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-80%</w:t>
            </w:r>
          </w:p>
        </w:tc>
      </w:tr>
      <w:tr>
        <w:tblPrEx>
          <w:shd w:val="clear" w:color="auto" w:fill="auto"/>
          <w:tblCellMar>
            <w:top w:w="0" w:type="dxa"/>
            <w:left w:w="0" w:type="dxa"/>
            <w:bottom w:w="0" w:type="dxa"/>
            <w:right w:w="0" w:type="dxa"/>
          </w:tblCellMar>
        </w:tblPrEx>
        <w:trPr>
          <w:trHeight w:val="357" w:hRule="atLeast"/>
          <w:jc w:val="center"/>
        </w:trPr>
        <w:tc>
          <w:tcPr>
            <w:tcW w:w="2431" w:type="dxa"/>
            <w:tcBorders>
              <w:top w:val="nil"/>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医疗费</w:t>
            </w:r>
          </w:p>
        </w:tc>
        <w:tc>
          <w:tcPr>
            <w:tcW w:w="1135"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135"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417"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664"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r>
      <w:tr>
        <w:tblPrEx>
          <w:tblCellMar>
            <w:top w:w="0" w:type="dxa"/>
            <w:left w:w="0" w:type="dxa"/>
            <w:bottom w:w="0" w:type="dxa"/>
            <w:right w:w="0" w:type="dxa"/>
          </w:tblCellMar>
        </w:tblPrEx>
        <w:trPr>
          <w:trHeight w:val="357" w:hRule="atLeast"/>
          <w:jc w:val="center"/>
        </w:trPr>
        <w:tc>
          <w:tcPr>
            <w:tcW w:w="2431" w:type="dxa"/>
            <w:tcBorders>
              <w:top w:val="nil"/>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其他工资福利支出</w:t>
            </w:r>
          </w:p>
        </w:tc>
        <w:tc>
          <w:tcPr>
            <w:tcW w:w="1135"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135"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6</w:t>
            </w:r>
          </w:p>
        </w:tc>
        <w:tc>
          <w:tcPr>
            <w:tcW w:w="1417"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664"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r>
      <w:tr>
        <w:tblPrEx>
          <w:tblCellMar>
            <w:top w:w="0" w:type="dxa"/>
            <w:left w:w="0" w:type="dxa"/>
            <w:bottom w:w="0" w:type="dxa"/>
            <w:right w:w="0" w:type="dxa"/>
          </w:tblCellMar>
        </w:tblPrEx>
        <w:trPr>
          <w:trHeight w:val="411" w:hRule="atLeast"/>
          <w:jc w:val="center"/>
        </w:trPr>
        <w:tc>
          <w:tcPr>
            <w:tcW w:w="2431" w:type="dxa"/>
            <w:tcBorders>
              <w:top w:val="nil"/>
              <w:left w:val="single" w:color="auto" w:sz="8" w:space="0"/>
              <w:bottom w:val="single" w:color="auto" w:sz="8" w:space="0"/>
              <w:right w:val="single" w:color="auto" w:sz="8" w:space="0"/>
            </w:tcBorders>
            <w:shd w:val="clear" w:color="auto" w:fill="C0C0C0"/>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合计</w:t>
            </w:r>
          </w:p>
        </w:tc>
        <w:tc>
          <w:tcPr>
            <w:tcW w:w="1135" w:type="dxa"/>
            <w:tcBorders>
              <w:top w:val="nil"/>
              <w:left w:val="nil"/>
              <w:bottom w:val="single" w:color="auto" w:sz="8" w:space="0"/>
              <w:right w:val="single" w:color="auto" w:sz="8" w:space="0"/>
            </w:tcBorders>
            <w:shd w:val="clear" w:color="auto" w:fill="C0C0C0"/>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321</w:t>
            </w:r>
          </w:p>
        </w:tc>
        <w:tc>
          <w:tcPr>
            <w:tcW w:w="1135" w:type="dxa"/>
            <w:tcBorders>
              <w:top w:val="nil"/>
              <w:left w:val="nil"/>
              <w:bottom w:val="single" w:color="auto" w:sz="8" w:space="0"/>
              <w:right w:val="single" w:color="auto" w:sz="8" w:space="0"/>
            </w:tcBorders>
            <w:shd w:val="clear" w:color="auto" w:fill="C0C0C0"/>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460</w:t>
            </w:r>
          </w:p>
        </w:tc>
        <w:tc>
          <w:tcPr>
            <w:tcW w:w="1417" w:type="dxa"/>
            <w:tcBorders>
              <w:top w:val="nil"/>
              <w:left w:val="nil"/>
              <w:bottom w:val="single" w:color="auto" w:sz="8" w:space="0"/>
              <w:right w:val="single" w:color="auto" w:sz="8" w:space="0"/>
            </w:tcBorders>
            <w:shd w:val="clear" w:color="auto" w:fill="C0C0C0"/>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134</w:t>
            </w:r>
          </w:p>
        </w:tc>
        <w:tc>
          <w:tcPr>
            <w:tcW w:w="1664" w:type="dxa"/>
            <w:tcBorders>
              <w:top w:val="nil"/>
              <w:left w:val="nil"/>
              <w:bottom w:val="single" w:color="auto" w:sz="8" w:space="0"/>
              <w:right w:val="single" w:color="auto" w:sz="8" w:space="0"/>
            </w:tcBorders>
            <w:shd w:val="clear" w:color="auto" w:fill="C0C0C0"/>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42%</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638" w:right="0" w:firstLine="16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rPr>
        <w:t>工资有所增加，是因为由于人员数增加，工资调整。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hanging="48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rPr>
        <w:t>（2）商品和服务支出</w:t>
      </w:r>
    </w:p>
    <w:tbl>
      <w:tblPr>
        <w:tblStyle w:val="5"/>
        <w:tblW w:w="8140" w:type="dxa"/>
        <w:jc w:val="center"/>
        <w:shd w:val="clear" w:color="auto" w:fill="auto"/>
        <w:tblLayout w:type="fixed"/>
        <w:tblCellMar>
          <w:top w:w="0" w:type="dxa"/>
          <w:left w:w="0" w:type="dxa"/>
          <w:bottom w:w="0" w:type="dxa"/>
          <w:right w:w="0" w:type="dxa"/>
        </w:tblCellMar>
      </w:tblPr>
      <w:tblGrid>
        <w:gridCol w:w="2133"/>
        <w:gridCol w:w="1398"/>
        <w:gridCol w:w="1537"/>
        <w:gridCol w:w="1429"/>
        <w:gridCol w:w="1643"/>
      </w:tblGrid>
      <w:tr>
        <w:tblPrEx>
          <w:shd w:val="clear" w:color="auto" w:fill="auto"/>
          <w:tblCellMar>
            <w:top w:w="0" w:type="dxa"/>
            <w:left w:w="0" w:type="dxa"/>
            <w:bottom w:w="0" w:type="dxa"/>
            <w:right w:w="0" w:type="dxa"/>
          </w:tblCellMar>
        </w:tblPrEx>
        <w:trPr>
          <w:trHeight w:val="343" w:hRule="atLeast"/>
          <w:tblHeader/>
          <w:jc w:val="center"/>
        </w:trPr>
        <w:tc>
          <w:tcPr>
            <w:tcW w:w="2133" w:type="dxa"/>
            <w:tcBorders>
              <w:top w:val="single" w:color="auto" w:sz="8" w:space="0"/>
              <w:left w:val="single" w:color="auto" w:sz="8" w:space="0"/>
              <w:bottom w:val="single" w:color="auto" w:sz="8" w:space="0"/>
              <w:right w:val="single" w:color="auto" w:sz="8" w:space="0"/>
            </w:tcBorders>
            <w:shd w:val="clear" w:color="auto" w:fill="D9D9D9"/>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项目</w:t>
            </w:r>
          </w:p>
        </w:tc>
        <w:tc>
          <w:tcPr>
            <w:tcW w:w="1398"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预算金额</w:t>
            </w:r>
          </w:p>
        </w:tc>
        <w:tc>
          <w:tcPr>
            <w:tcW w:w="1537"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决算金额</w:t>
            </w:r>
          </w:p>
        </w:tc>
        <w:tc>
          <w:tcPr>
            <w:tcW w:w="1429"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增减额</w:t>
            </w:r>
          </w:p>
        </w:tc>
        <w:tc>
          <w:tcPr>
            <w:tcW w:w="1643"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增减率</w:t>
            </w:r>
          </w:p>
        </w:tc>
      </w:tr>
      <w:tr>
        <w:tblPrEx>
          <w:shd w:val="clear" w:color="auto" w:fill="auto"/>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办公费</w:t>
            </w:r>
          </w:p>
        </w:tc>
        <w:tc>
          <w:tcPr>
            <w:tcW w:w="13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5</w:t>
            </w:r>
          </w:p>
        </w:tc>
        <w:tc>
          <w:tcPr>
            <w:tcW w:w="153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12</w:t>
            </w:r>
          </w:p>
        </w:tc>
        <w:tc>
          <w:tcPr>
            <w:tcW w:w="142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7</w:t>
            </w:r>
          </w:p>
        </w:tc>
        <w:tc>
          <w:tcPr>
            <w:tcW w:w="164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140%</w:t>
            </w:r>
          </w:p>
        </w:tc>
      </w:tr>
      <w:tr>
        <w:tblPrEx>
          <w:shd w:val="clear" w:color="auto" w:fill="auto"/>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印刷费</w:t>
            </w:r>
          </w:p>
        </w:tc>
        <w:tc>
          <w:tcPr>
            <w:tcW w:w="13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7</w:t>
            </w:r>
          </w:p>
        </w:tc>
        <w:tc>
          <w:tcPr>
            <w:tcW w:w="153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2</w:t>
            </w:r>
          </w:p>
        </w:tc>
        <w:tc>
          <w:tcPr>
            <w:tcW w:w="142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-5</w:t>
            </w:r>
          </w:p>
        </w:tc>
        <w:tc>
          <w:tcPr>
            <w:tcW w:w="164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-71%</w:t>
            </w:r>
          </w:p>
        </w:tc>
      </w:tr>
      <w:tr>
        <w:tblPrEx>
          <w:shd w:val="clear" w:color="auto" w:fill="auto"/>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咨询费</w:t>
            </w:r>
          </w:p>
        </w:tc>
        <w:tc>
          <w:tcPr>
            <w:tcW w:w="13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53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42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64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r>
      <w:tr>
        <w:tblPrEx>
          <w:shd w:val="clear" w:color="auto" w:fill="auto"/>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手续费</w:t>
            </w:r>
          </w:p>
        </w:tc>
        <w:tc>
          <w:tcPr>
            <w:tcW w:w="13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53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42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64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r>
      <w:tr>
        <w:tblPrEx>
          <w:shd w:val="clear" w:color="auto" w:fill="auto"/>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电费</w:t>
            </w:r>
          </w:p>
        </w:tc>
        <w:tc>
          <w:tcPr>
            <w:tcW w:w="13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4</w:t>
            </w:r>
          </w:p>
        </w:tc>
        <w:tc>
          <w:tcPr>
            <w:tcW w:w="153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9</w:t>
            </w:r>
          </w:p>
        </w:tc>
        <w:tc>
          <w:tcPr>
            <w:tcW w:w="142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5</w:t>
            </w:r>
          </w:p>
        </w:tc>
        <w:tc>
          <w:tcPr>
            <w:tcW w:w="164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125%</w:t>
            </w:r>
          </w:p>
        </w:tc>
      </w:tr>
      <w:tr>
        <w:tblPrEx>
          <w:shd w:val="clear" w:color="auto" w:fill="auto"/>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邮电费</w:t>
            </w:r>
          </w:p>
        </w:tc>
        <w:tc>
          <w:tcPr>
            <w:tcW w:w="13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1</w:t>
            </w:r>
          </w:p>
        </w:tc>
        <w:tc>
          <w:tcPr>
            <w:tcW w:w="153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3</w:t>
            </w:r>
          </w:p>
        </w:tc>
        <w:tc>
          <w:tcPr>
            <w:tcW w:w="142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2</w:t>
            </w:r>
          </w:p>
        </w:tc>
        <w:tc>
          <w:tcPr>
            <w:tcW w:w="164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200%</w:t>
            </w:r>
          </w:p>
        </w:tc>
      </w:tr>
      <w:tr>
        <w:tblPrEx>
          <w:shd w:val="clear" w:color="auto" w:fill="auto"/>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取暖费</w:t>
            </w:r>
          </w:p>
        </w:tc>
        <w:tc>
          <w:tcPr>
            <w:tcW w:w="13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53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42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64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r>
      <w:tr>
        <w:tblPrEx>
          <w:shd w:val="clear" w:color="auto" w:fill="auto"/>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物业管理费</w:t>
            </w:r>
          </w:p>
        </w:tc>
        <w:tc>
          <w:tcPr>
            <w:tcW w:w="13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53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42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64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r>
      <w:tr>
        <w:tblPrEx>
          <w:shd w:val="clear" w:color="auto" w:fill="auto"/>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差旅费</w:t>
            </w:r>
          </w:p>
        </w:tc>
        <w:tc>
          <w:tcPr>
            <w:tcW w:w="13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53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43</w:t>
            </w:r>
          </w:p>
        </w:tc>
        <w:tc>
          <w:tcPr>
            <w:tcW w:w="142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43</w:t>
            </w:r>
          </w:p>
        </w:tc>
        <w:tc>
          <w:tcPr>
            <w:tcW w:w="164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r>
      <w:tr>
        <w:tblPrEx>
          <w:shd w:val="clear" w:color="auto" w:fill="auto"/>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因公出国（境）费用</w:t>
            </w:r>
          </w:p>
        </w:tc>
        <w:tc>
          <w:tcPr>
            <w:tcW w:w="13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53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42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64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r>
      <w:tr>
        <w:tblPrEx>
          <w:shd w:val="clear" w:color="auto" w:fill="auto"/>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维修（护）费</w:t>
            </w:r>
          </w:p>
        </w:tc>
        <w:tc>
          <w:tcPr>
            <w:tcW w:w="13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53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1</w:t>
            </w:r>
          </w:p>
        </w:tc>
        <w:tc>
          <w:tcPr>
            <w:tcW w:w="142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1</w:t>
            </w:r>
          </w:p>
        </w:tc>
        <w:tc>
          <w:tcPr>
            <w:tcW w:w="164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r>
      <w:tr>
        <w:tblPrEx>
          <w:shd w:val="clear" w:color="auto" w:fill="auto"/>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租赁费</w:t>
            </w:r>
          </w:p>
        </w:tc>
        <w:tc>
          <w:tcPr>
            <w:tcW w:w="13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53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5</w:t>
            </w:r>
          </w:p>
        </w:tc>
        <w:tc>
          <w:tcPr>
            <w:tcW w:w="142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5</w:t>
            </w:r>
          </w:p>
        </w:tc>
        <w:tc>
          <w:tcPr>
            <w:tcW w:w="164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r>
      <w:tr>
        <w:tblPrEx>
          <w:shd w:val="clear" w:color="auto" w:fill="auto"/>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会议费</w:t>
            </w:r>
          </w:p>
        </w:tc>
        <w:tc>
          <w:tcPr>
            <w:tcW w:w="13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53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1</w:t>
            </w:r>
          </w:p>
        </w:tc>
        <w:tc>
          <w:tcPr>
            <w:tcW w:w="142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1</w:t>
            </w:r>
          </w:p>
        </w:tc>
        <w:tc>
          <w:tcPr>
            <w:tcW w:w="164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r>
      <w:tr>
        <w:tblPrEx>
          <w:shd w:val="clear" w:color="auto" w:fill="auto"/>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培训费</w:t>
            </w:r>
          </w:p>
        </w:tc>
        <w:tc>
          <w:tcPr>
            <w:tcW w:w="13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53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1</w:t>
            </w:r>
          </w:p>
        </w:tc>
        <w:tc>
          <w:tcPr>
            <w:tcW w:w="142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1</w:t>
            </w:r>
          </w:p>
        </w:tc>
        <w:tc>
          <w:tcPr>
            <w:tcW w:w="164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r>
      <w:tr>
        <w:tblPrEx>
          <w:shd w:val="clear" w:color="auto" w:fill="auto"/>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公务接待费</w:t>
            </w:r>
          </w:p>
        </w:tc>
        <w:tc>
          <w:tcPr>
            <w:tcW w:w="13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17</w:t>
            </w:r>
          </w:p>
        </w:tc>
        <w:tc>
          <w:tcPr>
            <w:tcW w:w="153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9</w:t>
            </w:r>
          </w:p>
        </w:tc>
        <w:tc>
          <w:tcPr>
            <w:tcW w:w="142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-8</w:t>
            </w:r>
          </w:p>
        </w:tc>
        <w:tc>
          <w:tcPr>
            <w:tcW w:w="164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-47%</w:t>
            </w:r>
          </w:p>
        </w:tc>
      </w:tr>
      <w:tr>
        <w:tblPrEx>
          <w:shd w:val="clear" w:color="auto" w:fill="auto"/>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专用材料费</w:t>
            </w:r>
          </w:p>
        </w:tc>
        <w:tc>
          <w:tcPr>
            <w:tcW w:w="13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53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1</w:t>
            </w:r>
          </w:p>
        </w:tc>
        <w:tc>
          <w:tcPr>
            <w:tcW w:w="142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1</w:t>
            </w:r>
          </w:p>
        </w:tc>
        <w:tc>
          <w:tcPr>
            <w:tcW w:w="164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r>
      <w:tr>
        <w:tblPrEx>
          <w:shd w:val="clear" w:color="auto" w:fill="auto"/>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被装购置费</w:t>
            </w:r>
          </w:p>
        </w:tc>
        <w:tc>
          <w:tcPr>
            <w:tcW w:w="13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53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42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64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r>
      <w:tr>
        <w:tblPrEx>
          <w:shd w:val="clear" w:color="auto" w:fill="auto"/>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专用燃料费</w:t>
            </w:r>
          </w:p>
        </w:tc>
        <w:tc>
          <w:tcPr>
            <w:tcW w:w="13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53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42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64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r>
      <w:tr>
        <w:tblPrEx>
          <w:shd w:val="clear" w:color="auto" w:fill="auto"/>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劳务费</w:t>
            </w:r>
          </w:p>
        </w:tc>
        <w:tc>
          <w:tcPr>
            <w:tcW w:w="13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53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2</w:t>
            </w:r>
          </w:p>
        </w:tc>
        <w:tc>
          <w:tcPr>
            <w:tcW w:w="142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2</w:t>
            </w:r>
          </w:p>
        </w:tc>
        <w:tc>
          <w:tcPr>
            <w:tcW w:w="164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r>
      <w:tr>
        <w:tblPrEx>
          <w:shd w:val="clear" w:color="auto" w:fill="auto"/>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委托业务费</w:t>
            </w:r>
          </w:p>
        </w:tc>
        <w:tc>
          <w:tcPr>
            <w:tcW w:w="13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53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118</w:t>
            </w:r>
          </w:p>
        </w:tc>
        <w:tc>
          <w:tcPr>
            <w:tcW w:w="142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118</w:t>
            </w:r>
          </w:p>
        </w:tc>
        <w:tc>
          <w:tcPr>
            <w:tcW w:w="164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r>
      <w:tr>
        <w:tblPrEx>
          <w:shd w:val="clear" w:color="auto" w:fill="auto"/>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工会经费</w:t>
            </w:r>
          </w:p>
        </w:tc>
        <w:tc>
          <w:tcPr>
            <w:tcW w:w="13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16</w:t>
            </w:r>
          </w:p>
        </w:tc>
        <w:tc>
          <w:tcPr>
            <w:tcW w:w="153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16</w:t>
            </w:r>
          </w:p>
        </w:tc>
        <w:tc>
          <w:tcPr>
            <w:tcW w:w="142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0</w:t>
            </w:r>
          </w:p>
        </w:tc>
        <w:tc>
          <w:tcPr>
            <w:tcW w:w="164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r>
      <w:tr>
        <w:tblPrEx>
          <w:shd w:val="clear" w:color="auto" w:fill="auto"/>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福利费</w:t>
            </w:r>
          </w:p>
        </w:tc>
        <w:tc>
          <w:tcPr>
            <w:tcW w:w="13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53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42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64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r>
      <w:tr>
        <w:tblPrEx>
          <w:shd w:val="clear" w:color="auto" w:fill="auto"/>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公务用车运行维护费</w:t>
            </w:r>
          </w:p>
        </w:tc>
        <w:tc>
          <w:tcPr>
            <w:tcW w:w="13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53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1</w:t>
            </w:r>
          </w:p>
        </w:tc>
        <w:tc>
          <w:tcPr>
            <w:tcW w:w="142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1</w:t>
            </w:r>
          </w:p>
        </w:tc>
        <w:tc>
          <w:tcPr>
            <w:tcW w:w="164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r>
      <w:tr>
        <w:tblPrEx>
          <w:shd w:val="clear" w:color="auto" w:fill="auto"/>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其他交通费</w:t>
            </w:r>
          </w:p>
        </w:tc>
        <w:tc>
          <w:tcPr>
            <w:tcW w:w="13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22</w:t>
            </w:r>
          </w:p>
        </w:tc>
        <w:tc>
          <w:tcPr>
            <w:tcW w:w="153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12</w:t>
            </w:r>
          </w:p>
        </w:tc>
        <w:tc>
          <w:tcPr>
            <w:tcW w:w="142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-10</w:t>
            </w:r>
          </w:p>
        </w:tc>
        <w:tc>
          <w:tcPr>
            <w:tcW w:w="164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-45%</w:t>
            </w:r>
          </w:p>
        </w:tc>
      </w:tr>
      <w:tr>
        <w:tblPrEx>
          <w:shd w:val="clear" w:color="auto" w:fill="auto"/>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税金及附加费用</w:t>
            </w:r>
          </w:p>
        </w:tc>
        <w:tc>
          <w:tcPr>
            <w:tcW w:w="13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53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42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64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r>
      <w:tr>
        <w:tblPrEx>
          <w:shd w:val="clear" w:color="auto" w:fill="auto"/>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其他商品和服务支出</w:t>
            </w:r>
          </w:p>
        </w:tc>
        <w:tc>
          <w:tcPr>
            <w:tcW w:w="13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81</w:t>
            </w:r>
          </w:p>
        </w:tc>
        <w:tc>
          <w:tcPr>
            <w:tcW w:w="153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921</w:t>
            </w:r>
          </w:p>
        </w:tc>
        <w:tc>
          <w:tcPr>
            <w:tcW w:w="142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846</w:t>
            </w:r>
          </w:p>
        </w:tc>
        <w:tc>
          <w:tcPr>
            <w:tcW w:w="164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1128%</w:t>
            </w:r>
          </w:p>
        </w:tc>
      </w:tr>
      <w:tr>
        <w:tblPrEx>
          <w:tblCellMar>
            <w:top w:w="0" w:type="dxa"/>
            <w:left w:w="0" w:type="dxa"/>
            <w:bottom w:w="0" w:type="dxa"/>
            <w:right w:w="0" w:type="dxa"/>
          </w:tblCellMar>
        </w:tblPrEx>
        <w:trPr>
          <w:trHeight w:val="359" w:hRule="atLeast"/>
          <w:jc w:val="center"/>
        </w:trPr>
        <w:tc>
          <w:tcPr>
            <w:tcW w:w="2133" w:type="dxa"/>
            <w:tcBorders>
              <w:top w:val="nil"/>
              <w:left w:val="single" w:color="auto" w:sz="8" w:space="0"/>
              <w:bottom w:val="single" w:color="auto" w:sz="8" w:space="0"/>
              <w:right w:val="single" w:color="auto" w:sz="8" w:space="0"/>
            </w:tcBorders>
            <w:shd w:val="clear" w:color="auto" w:fill="C0C0C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合计</w:t>
            </w:r>
          </w:p>
        </w:tc>
        <w:tc>
          <w:tcPr>
            <w:tcW w:w="1398" w:type="dxa"/>
            <w:tcBorders>
              <w:top w:val="nil"/>
              <w:left w:val="nil"/>
              <w:bottom w:val="single" w:color="auto" w:sz="8" w:space="0"/>
              <w:right w:val="single" w:color="auto" w:sz="8" w:space="0"/>
            </w:tcBorders>
            <w:shd w:val="clear" w:color="auto" w:fill="C0C0C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153</w:t>
            </w:r>
          </w:p>
        </w:tc>
        <w:tc>
          <w:tcPr>
            <w:tcW w:w="1537" w:type="dxa"/>
            <w:tcBorders>
              <w:top w:val="nil"/>
              <w:left w:val="nil"/>
              <w:bottom w:val="single" w:color="auto" w:sz="8" w:space="0"/>
              <w:right w:val="single" w:color="auto" w:sz="8" w:space="0"/>
            </w:tcBorders>
            <w:shd w:val="clear" w:color="auto" w:fill="C0C0C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1157</w:t>
            </w:r>
          </w:p>
        </w:tc>
        <w:tc>
          <w:tcPr>
            <w:tcW w:w="1429" w:type="dxa"/>
            <w:tcBorders>
              <w:top w:val="nil"/>
              <w:left w:val="nil"/>
              <w:bottom w:val="single" w:color="auto" w:sz="8" w:space="0"/>
              <w:right w:val="single" w:color="auto" w:sz="8" w:space="0"/>
            </w:tcBorders>
            <w:shd w:val="clear" w:color="auto" w:fill="C0C0C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1005</w:t>
            </w:r>
          </w:p>
        </w:tc>
        <w:tc>
          <w:tcPr>
            <w:tcW w:w="1643" w:type="dxa"/>
            <w:tcBorders>
              <w:top w:val="nil"/>
              <w:left w:val="nil"/>
              <w:bottom w:val="single" w:color="auto" w:sz="8" w:space="0"/>
              <w:right w:val="single" w:color="auto" w:sz="8" w:space="0"/>
            </w:tcBorders>
            <w:shd w:val="clear" w:color="auto" w:fill="C0C0C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661%</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150" w:right="0" w:firstLine="627"/>
        <w:jc w:val="left"/>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rPr>
        <w:t>由于本单位使用了未纳入年初预算的其他资金用于支付单位的部分支出，导致部分决算金额超预算。特别是其它商品服务开支包括生态功能县考核工作、环保宣传、空气自动站运行维护、</w:t>
      </w:r>
      <w:r>
        <w:rPr>
          <w:rFonts w:hint="eastAsia" w:ascii="仿宋" w:hAnsi="仿宋" w:eastAsia="仿宋" w:cs="仿宋"/>
          <w:i w:val="0"/>
          <w:caps w:val="0"/>
          <w:color w:val="1E1E1E"/>
          <w:spacing w:val="0"/>
          <w:sz w:val="32"/>
          <w:szCs w:val="32"/>
          <w:lang w:eastAsia="zh-CN"/>
        </w:rPr>
        <w:t>环保督察</w:t>
      </w:r>
      <w:r>
        <w:rPr>
          <w:rFonts w:hint="eastAsia" w:ascii="仿宋" w:hAnsi="仿宋" w:eastAsia="仿宋" w:cs="仿宋"/>
          <w:i w:val="0"/>
          <w:caps w:val="0"/>
          <w:color w:val="1E1E1E"/>
          <w:spacing w:val="0"/>
          <w:sz w:val="32"/>
          <w:szCs w:val="32"/>
        </w:rPr>
        <w:t>、蓝天保卫战等其他专项工作开支。环境监测、业务工作方案编制和污染治理等工作也在本科目列支。公车运行维护超1万元，主要为单位公务用车交至公车平台之前未结清的公车运行维护。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hanging="48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rPr>
        <w:t>（3）对个人和家庭的补助</w:t>
      </w:r>
    </w:p>
    <w:tbl>
      <w:tblPr>
        <w:tblStyle w:val="5"/>
        <w:tblW w:w="8336" w:type="dxa"/>
        <w:tblInd w:w="0" w:type="dxa"/>
        <w:shd w:val="clear" w:color="auto" w:fill="auto"/>
        <w:tblLayout w:type="fixed"/>
        <w:tblCellMar>
          <w:top w:w="0" w:type="dxa"/>
          <w:left w:w="0" w:type="dxa"/>
          <w:bottom w:w="0" w:type="dxa"/>
          <w:right w:w="0" w:type="dxa"/>
        </w:tblCellMar>
      </w:tblPr>
      <w:tblGrid>
        <w:gridCol w:w="1811"/>
        <w:gridCol w:w="1533"/>
        <w:gridCol w:w="1555"/>
        <w:gridCol w:w="1868"/>
        <w:gridCol w:w="1569"/>
      </w:tblGrid>
      <w:tr>
        <w:tblPrEx>
          <w:shd w:val="clear" w:color="auto" w:fill="auto"/>
          <w:tblCellMar>
            <w:top w:w="0" w:type="dxa"/>
            <w:left w:w="0" w:type="dxa"/>
            <w:bottom w:w="0" w:type="dxa"/>
            <w:right w:w="0" w:type="dxa"/>
          </w:tblCellMar>
        </w:tblPrEx>
        <w:trPr>
          <w:trHeight w:val="464" w:hRule="atLeast"/>
        </w:trPr>
        <w:tc>
          <w:tcPr>
            <w:tcW w:w="1811" w:type="dxa"/>
            <w:tcBorders>
              <w:top w:val="single" w:color="000000" w:sz="8" w:space="0"/>
              <w:left w:val="single" w:color="000000" w:sz="8" w:space="0"/>
              <w:bottom w:val="single" w:color="000000" w:sz="8" w:space="0"/>
              <w:right w:val="single" w:color="000000" w:sz="8" w:space="0"/>
            </w:tcBorders>
            <w:shd w:val="clear" w:color="auto" w:fill="C0C0C0"/>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支出项目</w:t>
            </w:r>
          </w:p>
        </w:tc>
        <w:tc>
          <w:tcPr>
            <w:tcW w:w="1533" w:type="dxa"/>
            <w:tcBorders>
              <w:top w:val="single" w:color="auto" w:sz="8" w:space="0"/>
              <w:left w:val="nil"/>
              <w:bottom w:val="single" w:color="auto" w:sz="8" w:space="0"/>
              <w:right w:val="single" w:color="auto" w:sz="8" w:space="0"/>
            </w:tcBorders>
            <w:shd w:val="clear" w:color="auto" w:fill="C0C0C0"/>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预算金额</w:t>
            </w:r>
          </w:p>
        </w:tc>
        <w:tc>
          <w:tcPr>
            <w:tcW w:w="1555" w:type="dxa"/>
            <w:tcBorders>
              <w:top w:val="single" w:color="auto" w:sz="8" w:space="0"/>
              <w:left w:val="nil"/>
              <w:bottom w:val="single" w:color="auto" w:sz="8" w:space="0"/>
              <w:right w:val="single" w:color="auto" w:sz="8" w:space="0"/>
            </w:tcBorders>
            <w:shd w:val="clear" w:color="auto" w:fill="C0C0C0"/>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决算金额</w:t>
            </w:r>
          </w:p>
        </w:tc>
        <w:tc>
          <w:tcPr>
            <w:tcW w:w="1868" w:type="dxa"/>
            <w:tcBorders>
              <w:top w:val="single" w:color="auto" w:sz="8" w:space="0"/>
              <w:left w:val="nil"/>
              <w:bottom w:val="single" w:color="auto" w:sz="8" w:space="0"/>
              <w:right w:val="single" w:color="auto" w:sz="8" w:space="0"/>
            </w:tcBorders>
            <w:shd w:val="clear" w:color="auto" w:fill="C0C0C0"/>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结余/超支金额</w:t>
            </w:r>
          </w:p>
        </w:tc>
        <w:tc>
          <w:tcPr>
            <w:tcW w:w="1569" w:type="dxa"/>
            <w:tcBorders>
              <w:top w:val="single" w:color="auto" w:sz="8" w:space="0"/>
              <w:left w:val="nil"/>
              <w:bottom w:val="single" w:color="auto" w:sz="8" w:space="0"/>
              <w:right w:val="single" w:color="auto" w:sz="8" w:space="0"/>
            </w:tcBorders>
            <w:shd w:val="clear" w:color="auto" w:fill="C0C0C0"/>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结余/超支率</w:t>
            </w:r>
          </w:p>
        </w:tc>
      </w:tr>
      <w:tr>
        <w:tblPrEx>
          <w:shd w:val="clear" w:color="auto" w:fill="auto"/>
          <w:tblCellMar>
            <w:top w:w="0" w:type="dxa"/>
            <w:left w:w="0" w:type="dxa"/>
            <w:bottom w:w="0" w:type="dxa"/>
            <w:right w:w="0" w:type="dxa"/>
          </w:tblCellMar>
        </w:tblPrEx>
        <w:trPr>
          <w:trHeight w:val="413" w:hRule="atLeast"/>
        </w:trPr>
        <w:tc>
          <w:tcPr>
            <w:tcW w:w="1811" w:type="dxa"/>
            <w:tcBorders>
              <w:top w:val="nil"/>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离休费</w:t>
            </w:r>
          </w:p>
        </w:tc>
        <w:tc>
          <w:tcPr>
            <w:tcW w:w="1533"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555"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868"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569"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r>
      <w:tr>
        <w:tblPrEx>
          <w:tblCellMar>
            <w:top w:w="0" w:type="dxa"/>
            <w:left w:w="0" w:type="dxa"/>
            <w:bottom w:w="0" w:type="dxa"/>
            <w:right w:w="0" w:type="dxa"/>
          </w:tblCellMar>
        </w:tblPrEx>
        <w:trPr>
          <w:trHeight w:val="413" w:hRule="atLeast"/>
        </w:trPr>
        <w:tc>
          <w:tcPr>
            <w:tcW w:w="1811" w:type="dxa"/>
            <w:tcBorders>
              <w:top w:val="nil"/>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退休费</w:t>
            </w:r>
          </w:p>
        </w:tc>
        <w:tc>
          <w:tcPr>
            <w:tcW w:w="1533"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555"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4</w:t>
            </w:r>
          </w:p>
        </w:tc>
        <w:tc>
          <w:tcPr>
            <w:tcW w:w="1868"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4</w:t>
            </w:r>
          </w:p>
        </w:tc>
        <w:tc>
          <w:tcPr>
            <w:tcW w:w="1569"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r>
      <w:tr>
        <w:tblPrEx>
          <w:tblCellMar>
            <w:top w:w="0" w:type="dxa"/>
            <w:left w:w="0" w:type="dxa"/>
            <w:bottom w:w="0" w:type="dxa"/>
            <w:right w:w="0" w:type="dxa"/>
          </w:tblCellMar>
        </w:tblPrEx>
        <w:trPr>
          <w:trHeight w:val="413" w:hRule="atLeast"/>
        </w:trPr>
        <w:tc>
          <w:tcPr>
            <w:tcW w:w="1811" w:type="dxa"/>
            <w:tcBorders>
              <w:top w:val="nil"/>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退职（役）费</w:t>
            </w:r>
          </w:p>
        </w:tc>
        <w:tc>
          <w:tcPr>
            <w:tcW w:w="1533"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555"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868"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569"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r>
      <w:tr>
        <w:tblPrEx>
          <w:tblCellMar>
            <w:top w:w="0" w:type="dxa"/>
            <w:left w:w="0" w:type="dxa"/>
            <w:bottom w:w="0" w:type="dxa"/>
            <w:right w:w="0" w:type="dxa"/>
          </w:tblCellMar>
        </w:tblPrEx>
        <w:trPr>
          <w:trHeight w:val="413" w:hRule="atLeast"/>
        </w:trPr>
        <w:tc>
          <w:tcPr>
            <w:tcW w:w="1811" w:type="dxa"/>
            <w:tcBorders>
              <w:top w:val="nil"/>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抚恤金</w:t>
            </w:r>
          </w:p>
        </w:tc>
        <w:tc>
          <w:tcPr>
            <w:tcW w:w="1533"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555"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868"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569"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r>
      <w:tr>
        <w:tblPrEx>
          <w:tblCellMar>
            <w:top w:w="0" w:type="dxa"/>
            <w:left w:w="0" w:type="dxa"/>
            <w:bottom w:w="0" w:type="dxa"/>
            <w:right w:w="0" w:type="dxa"/>
          </w:tblCellMar>
        </w:tblPrEx>
        <w:trPr>
          <w:trHeight w:val="413" w:hRule="atLeast"/>
        </w:trPr>
        <w:tc>
          <w:tcPr>
            <w:tcW w:w="1811" w:type="dxa"/>
            <w:tcBorders>
              <w:top w:val="nil"/>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生活补助</w:t>
            </w:r>
          </w:p>
        </w:tc>
        <w:tc>
          <w:tcPr>
            <w:tcW w:w="1533"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555"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868"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569"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r>
      <w:tr>
        <w:tblPrEx>
          <w:tblCellMar>
            <w:top w:w="0" w:type="dxa"/>
            <w:left w:w="0" w:type="dxa"/>
            <w:bottom w:w="0" w:type="dxa"/>
            <w:right w:w="0" w:type="dxa"/>
          </w:tblCellMar>
        </w:tblPrEx>
        <w:trPr>
          <w:trHeight w:val="413" w:hRule="atLeast"/>
        </w:trPr>
        <w:tc>
          <w:tcPr>
            <w:tcW w:w="1811" w:type="dxa"/>
            <w:tcBorders>
              <w:top w:val="nil"/>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救济费</w:t>
            </w:r>
          </w:p>
        </w:tc>
        <w:tc>
          <w:tcPr>
            <w:tcW w:w="1533"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555"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868"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569"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r>
      <w:tr>
        <w:tblPrEx>
          <w:tblCellMar>
            <w:top w:w="0" w:type="dxa"/>
            <w:left w:w="0" w:type="dxa"/>
            <w:bottom w:w="0" w:type="dxa"/>
            <w:right w:w="0" w:type="dxa"/>
          </w:tblCellMar>
        </w:tblPrEx>
        <w:trPr>
          <w:trHeight w:val="413" w:hRule="atLeast"/>
        </w:trPr>
        <w:tc>
          <w:tcPr>
            <w:tcW w:w="1811" w:type="dxa"/>
            <w:tcBorders>
              <w:top w:val="nil"/>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医疗费补助</w:t>
            </w:r>
          </w:p>
        </w:tc>
        <w:tc>
          <w:tcPr>
            <w:tcW w:w="1533"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555"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868"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569"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r>
      <w:tr>
        <w:tblPrEx>
          <w:tblCellMar>
            <w:top w:w="0" w:type="dxa"/>
            <w:left w:w="0" w:type="dxa"/>
            <w:bottom w:w="0" w:type="dxa"/>
            <w:right w:w="0" w:type="dxa"/>
          </w:tblCellMar>
        </w:tblPrEx>
        <w:trPr>
          <w:trHeight w:val="413" w:hRule="atLeast"/>
        </w:trPr>
        <w:tc>
          <w:tcPr>
            <w:tcW w:w="1811" w:type="dxa"/>
            <w:tcBorders>
              <w:top w:val="nil"/>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助学金</w:t>
            </w:r>
          </w:p>
        </w:tc>
        <w:tc>
          <w:tcPr>
            <w:tcW w:w="1533"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555"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868"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569"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r>
      <w:tr>
        <w:tblPrEx>
          <w:tblCellMar>
            <w:top w:w="0" w:type="dxa"/>
            <w:left w:w="0" w:type="dxa"/>
            <w:bottom w:w="0" w:type="dxa"/>
            <w:right w:w="0" w:type="dxa"/>
          </w:tblCellMar>
        </w:tblPrEx>
        <w:trPr>
          <w:trHeight w:val="413" w:hRule="atLeast"/>
        </w:trPr>
        <w:tc>
          <w:tcPr>
            <w:tcW w:w="1811" w:type="dxa"/>
            <w:tcBorders>
              <w:top w:val="nil"/>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奖励金</w:t>
            </w:r>
          </w:p>
        </w:tc>
        <w:tc>
          <w:tcPr>
            <w:tcW w:w="1533"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555"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868"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569"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r>
      <w:tr>
        <w:tblPrEx>
          <w:tblCellMar>
            <w:top w:w="0" w:type="dxa"/>
            <w:left w:w="0" w:type="dxa"/>
            <w:bottom w:w="0" w:type="dxa"/>
            <w:right w:w="0" w:type="dxa"/>
          </w:tblCellMar>
        </w:tblPrEx>
        <w:trPr>
          <w:trHeight w:val="413" w:hRule="atLeast"/>
        </w:trPr>
        <w:tc>
          <w:tcPr>
            <w:tcW w:w="1811" w:type="dxa"/>
            <w:tcBorders>
              <w:top w:val="nil"/>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个人农业生产补贴</w:t>
            </w:r>
          </w:p>
        </w:tc>
        <w:tc>
          <w:tcPr>
            <w:tcW w:w="1533"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555"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868"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569"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r>
      <w:tr>
        <w:tblPrEx>
          <w:tblCellMar>
            <w:top w:w="0" w:type="dxa"/>
            <w:left w:w="0" w:type="dxa"/>
            <w:bottom w:w="0" w:type="dxa"/>
            <w:right w:w="0" w:type="dxa"/>
          </w:tblCellMar>
        </w:tblPrEx>
        <w:trPr>
          <w:trHeight w:val="413" w:hRule="atLeast"/>
        </w:trPr>
        <w:tc>
          <w:tcPr>
            <w:tcW w:w="1811" w:type="dxa"/>
            <w:tcBorders>
              <w:top w:val="nil"/>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其他对个人和家庭的补助支出</w:t>
            </w:r>
          </w:p>
        </w:tc>
        <w:tc>
          <w:tcPr>
            <w:tcW w:w="1533"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555"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868"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569"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r>
      <w:tr>
        <w:tblPrEx>
          <w:tblCellMar>
            <w:top w:w="0" w:type="dxa"/>
            <w:left w:w="0" w:type="dxa"/>
            <w:bottom w:w="0" w:type="dxa"/>
            <w:right w:w="0" w:type="dxa"/>
          </w:tblCellMar>
        </w:tblPrEx>
        <w:trPr>
          <w:trHeight w:val="451" w:hRule="atLeast"/>
        </w:trPr>
        <w:tc>
          <w:tcPr>
            <w:tcW w:w="1811" w:type="dxa"/>
            <w:tcBorders>
              <w:top w:val="nil"/>
              <w:left w:val="single" w:color="auto" w:sz="8" w:space="0"/>
              <w:bottom w:val="single" w:color="auto" w:sz="8" w:space="0"/>
              <w:right w:val="single" w:color="auto" w:sz="8" w:space="0"/>
            </w:tcBorders>
            <w:shd w:val="clear" w:color="auto" w:fill="C0C0C0"/>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合计</w:t>
            </w:r>
          </w:p>
        </w:tc>
        <w:tc>
          <w:tcPr>
            <w:tcW w:w="1533" w:type="dxa"/>
            <w:tcBorders>
              <w:top w:val="nil"/>
              <w:left w:val="nil"/>
              <w:bottom w:val="single" w:color="auto" w:sz="8" w:space="0"/>
              <w:right w:val="single" w:color="auto" w:sz="8" w:space="0"/>
            </w:tcBorders>
            <w:shd w:val="clear" w:color="auto" w:fill="C0C0C0"/>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555" w:type="dxa"/>
            <w:tcBorders>
              <w:top w:val="nil"/>
              <w:left w:val="nil"/>
              <w:bottom w:val="single" w:color="auto" w:sz="8" w:space="0"/>
              <w:right w:val="single" w:color="auto" w:sz="8" w:space="0"/>
            </w:tcBorders>
            <w:shd w:val="clear" w:color="auto" w:fill="C0C0C0"/>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4</w:t>
            </w:r>
          </w:p>
        </w:tc>
        <w:tc>
          <w:tcPr>
            <w:tcW w:w="1868" w:type="dxa"/>
            <w:tcBorders>
              <w:top w:val="nil"/>
              <w:left w:val="nil"/>
              <w:bottom w:val="single" w:color="auto" w:sz="8" w:space="0"/>
              <w:right w:val="single" w:color="auto" w:sz="8" w:space="0"/>
            </w:tcBorders>
            <w:shd w:val="clear" w:color="auto" w:fill="C0C0C0"/>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4</w:t>
            </w:r>
          </w:p>
        </w:tc>
        <w:tc>
          <w:tcPr>
            <w:tcW w:w="1569" w:type="dxa"/>
            <w:tcBorders>
              <w:top w:val="nil"/>
              <w:left w:val="nil"/>
              <w:bottom w:val="single" w:color="auto" w:sz="8" w:space="0"/>
              <w:right w:val="single" w:color="auto" w:sz="8" w:space="0"/>
            </w:tcBorders>
            <w:shd w:val="clear" w:color="auto" w:fill="C0C0C0"/>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638" w:right="0" w:firstLine="16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rPr>
        <w:t>主要为退休人员节日补助。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hanging="48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rPr>
        <w:t>（二）“三公经费”支出使用和管理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hanging="48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rPr>
        <w:t>1、“三公经费”预算执行</w:t>
      </w:r>
    </w:p>
    <w:tbl>
      <w:tblPr>
        <w:tblStyle w:val="5"/>
        <w:tblW w:w="8336" w:type="dxa"/>
        <w:jc w:val="center"/>
        <w:shd w:val="clear" w:color="auto" w:fill="auto"/>
        <w:tblLayout w:type="fixed"/>
        <w:tblCellMar>
          <w:top w:w="0" w:type="dxa"/>
          <w:left w:w="0" w:type="dxa"/>
          <w:bottom w:w="0" w:type="dxa"/>
          <w:right w:w="0" w:type="dxa"/>
        </w:tblCellMar>
      </w:tblPr>
      <w:tblGrid>
        <w:gridCol w:w="1608"/>
        <w:gridCol w:w="1054"/>
        <w:gridCol w:w="1112"/>
        <w:gridCol w:w="995"/>
        <w:gridCol w:w="1156"/>
        <w:gridCol w:w="1136"/>
        <w:gridCol w:w="1275"/>
      </w:tblGrid>
      <w:tr>
        <w:tblPrEx>
          <w:shd w:val="clear" w:color="auto" w:fill="auto"/>
          <w:tblCellMar>
            <w:top w:w="0" w:type="dxa"/>
            <w:left w:w="0" w:type="dxa"/>
            <w:bottom w:w="0" w:type="dxa"/>
            <w:right w:w="0" w:type="dxa"/>
          </w:tblCellMar>
        </w:tblPrEx>
        <w:trPr>
          <w:trHeight w:val="364" w:hRule="atLeast"/>
          <w:jc w:val="center"/>
        </w:trPr>
        <w:tc>
          <w:tcPr>
            <w:tcW w:w="1608" w:type="dxa"/>
            <w:vMerge w:val="restart"/>
            <w:tcBorders>
              <w:top w:val="single" w:color="000000" w:sz="8" w:space="0"/>
              <w:left w:val="single" w:color="000000" w:sz="8" w:space="0"/>
              <w:bottom w:val="single" w:color="000000" w:sz="8" w:space="0"/>
              <w:right w:val="single" w:color="000000" w:sz="8" w:space="0"/>
            </w:tcBorders>
            <w:shd w:val="clear" w:color="auto" w:fill="D9D9D9"/>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费用项目</w:t>
            </w:r>
          </w:p>
        </w:tc>
        <w:tc>
          <w:tcPr>
            <w:tcW w:w="2166" w:type="dxa"/>
            <w:gridSpan w:val="2"/>
            <w:tcBorders>
              <w:top w:val="single" w:color="auto" w:sz="8" w:space="0"/>
              <w:left w:val="nil"/>
              <w:bottom w:val="single" w:color="auto" w:sz="8" w:space="0"/>
              <w:right w:val="single" w:color="auto" w:sz="8" w:space="0"/>
            </w:tcBorders>
            <w:shd w:val="clear" w:color="auto" w:fill="D9D9D9"/>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本年预算</w:t>
            </w:r>
          </w:p>
        </w:tc>
        <w:tc>
          <w:tcPr>
            <w:tcW w:w="2151" w:type="dxa"/>
            <w:gridSpan w:val="2"/>
            <w:tcBorders>
              <w:top w:val="single" w:color="auto" w:sz="8" w:space="0"/>
              <w:left w:val="nil"/>
              <w:bottom w:val="single" w:color="auto" w:sz="8" w:space="0"/>
              <w:right w:val="single" w:color="auto" w:sz="8" w:space="0"/>
            </w:tcBorders>
            <w:shd w:val="clear" w:color="auto" w:fill="D9D9D9"/>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本年决算</w:t>
            </w:r>
          </w:p>
        </w:tc>
        <w:tc>
          <w:tcPr>
            <w:tcW w:w="2411" w:type="dxa"/>
            <w:gridSpan w:val="2"/>
            <w:tcBorders>
              <w:top w:val="single" w:color="auto" w:sz="8" w:space="0"/>
              <w:left w:val="nil"/>
              <w:bottom w:val="single" w:color="auto" w:sz="8" w:space="0"/>
              <w:right w:val="single" w:color="auto" w:sz="8" w:space="0"/>
            </w:tcBorders>
            <w:shd w:val="clear" w:color="auto" w:fill="D9D9D9"/>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结余/超支</w:t>
            </w:r>
          </w:p>
        </w:tc>
      </w:tr>
      <w:tr>
        <w:tblPrEx>
          <w:shd w:val="clear" w:color="auto" w:fill="auto"/>
          <w:tblCellMar>
            <w:top w:w="0" w:type="dxa"/>
            <w:left w:w="0" w:type="dxa"/>
            <w:bottom w:w="0" w:type="dxa"/>
            <w:right w:w="0" w:type="dxa"/>
          </w:tblCellMar>
        </w:tblPrEx>
        <w:trPr>
          <w:trHeight w:val="580" w:hRule="atLeast"/>
          <w:jc w:val="center"/>
        </w:trPr>
        <w:tc>
          <w:tcPr>
            <w:tcW w:w="1608" w:type="dxa"/>
            <w:vMerge w:val="continue"/>
            <w:tcBorders>
              <w:top w:val="single" w:color="000000" w:sz="8" w:space="0"/>
              <w:left w:val="single" w:color="000000" w:sz="8" w:space="0"/>
              <w:bottom w:val="single" w:color="000000" w:sz="8" w:space="0"/>
              <w:right w:val="single" w:color="000000" w:sz="8" w:space="0"/>
            </w:tcBorders>
            <w:shd w:val="clear" w:color="auto" w:fill="D9D9D9"/>
            <w:tcMar>
              <w:left w:w="15" w:type="dxa"/>
              <w:right w:w="15" w:type="dxa"/>
            </w:tcMar>
            <w:vAlign w:val="center"/>
          </w:tcPr>
          <w:p>
            <w:pPr>
              <w:rPr>
                <w:rFonts w:hint="eastAsia" w:ascii="宋体"/>
                <w:sz w:val="24"/>
                <w:szCs w:val="24"/>
              </w:rPr>
            </w:pPr>
          </w:p>
        </w:tc>
        <w:tc>
          <w:tcPr>
            <w:tcW w:w="1054" w:type="dxa"/>
            <w:tcBorders>
              <w:top w:val="nil"/>
              <w:left w:val="nil"/>
              <w:bottom w:val="single" w:color="auto" w:sz="8" w:space="0"/>
              <w:right w:val="single" w:color="auto" w:sz="8" w:space="0"/>
            </w:tcBorders>
            <w:shd w:val="clear" w:color="auto" w:fill="D9D9D9"/>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基本支出</w:t>
            </w:r>
          </w:p>
        </w:tc>
        <w:tc>
          <w:tcPr>
            <w:tcW w:w="1112" w:type="dxa"/>
            <w:tcBorders>
              <w:top w:val="nil"/>
              <w:left w:val="nil"/>
              <w:bottom w:val="single" w:color="auto" w:sz="8" w:space="0"/>
              <w:right w:val="single" w:color="auto" w:sz="8" w:space="0"/>
            </w:tcBorders>
            <w:shd w:val="clear" w:color="auto" w:fill="D9D9D9"/>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项目支出</w:t>
            </w:r>
          </w:p>
        </w:tc>
        <w:tc>
          <w:tcPr>
            <w:tcW w:w="995" w:type="dxa"/>
            <w:tcBorders>
              <w:top w:val="nil"/>
              <w:left w:val="nil"/>
              <w:bottom w:val="single" w:color="auto" w:sz="8" w:space="0"/>
              <w:right w:val="single" w:color="auto" w:sz="8" w:space="0"/>
            </w:tcBorders>
            <w:shd w:val="clear" w:color="auto" w:fill="D9D9D9"/>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基本支出</w:t>
            </w:r>
          </w:p>
        </w:tc>
        <w:tc>
          <w:tcPr>
            <w:tcW w:w="1156" w:type="dxa"/>
            <w:tcBorders>
              <w:top w:val="nil"/>
              <w:left w:val="nil"/>
              <w:bottom w:val="single" w:color="auto" w:sz="8" w:space="0"/>
              <w:right w:val="single" w:color="auto" w:sz="8" w:space="0"/>
            </w:tcBorders>
            <w:shd w:val="clear" w:color="auto" w:fill="D9D9D9"/>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项目支出</w:t>
            </w:r>
          </w:p>
        </w:tc>
        <w:tc>
          <w:tcPr>
            <w:tcW w:w="1136" w:type="dxa"/>
            <w:tcBorders>
              <w:top w:val="nil"/>
              <w:left w:val="nil"/>
              <w:bottom w:val="single" w:color="auto" w:sz="8" w:space="0"/>
              <w:right w:val="single" w:color="auto" w:sz="8" w:space="0"/>
            </w:tcBorders>
            <w:shd w:val="clear" w:color="auto" w:fill="D9D9D9"/>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基本支出</w:t>
            </w:r>
          </w:p>
        </w:tc>
        <w:tc>
          <w:tcPr>
            <w:tcW w:w="1275" w:type="dxa"/>
            <w:tcBorders>
              <w:top w:val="nil"/>
              <w:left w:val="nil"/>
              <w:bottom w:val="single" w:color="auto" w:sz="8" w:space="0"/>
              <w:right w:val="single" w:color="auto" w:sz="8" w:space="0"/>
            </w:tcBorders>
            <w:shd w:val="clear" w:color="auto" w:fill="D9D9D9"/>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项目支出</w:t>
            </w:r>
          </w:p>
        </w:tc>
      </w:tr>
      <w:tr>
        <w:tblPrEx>
          <w:tblCellMar>
            <w:top w:w="0" w:type="dxa"/>
            <w:left w:w="0" w:type="dxa"/>
            <w:bottom w:w="0" w:type="dxa"/>
            <w:right w:w="0" w:type="dxa"/>
          </w:tblCellMar>
        </w:tblPrEx>
        <w:trPr>
          <w:trHeight w:val="364" w:hRule="atLeast"/>
          <w:jc w:val="center"/>
        </w:trPr>
        <w:tc>
          <w:tcPr>
            <w:tcW w:w="1608" w:type="dxa"/>
            <w:tcBorders>
              <w:top w:val="nil"/>
              <w:left w:val="single" w:color="auto" w:sz="8" w:space="0"/>
              <w:bottom w:val="single" w:color="auto" w:sz="8" w:space="0"/>
              <w:right w:val="single" w:color="auto" w:sz="8" w:space="0"/>
            </w:tcBorders>
            <w:shd w:val="clear" w:color="auto" w:fill="auto"/>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公务接待费</w:t>
            </w:r>
          </w:p>
        </w:tc>
        <w:tc>
          <w:tcPr>
            <w:tcW w:w="1054" w:type="dxa"/>
            <w:tcBorders>
              <w:top w:val="nil"/>
              <w:left w:val="nil"/>
              <w:bottom w:val="single" w:color="auto" w:sz="8" w:space="0"/>
              <w:right w:val="single" w:color="auto" w:sz="8" w:space="0"/>
            </w:tcBorders>
            <w:shd w:val="clear" w:color="auto" w:fill="auto"/>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17</w:t>
            </w:r>
          </w:p>
        </w:tc>
        <w:tc>
          <w:tcPr>
            <w:tcW w:w="1112" w:type="dxa"/>
            <w:tcBorders>
              <w:top w:val="nil"/>
              <w:left w:val="nil"/>
              <w:bottom w:val="single" w:color="auto" w:sz="8" w:space="0"/>
              <w:right w:val="single" w:color="auto" w:sz="8" w:space="0"/>
            </w:tcBorders>
            <w:shd w:val="clear" w:color="auto" w:fill="auto"/>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995" w:type="dxa"/>
            <w:tcBorders>
              <w:top w:val="nil"/>
              <w:left w:val="nil"/>
              <w:bottom w:val="single" w:color="auto" w:sz="8" w:space="0"/>
              <w:right w:val="single" w:color="auto" w:sz="8" w:space="0"/>
            </w:tcBorders>
            <w:shd w:val="clear" w:color="auto" w:fill="auto"/>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9</w:t>
            </w:r>
          </w:p>
        </w:tc>
        <w:tc>
          <w:tcPr>
            <w:tcW w:w="1156" w:type="dxa"/>
            <w:tcBorders>
              <w:top w:val="nil"/>
              <w:left w:val="nil"/>
              <w:bottom w:val="single" w:color="auto" w:sz="8" w:space="0"/>
              <w:right w:val="single" w:color="auto" w:sz="8" w:space="0"/>
            </w:tcBorders>
            <w:shd w:val="clear" w:color="auto" w:fill="auto"/>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136" w:type="dxa"/>
            <w:tcBorders>
              <w:top w:val="nil"/>
              <w:left w:val="nil"/>
              <w:bottom w:val="single" w:color="auto" w:sz="8" w:space="0"/>
              <w:right w:val="single" w:color="auto" w:sz="8" w:space="0"/>
            </w:tcBorders>
            <w:shd w:val="clear" w:color="auto" w:fill="auto"/>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-8</w:t>
            </w:r>
          </w:p>
        </w:tc>
        <w:tc>
          <w:tcPr>
            <w:tcW w:w="1275" w:type="dxa"/>
            <w:tcBorders>
              <w:top w:val="nil"/>
              <w:left w:val="nil"/>
              <w:bottom w:val="single" w:color="auto" w:sz="8" w:space="0"/>
              <w:right w:val="single" w:color="auto" w:sz="8" w:space="0"/>
            </w:tcBorders>
            <w:shd w:val="clear" w:color="auto" w:fill="auto"/>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r>
      <w:tr>
        <w:tblPrEx>
          <w:tblCellMar>
            <w:top w:w="0" w:type="dxa"/>
            <w:left w:w="0" w:type="dxa"/>
            <w:bottom w:w="0" w:type="dxa"/>
            <w:right w:w="0" w:type="dxa"/>
          </w:tblCellMar>
        </w:tblPrEx>
        <w:trPr>
          <w:trHeight w:val="400" w:hRule="atLeast"/>
          <w:jc w:val="center"/>
        </w:trPr>
        <w:tc>
          <w:tcPr>
            <w:tcW w:w="1608" w:type="dxa"/>
            <w:tcBorders>
              <w:top w:val="nil"/>
              <w:left w:val="single" w:color="auto" w:sz="8" w:space="0"/>
              <w:bottom w:val="single" w:color="auto" w:sz="8" w:space="0"/>
              <w:right w:val="single" w:color="auto" w:sz="8" w:space="0"/>
            </w:tcBorders>
            <w:shd w:val="clear" w:color="auto" w:fill="auto"/>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公车运行维护费</w:t>
            </w:r>
          </w:p>
        </w:tc>
        <w:tc>
          <w:tcPr>
            <w:tcW w:w="1054" w:type="dxa"/>
            <w:tcBorders>
              <w:top w:val="nil"/>
              <w:left w:val="nil"/>
              <w:bottom w:val="single" w:color="auto" w:sz="8" w:space="0"/>
              <w:right w:val="single" w:color="auto" w:sz="8" w:space="0"/>
            </w:tcBorders>
            <w:shd w:val="clear" w:color="auto" w:fill="auto"/>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112" w:type="dxa"/>
            <w:tcBorders>
              <w:top w:val="nil"/>
              <w:left w:val="nil"/>
              <w:bottom w:val="single" w:color="auto" w:sz="8" w:space="0"/>
              <w:right w:val="single" w:color="auto" w:sz="8" w:space="0"/>
            </w:tcBorders>
            <w:shd w:val="clear" w:color="auto" w:fill="auto"/>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995" w:type="dxa"/>
            <w:tcBorders>
              <w:top w:val="nil"/>
              <w:left w:val="nil"/>
              <w:bottom w:val="single" w:color="auto" w:sz="8" w:space="0"/>
              <w:right w:val="single" w:color="auto" w:sz="8" w:space="0"/>
            </w:tcBorders>
            <w:shd w:val="clear" w:color="auto" w:fill="auto"/>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1</w:t>
            </w:r>
          </w:p>
        </w:tc>
        <w:tc>
          <w:tcPr>
            <w:tcW w:w="1156" w:type="dxa"/>
            <w:tcBorders>
              <w:top w:val="nil"/>
              <w:left w:val="nil"/>
              <w:bottom w:val="single" w:color="auto" w:sz="8" w:space="0"/>
              <w:right w:val="single" w:color="auto" w:sz="8" w:space="0"/>
            </w:tcBorders>
            <w:shd w:val="clear" w:color="auto" w:fill="auto"/>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136" w:type="dxa"/>
            <w:tcBorders>
              <w:top w:val="nil"/>
              <w:left w:val="nil"/>
              <w:bottom w:val="single" w:color="auto" w:sz="8" w:space="0"/>
              <w:right w:val="single" w:color="auto" w:sz="8" w:space="0"/>
            </w:tcBorders>
            <w:shd w:val="clear" w:color="auto" w:fill="auto"/>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1</w:t>
            </w:r>
          </w:p>
        </w:tc>
        <w:tc>
          <w:tcPr>
            <w:tcW w:w="1275" w:type="dxa"/>
            <w:tcBorders>
              <w:top w:val="nil"/>
              <w:left w:val="nil"/>
              <w:bottom w:val="single" w:color="auto" w:sz="8" w:space="0"/>
              <w:right w:val="single" w:color="auto" w:sz="8" w:space="0"/>
            </w:tcBorders>
            <w:shd w:val="clear" w:color="auto" w:fill="auto"/>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r>
      <w:tr>
        <w:tblPrEx>
          <w:tblCellMar>
            <w:top w:w="0" w:type="dxa"/>
            <w:left w:w="0" w:type="dxa"/>
            <w:bottom w:w="0" w:type="dxa"/>
            <w:right w:w="0" w:type="dxa"/>
          </w:tblCellMar>
        </w:tblPrEx>
        <w:trPr>
          <w:trHeight w:val="430" w:hRule="atLeast"/>
          <w:jc w:val="center"/>
        </w:trPr>
        <w:tc>
          <w:tcPr>
            <w:tcW w:w="1608" w:type="dxa"/>
            <w:tcBorders>
              <w:top w:val="nil"/>
              <w:left w:val="single" w:color="auto" w:sz="8" w:space="0"/>
              <w:bottom w:val="single" w:color="auto" w:sz="8" w:space="0"/>
              <w:right w:val="single" w:color="auto" w:sz="8" w:space="0"/>
            </w:tcBorders>
            <w:shd w:val="clear" w:color="auto" w:fill="auto"/>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公务车购置费</w:t>
            </w:r>
          </w:p>
        </w:tc>
        <w:tc>
          <w:tcPr>
            <w:tcW w:w="1054" w:type="dxa"/>
            <w:tcBorders>
              <w:top w:val="nil"/>
              <w:left w:val="nil"/>
              <w:bottom w:val="single" w:color="auto" w:sz="8" w:space="0"/>
              <w:right w:val="single" w:color="auto" w:sz="8" w:space="0"/>
            </w:tcBorders>
            <w:shd w:val="clear" w:color="auto" w:fill="auto"/>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112" w:type="dxa"/>
            <w:tcBorders>
              <w:top w:val="nil"/>
              <w:left w:val="nil"/>
              <w:bottom w:val="single" w:color="auto" w:sz="8" w:space="0"/>
              <w:right w:val="single" w:color="auto" w:sz="8" w:space="0"/>
            </w:tcBorders>
            <w:shd w:val="clear" w:color="auto" w:fill="auto"/>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995" w:type="dxa"/>
            <w:tcBorders>
              <w:top w:val="nil"/>
              <w:left w:val="nil"/>
              <w:bottom w:val="single" w:color="auto" w:sz="8" w:space="0"/>
              <w:right w:val="single" w:color="auto" w:sz="8" w:space="0"/>
            </w:tcBorders>
            <w:shd w:val="clear" w:color="auto" w:fill="auto"/>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156" w:type="dxa"/>
            <w:tcBorders>
              <w:top w:val="nil"/>
              <w:left w:val="nil"/>
              <w:bottom w:val="single" w:color="auto" w:sz="8" w:space="0"/>
              <w:right w:val="single" w:color="auto" w:sz="8" w:space="0"/>
            </w:tcBorders>
            <w:shd w:val="clear" w:color="auto" w:fill="auto"/>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136" w:type="dxa"/>
            <w:tcBorders>
              <w:top w:val="nil"/>
              <w:left w:val="nil"/>
              <w:bottom w:val="single" w:color="auto" w:sz="8" w:space="0"/>
              <w:right w:val="single" w:color="auto" w:sz="8" w:space="0"/>
            </w:tcBorders>
            <w:shd w:val="clear" w:color="auto" w:fill="auto"/>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275" w:type="dxa"/>
            <w:tcBorders>
              <w:top w:val="nil"/>
              <w:left w:val="nil"/>
              <w:bottom w:val="single" w:color="auto" w:sz="8" w:space="0"/>
              <w:right w:val="single" w:color="auto" w:sz="8" w:space="0"/>
            </w:tcBorders>
            <w:shd w:val="clear" w:color="auto" w:fill="auto"/>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r>
      <w:tr>
        <w:tblPrEx>
          <w:tblCellMar>
            <w:top w:w="0" w:type="dxa"/>
            <w:left w:w="0" w:type="dxa"/>
            <w:bottom w:w="0" w:type="dxa"/>
            <w:right w:w="0" w:type="dxa"/>
          </w:tblCellMar>
        </w:tblPrEx>
        <w:trPr>
          <w:trHeight w:val="364" w:hRule="atLeast"/>
          <w:jc w:val="center"/>
        </w:trPr>
        <w:tc>
          <w:tcPr>
            <w:tcW w:w="1608" w:type="dxa"/>
            <w:tcBorders>
              <w:top w:val="nil"/>
              <w:left w:val="single" w:color="auto" w:sz="8" w:space="0"/>
              <w:bottom w:val="single" w:color="auto" w:sz="8" w:space="0"/>
              <w:right w:val="single" w:color="auto" w:sz="8" w:space="0"/>
            </w:tcBorders>
            <w:shd w:val="clear" w:color="auto" w:fill="auto"/>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因公出国费用</w:t>
            </w:r>
          </w:p>
        </w:tc>
        <w:tc>
          <w:tcPr>
            <w:tcW w:w="1054" w:type="dxa"/>
            <w:tcBorders>
              <w:top w:val="nil"/>
              <w:left w:val="nil"/>
              <w:bottom w:val="single" w:color="auto" w:sz="8" w:space="0"/>
              <w:right w:val="single" w:color="auto" w:sz="8" w:space="0"/>
            </w:tcBorders>
            <w:shd w:val="clear" w:color="auto" w:fill="auto"/>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112" w:type="dxa"/>
            <w:tcBorders>
              <w:top w:val="nil"/>
              <w:left w:val="nil"/>
              <w:bottom w:val="single" w:color="auto" w:sz="8" w:space="0"/>
              <w:right w:val="single" w:color="auto" w:sz="8" w:space="0"/>
            </w:tcBorders>
            <w:shd w:val="clear" w:color="auto" w:fill="auto"/>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995" w:type="dxa"/>
            <w:tcBorders>
              <w:top w:val="nil"/>
              <w:left w:val="nil"/>
              <w:bottom w:val="single" w:color="auto" w:sz="8" w:space="0"/>
              <w:right w:val="single" w:color="auto" w:sz="8" w:space="0"/>
            </w:tcBorders>
            <w:shd w:val="clear" w:color="auto" w:fill="auto"/>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156" w:type="dxa"/>
            <w:tcBorders>
              <w:top w:val="nil"/>
              <w:left w:val="nil"/>
              <w:bottom w:val="single" w:color="auto" w:sz="8" w:space="0"/>
              <w:right w:val="single" w:color="auto" w:sz="8" w:space="0"/>
            </w:tcBorders>
            <w:shd w:val="clear" w:color="auto" w:fill="auto"/>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136" w:type="dxa"/>
            <w:tcBorders>
              <w:top w:val="nil"/>
              <w:left w:val="nil"/>
              <w:bottom w:val="single" w:color="auto" w:sz="8" w:space="0"/>
              <w:right w:val="single" w:color="auto" w:sz="8" w:space="0"/>
            </w:tcBorders>
            <w:shd w:val="clear" w:color="auto" w:fill="auto"/>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275" w:type="dxa"/>
            <w:tcBorders>
              <w:top w:val="nil"/>
              <w:left w:val="nil"/>
              <w:bottom w:val="single" w:color="auto" w:sz="8" w:space="0"/>
              <w:right w:val="single" w:color="auto" w:sz="8" w:space="0"/>
            </w:tcBorders>
            <w:shd w:val="clear" w:color="auto" w:fill="auto"/>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r>
      <w:tr>
        <w:tblPrEx>
          <w:tblCellMar>
            <w:top w:w="0" w:type="dxa"/>
            <w:left w:w="0" w:type="dxa"/>
            <w:bottom w:w="0" w:type="dxa"/>
            <w:right w:w="0" w:type="dxa"/>
          </w:tblCellMar>
        </w:tblPrEx>
        <w:trPr>
          <w:trHeight w:val="364" w:hRule="atLeast"/>
          <w:jc w:val="center"/>
        </w:trPr>
        <w:tc>
          <w:tcPr>
            <w:tcW w:w="1608" w:type="dxa"/>
            <w:tcBorders>
              <w:top w:val="nil"/>
              <w:left w:val="single" w:color="auto" w:sz="8" w:space="0"/>
              <w:bottom w:val="single" w:color="auto" w:sz="8" w:space="0"/>
              <w:right w:val="single" w:color="auto" w:sz="8" w:space="0"/>
            </w:tcBorders>
            <w:shd w:val="clear" w:color="auto" w:fill="auto"/>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054" w:type="dxa"/>
            <w:tcBorders>
              <w:top w:val="nil"/>
              <w:left w:val="nil"/>
              <w:bottom w:val="single" w:color="auto" w:sz="8" w:space="0"/>
              <w:right w:val="single" w:color="auto" w:sz="8" w:space="0"/>
            </w:tcBorders>
            <w:shd w:val="clear" w:color="auto" w:fill="auto"/>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112" w:type="dxa"/>
            <w:tcBorders>
              <w:top w:val="nil"/>
              <w:left w:val="nil"/>
              <w:bottom w:val="single" w:color="auto" w:sz="8" w:space="0"/>
              <w:right w:val="single" w:color="auto" w:sz="8" w:space="0"/>
            </w:tcBorders>
            <w:shd w:val="clear" w:color="auto" w:fill="auto"/>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995" w:type="dxa"/>
            <w:tcBorders>
              <w:top w:val="nil"/>
              <w:left w:val="nil"/>
              <w:bottom w:val="single" w:color="auto" w:sz="8" w:space="0"/>
              <w:right w:val="single" w:color="auto" w:sz="8" w:space="0"/>
            </w:tcBorders>
            <w:shd w:val="clear" w:color="auto" w:fill="auto"/>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156" w:type="dxa"/>
            <w:tcBorders>
              <w:top w:val="nil"/>
              <w:left w:val="nil"/>
              <w:bottom w:val="single" w:color="auto" w:sz="8" w:space="0"/>
              <w:right w:val="single" w:color="auto" w:sz="8" w:space="0"/>
            </w:tcBorders>
            <w:shd w:val="clear" w:color="auto" w:fill="auto"/>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136" w:type="dxa"/>
            <w:tcBorders>
              <w:top w:val="nil"/>
              <w:left w:val="nil"/>
              <w:bottom w:val="single" w:color="auto" w:sz="8" w:space="0"/>
              <w:right w:val="single" w:color="auto" w:sz="8" w:space="0"/>
            </w:tcBorders>
            <w:shd w:val="clear" w:color="auto" w:fill="auto"/>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275" w:type="dxa"/>
            <w:tcBorders>
              <w:top w:val="nil"/>
              <w:left w:val="nil"/>
              <w:bottom w:val="single" w:color="auto" w:sz="8" w:space="0"/>
              <w:right w:val="single" w:color="auto" w:sz="8" w:space="0"/>
            </w:tcBorders>
            <w:shd w:val="clear" w:color="auto" w:fill="auto"/>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r>
      <w:tr>
        <w:tblPrEx>
          <w:tblCellMar>
            <w:top w:w="0" w:type="dxa"/>
            <w:left w:w="0" w:type="dxa"/>
            <w:bottom w:w="0" w:type="dxa"/>
            <w:right w:w="0" w:type="dxa"/>
          </w:tblCellMar>
        </w:tblPrEx>
        <w:trPr>
          <w:trHeight w:val="399" w:hRule="atLeast"/>
          <w:jc w:val="center"/>
        </w:trPr>
        <w:tc>
          <w:tcPr>
            <w:tcW w:w="1608" w:type="dxa"/>
            <w:tcBorders>
              <w:top w:val="nil"/>
              <w:left w:val="single" w:color="auto" w:sz="8" w:space="0"/>
              <w:bottom w:val="single" w:color="auto" w:sz="8" w:space="0"/>
              <w:right w:val="single" w:color="auto" w:sz="8" w:space="0"/>
            </w:tcBorders>
            <w:shd w:val="clear" w:color="auto" w:fill="D9D9D9"/>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合计</w:t>
            </w:r>
          </w:p>
        </w:tc>
        <w:tc>
          <w:tcPr>
            <w:tcW w:w="1054" w:type="dxa"/>
            <w:tcBorders>
              <w:top w:val="nil"/>
              <w:left w:val="nil"/>
              <w:bottom w:val="single" w:color="auto" w:sz="8" w:space="0"/>
              <w:right w:val="single" w:color="auto" w:sz="8" w:space="0"/>
            </w:tcBorders>
            <w:shd w:val="clear" w:color="auto" w:fill="D9D9D9"/>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17</w:t>
            </w:r>
          </w:p>
        </w:tc>
        <w:tc>
          <w:tcPr>
            <w:tcW w:w="1112" w:type="dxa"/>
            <w:tcBorders>
              <w:top w:val="nil"/>
              <w:left w:val="nil"/>
              <w:bottom w:val="single" w:color="auto" w:sz="8" w:space="0"/>
              <w:right w:val="single" w:color="auto" w:sz="8" w:space="0"/>
            </w:tcBorders>
            <w:shd w:val="clear" w:color="auto" w:fill="D9D9D9"/>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995" w:type="dxa"/>
            <w:tcBorders>
              <w:top w:val="nil"/>
              <w:left w:val="nil"/>
              <w:bottom w:val="single" w:color="auto" w:sz="8" w:space="0"/>
              <w:right w:val="single" w:color="auto" w:sz="8" w:space="0"/>
            </w:tcBorders>
            <w:shd w:val="clear" w:color="auto" w:fill="D9D9D9"/>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10</w:t>
            </w:r>
          </w:p>
        </w:tc>
        <w:tc>
          <w:tcPr>
            <w:tcW w:w="1156" w:type="dxa"/>
            <w:tcBorders>
              <w:top w:val="nil"/>
              <w:left w:val="nil"/>
              <w:bottom w:val="single" w:color="auto" w:sz="8" w:space="0"/>
              <w:right w:val="single" w:color="auto" w:sz="8" w:space="0"/>
            </w:tcBorders>
            <w:shd w:val="clear" w:color="auto" w:fill="D9D9D9"/>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136" w:type="dxa"/>
            <w:tcBorders>
              <w:top w:val="nil"/>
              <w:left w:val="nil"/>
              <w:bottom w:val="single" w:color="auto" w:sz="8" w:space="0"/>
              <w:right w:val="single" w:color="auto" w:sz="8" w:space="0"/>
            </w:tcBorders>
            <w:shd w:val="clear" w:color="auto" w:fill="D9D9D9"/>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-7</w:t>
            </w:r>
          </w:p>
        </w:tc>
        <w:tc>
          <w:tcPr>
            <w:tcW w:w="1275" w:type="dxa"/>
            <w:tcBorders>
              <w:top w:val="nil"/>
              <w:left w:val="nil"/>
              <w:bottom w:val="single" w:color="auto" w:sz="8" w:space="0"/>
              <w:right w:val="single" w:color="auto" w:sz="8" w:space="0"/>
            </w:tcBorders>
            <w:shd w:val="clear" w:color="auto" w:fill="D9D9D9"/>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150" w:right="0" w:firstLine="64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rPr>
        <w:t>公车运行维护超1万元，主要为单位公务用车交至公车平台之前未结清的公车运行维护。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hanging="48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rPr>
        <w:t>2、“三公经费”与上年度比较</w:t>
      </w:r>
    </w:p>
    <w:tbl>
      <w:tblPr>
        <w:tblStyle w:val="5"/>
        <w:tblW w:w="7955" w:type="dxa"/>
        <w:jc w:val="center"/>
        <w:shd w:val="clear" w:color="auto" w:fill="auto"/>
        <w:tblLayout w:type="fixed"/>
        <w:tblCellMar>
          <w:top w:w="0" w:type="dxa"/>
          <w:left w:w="0" w:type="dxa"/>
          <w:bottom w:w="0" w:type="dxa"/>
          <w:right w:w="0" w:type="dxa"/>
        </w:tblCellMar>
      </w:tblPr>
      <w:tblGrid>
        <w:gridCol w:w="1795"/>
        <w:gridCol w:w="1179"/>
        <w:gridCol w:w="1255"/>
        <w:gridCol w:w="1249"/>
        <w:gridCol w:w="2477"/>
      </w:tblGrid>
      <w:tr>
        <w:tblPrEx>
          <w:shd w:val="clear" w:color="auto" w:fill="auto"/>
          <w:tblCellMar>
            <w:top w:w="0" w:type="dxa"/>
            <w:left w:w="0" w:type="dxa"/>
            <w:bottom w:w="0" w:type="dxa"/>
            <w:right w:w="0" w:type="dxa"/>
          </w:tblCellMar>
        </w:tblPrEx>
        <w:trPr>
          <w:trHeight w:val="331" w:hRule="atLeast"/>
          <w:jc w:val="center"/>
        </w:trPr>
        <w:tc>
          <w:tcPr>
            <w:tcW w:w="1795" w:type="dxa"/>
            <w:tcBorders>
              <w:top w:val="single" w:color="000000" w:sz="8" w:space="0"/>
              <w:left w:val="single" w:color="000000" w:sz="8" w:space="0"/>
              <w:bottom w:val="single" w:color="000000" w:sz="8" w:space="0"/>
              <w:right w:val="single" w:color="000000" w:sz="8" w:space="0"/>
            </w:tcBorders>
            <w:shd w:val="clear" w:color="auto" w:fill="D9D9D9"/>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费用项目</w:t>
            </w:r>
          </w:p>
        </w:tc>
        <w:tc>
          <w:tcPr>
            <w:tcW w:w="1179" w:type="dxa"/>
            <w:tcBorders>
              <w:top w:val="single" w:color="auto" w:sz="8" w:space="0"/>
              <w:left w:val="nil"/>
              <w:bottom w:val="single" w:color="auto" w:sz="8" w:space="0"/>
              <w:right w:val="single" w:color="auto" w:sz="8" w:space="0"/>
            </w:tcBorders>
            <w:shd w:val="clear" w:color="auto" w:fill="D9D9D9"/>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本年金额</w:t>
            </w:r>
          </w:p>
        </w:tc>
        <w:tc>
          <w:tcPr>
            <w:tcW w:w="1255" w:type="dxa"/>
            <w:tcBorders>
              <w:top w:val="single" w:color="auto" w:sz="8" w:space="0"/>
              <w:left w:val="nil"/>
              <w:bottom w:val="single" w:color="auto" w:sz="8" w:space="0"/>
              <w:right w:val="single" w:color="auto" w:sz="8" w:space="0"/>
            </w:tcBorders>
            <w:shd w:val="clear" w:color="auto" w:fill="D9D9D9"/>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上年金额</w:t>
            </w:r>
          </w:p>
        </w:tc>
        <w:tc>
          <w:tcPr>
            <w:tcW w:w="1249" w:type="dxa"/>
            <w:tcBorders>
              <w:top w:val="single" w:color="auto" w:sz="8" w:space="0"/>
              <w:left w:val="nil"/>
              <w:bottom w:val="single" w:color="auto" w:sz="8" w:space="0"/>
              <w:right w:val="single" w:color="auto" w:sz="8" w:space="0"/>
            </w:tcBorders>
            <w:shd w:val="clear" w:color="auto" w:fill="D9D9D9"/>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增减额</w:t>
            </w:r>
          </w:p>
        </w:tc>
        <w:tc>
          <w:tcPr>
            <w:tcW w:w="2477" w:type="dxa"/>
            <w:tcBorders>
              <w:top w:val="single" w:color="auto" w:sz="8" w:space="0"/>
              <w:left w:val="nil"/>
              <w:bottom w:val="single" w:color="auto" w:sz="8" w:space="0"/>
              <w:right w:val="single" w:color="auto" w:sz="8" w:space="0"/>
            </w:tcBorders>
            <w:shd w:val="clear" w:color="auto" w:fill="D9D9D9"/>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增减率%</w:t>
            </w:r>
          </w:p>
        </w:tc>
      </w:tr>
      <w:tr>
        <w:tblPrEx>
          <w:shd w:val="clear" w:color="auto" w:fill="auto"/>
          <w:tblCellMar>
            <w:top w:w="0" w:type="dxa"/>
            <w:left w:w="0" w:type="dxa"/>
            <w:bottom w:w="0" w:type="dxa"/>
            <w:right w:w="0" w:type="dxa"/>
          </w:tblCellMar>
        </w:tblPrEx>
        <w:trPr>
          <w:trHeight w:val="331" w:hRule="atLeast"/>
          <w:jc w:val="center"/>
        </w:trPr>
        <w:tc>
          <w:tcPr>
            <w:tcW w:w="1795" w:type="dxa"/>
            <w:tcBorders>
              <w:top w:val="nil"/>
              <w:left w:val="single" w:color="auto" w:sz="8" w:space="0"/>
              <w:bottom w:val="single" w:color="auto" w:sz="8" w:space="0"/>
              <w:right w:val="single" w:color="auto" w:sz="8" w:space="0"/>
            </w:tcBorders>
            <w:shd w:val="clear" w:color="auto" w:fill="auto"/>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公务接待费</w:t>
            </w:r>
          </w:p>
        </w:tc>
        <w:tc>
          <w:tcPr>
            <w:tcW w:w="1179" w:type="dxa"/>
            <w:tcBorders>
              <w:top w:val="nil"/>
              <w:left w:val="nil"/>
              <w:bottom w:val="single" w:color="auto" w:sz="8" w:space="0"/>
              <w:right w:val="single" w:color="auto" w:sz="8" w:space="0"/>
            </w:tcBorders>
            <w:shd w:val="clear" w:color="auto" w:fill="auto"/>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9</w:t>
            </w:r>
          </w:p>
        </w:tc>
        <w:tc>
          <w:tcPr>
            <w:tcW w:w="1255" w:type="dxa"/>
            <w:tcBorders>
              <w:top w:val="nil"/>
              <w:left w:val="nil"/>
              <w:bottom w:val="single" w:color="auto" w:sz="8" w:space="0"/>
              <w:right w:val="single" w:color="auto" w:sz="8" w:space="0"/>
            </w:tcBorders>
            <w:shd w:val="clear" w:color="auto" w:fill="auto"/>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9</w:t>
            </w:r>
          </w:p>
        </w:tc>
        <w:tc>
          <w:tcPr>
            <w:tcW w:w="1249" w:type="dxa"/>
            <w:tcBorders>
              <w:top w:val="nil"/>
              <w:left w:val="nil"/>
              <w:bottom w:val="single" w:color="auto" w:sz="8" w:space="0"/>
              <w:right w:val="single" w:color="auto" w:sz="8" w:space="0"/>
            </w:tcBorders>
            <w:shd w:val="clear" w:color="auto" w:fill="auto"/>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0</w:t>
            </w:r>
          </w:p>
        </w:tc>
        <w:tc>
          <w:tcPr>
            <w:tcW w:w="2477" w:type="dxa"/>
            <w:tcBorders>
              <w:top w:val="nil"/>
              <w:left w:val="nil"/>
              <w:bottom w:val="single" w:color="auto" w:sz="8" w:space="0"/>
              <w:right w:val="single" w:color="auto" w:sz="8" w:space="0"/>
            </w:tcBorders>
            <w:shd w:val="clear" w:color="auto" w:fill="auto"/>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r>
      <w:tr>
        <w:tblPrEx>
          <w:shd w:val="clear" w:color="auto" w:fill="auto"/>
          <w:tblCellMar>
            <w:top w:w="0" w:type="dxa"/>
            <w:left w:w="0" w:type="dxa"/>
            <w:bottom w:w="0" w:type="dxa"/>
            <w:right w:w="0" w:type="dxa"/>
          </w:tblCellMar>
        </w:tblPrEx>
        <w:trPr>
          <w:trHeight w:val="331" w:hRule="atLeast"/>
          <w:jc w:val="center"/>
        </w:trPr>
        <w:tc>
          <w:tcPr>
            <w:tcW w:w="1795" w:type="dxa"/>
            <w:tcBorders>
              <w:top w:val="nil"/>
              <w:left w:val="single" w:color="auto" w:sz="8" w:space="0"/>
              <w:bottom w:val="single" w:color="auto" w:sz="8" w:space="0"/>
              <w:right w:val="single" w:color="auto" w:sz="8" w:space="0"/>
            </w:tcBorders>
            <w:shd w:val="clear" w:color="auto" w:fill="auto"/>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公车运行维护费</w:t>
            </w:r>
          </w:p>
        </w:tc>
        <w:tc>
          <w:tcPr>
            <w:tcW w:w="1179" w:type="dxa"/>
            <w:tcBorders>
              <w:top w:val="nil"/>
              <w:left w:val="nil"/>
              <w:bottom w:val="single" w:color="auto" w:sz="8" w:space="0"/>
              <w:right w:val="single" w:color="auto" w:sz="8" w:space="0"/>
            </w:tcBorders>
            <w:shd w:val="clear" w:color="auto" w:fill="auto"/>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1</w:t>
            </w:r>
          </w:p>
        </w:tc>
        <w:tc>
          <w:tcPr>
            <w:tcW w:w="1255" w:type="dxa"/>
            <w:tcBorders>
              <w:top w:val="nil"/>
              <w:left w:val="nil"/>
              <w:bottom w:val="single" w:color="auto" w:sz="8" w:space="0"/>
              <w:right w:val="single" w:color="auto" w:sz="8" w:space="0"/>
            </w:tcBorders>
            <w:shd w:val="clear" w:color="auto" w:fill="auto"/>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249" w:type="dxa"/>
            <w:tcBorders>
              <w:top w:val="nil"/>
              <w:left w:val="nil"/>
              <w:bottom w:val="single" w:color="auto" w:sz="8" w:space="0"/>
              <w:right w:val="single" w:color="auto" w:sz="8" w:space="0"/>
            </w:tcBorders>
            <w:shd w:val="clear" w:color="auto" w:fill="auto"/>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2477" w:type="dxa"/>
            <w:tcBorders>
              <w:top w:val="nil"/>
              <w:left w:val="nil"/>
              <w:bottom w:val="single" w:color="auto" w:sz="8" w:space="0"/>
              <w:right w:val="single" w:color="auto" w:sz="8" w:space="0"/>
            </w:tcBorders>
            <w:shd w:val="clear" w:color="auto" w:fill="auto"/>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r>
      <w:tr>
        <w:tblPrEx>
          <w:shd w:val="clear" w:color="auto" w:fill="auto"/>
          <w:tblCellMar>
            <w:top w:w="0" w:type="dxa"/>
            <w:left w:w="0" w:type="dxa"/>
            <w:bottom w:w="0" w:type="dxa"/>
            <w:right w:w="0" w:type="dxa"/>
          </w:tblCellMar>
        </w:tblPrEx>
        <w:trPr>
          <w:trHeight w:val="331" w:hRule="atLeast"/>
          <w:jc w:val="center"/>
        </w:trPr>
        <w:tc>
          <w:tcPr>
            <w:tcW w:w="1795" w:type="dxa"/>
            <w:tcBorders>
              <w:top w:val="nil"/>
              <w:left w:val="single" w:color="auto" w:sz="8" w:space="0"/>
              <w:bottom w:val="single" w:color="auto" w:sz="8" w:space="0"/>
              <w:right w:val="single" w:color="auto" w:sz="8" w:space="0"/>
            </w:tcBorders>
            <w:shd w:val="clear" w:color="auto" w:fill="auto"/>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公务车辆购置费</w:t>
            </w:r>
          </w:p>
        </w:tc>
        <w:tc>
          <w:tcPr>
            <w:tcW w:w="1179" w:type="dxa"/>
            <w:tcBorders>
              <w:top w:val="nil"/>
              <w:left w:val="nil"/>
              <w:bottom w:val="single" w:color="auto" w:sz="8" w:space="0"/>
              <w:right w:val="single" w:color="auto" w:sz="8" w:space="0"/>
            </w:tcBorders>
            <w:shd w:val="clear" w:color="auto" w:fill="auto"/>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255" w:type="dxa"/>
            <w:tcBorders>
              <w:top w:val="nil"/>
              <w:left w:val="nil"/>
              <w:bottom w:val="single" w:color="auto" w:sz="8" w:space="0"/>
              <w:right w:val="single" w:color="auto" w:sz="8" w:space="0"/>
            </w:tcBorders>
            <w:shd w:val="clear" w:color="auto" w:fill="auto"/>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249" w:type="dxa"/>
            <w:tcBorders>
              <w:top w:val="nil"/>
              <w:left w:val="nil"/>
              <w:bottom w:val="single" w:color="auto" w:sz="8" w:space="0"/>
              <w:right w:val="single" w:color="auto" w:sz="8" w:space="0"/>
            </w:tcBorders>
            <w:shd w:val="clear" w:color="auto" w:fill="auto"/>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2477" w:type="dxa"/>
            <w:tcBorders>
              <w:top w:val="nil"/>
              <w:left w:val="nil"/>
              <w:bottom w:val="single" w:color="auto" w:sz="8" w:space="0"/>
              <w:right w:val="single" w:color="auto" w:sz="8" w:space="0"/>
            </w:tcBorders>
            <w:shd w:val="clear" w:color="auto" w:fill="auto"/>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r>
      <w:tr>
        <w:tblPrEx>
          <w:tblCellMar>
            <w:top w:w="0" w:type="dxa"/>
            <w:left w:w="0" w:type="dxa"/>
            <w:bottom w:w="0" w:type="dxa"/>
            <w:right w:w="0" w:type="dxa"/>
          </w:tblCellMar>
        </w:tblPrEx>
        <w:trPr>
          <w:trHeight w:val="331" w:hRule="atLeast"/>
          <w:jc w:val="center"/>
        </w:trPr>
        <w:tc>
          <w:tcPr>
            <w:tcW w:w="1795" w:type="dxa"/>
            <w:tcBorders>
              <w:top w:val="nil"/>
              <w:left w:val="single" w:color="auto" w:sz="8" w:space="0"/>
              <w:bottom w:val="single" w:color="auto" w:sz="8" w:space="0"/>
              <w:right w:val="single" w:color="auto" w:sz="8" w:space="0"/>
            </w:tcBorders>
            <w:shd w:val="clear" w:color="auto" w:fill="auto"/>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因公出国(境)费用</w:t>
            </w:r>
          </w:p>
        </w:tc>
        <w:tc>
          <w:tcPr>
            <w:tcW w:w="1179" w:type="dxa"/>
            <w:tcBorders>
              <w:top w:val="nil"/>
              <w:left w:val="nil"/>
              <w:bottom w:val="single" w:color="auto" w:sz="8" w:space="0"/>
              <w:right w:val="single" w:color="auto" w:sz="8" w:space="0"/>
            </w:tcBorders>
            <w:shd w:val="clear" w:color="auto" w:fill="auto"/>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255" w:type="dxa"/>
            <w:tcBorders>
              <w:top w:val="nil"/>
              <w:left w:val="nil"/>
              <w:bottom w:val="single" w:color="auto" w:sz="8" w:space="0"/>
              <w:right w:val="single" w:color="auto" w:sz="8" w:space="0"/>
            </w:tcBorders>
            <w:shd w:val="clear" w:color="auto" w:fill="auto"/>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249" w:type="dxa"/>
            <w:tcBorders>
              <w:top w:val="nil"/>
              <w:left w:val="nil"/>
              <w:bottom w:val="single" w:color="auto" w:sz="8" w:space="0"/>
              <w:right w:val="single" w:color="auto" w:sz="8" w:space="0"/>
            </w:tcBorders>
            <w:shd w:val="clear" w:color="auto" w:fill="auto"/>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2477" w:type="dxa"/>
            <w:tcBorders>
              <w:top w:val="nil"/>
              <w:left w:val="nil"/>
              <w:bottom w:val="single" w:color="auto" w:sz="8" w:space="0"/>
              <w:right w:val="single" w:color="auto" w:sz="8" w:space="0"/>
            </w:tcBorders>
            <w:shd w:val="clear" w:color="auto" w:fill="auto"/>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r>
      <w:tr>
        <w:tblPrEx>
          <w:tblCellMar>
            <w:top w:w="0" w:type="dxa"/>
            <w:left w:w="0" w:type="dxa"/>
            <w:bottom w:w="0" w:type="dxa"/>
            <w:right w:w="0" w:type="dxa"/>
          </w:tblCellMar>
        </w:tblPrEx>
        <w:trPr>
          <w:trHeight w:val="331" w:hRule="atLeast"/>
          <w:jc w:val="center"/>
        </w:trPr>
        <w:tc>
          <w:tcPr>
            <w:tcW w:w="1795" w:type="dxa"/>
            <w:tcBorders>
              <w:top w:val="nil"/>
              <w:left w:val="single" w:color="auto" w:sz="8" w:space="0"/>
              <w:bottom w:val="single" w:color="auto" w:sz="8" w:space="0"/>
              <w:right w:val="single" w:color="auto" w:sz="8" w:space="0"/>
            </w:tcBorders>
            <w:shd w:val="clear" w:color="auto" w:fill="auto"/>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179" w:type="dxa"/>
            <w:tcBorders>
              <w:top w:val="nil"/>
              <w:left w:val="nil"/>
              <w:bottom w:val="single" w:color="auto" w:sz="8" w:space="0"/>
              <w:right w:val="single" w:color="auto" w:sz="8" w:space="0"/>
            </w:tcBorders>
            <w:shd w:val="clear" w:color="auto" w:fill="auto"/>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255" w:type="dxa"/>
            <w:tcBorders>
              <w:top w:val="nil"/>
              <w:left w:val="nil"/>
              <w:bottom w:val="single" w:color="auto" w:sz="8" w:space="0"/>
              <w:right w:val="single" w:color="auto" w:sz="8" w:space="0"/>
            </w:tcBorders>
            <w:shd w:val="clear" w:color="auto" w:fill="auto"/>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249" w:type="dxa"/>
            <w:tcBorders>
              <w:top w:val="nil"/>
              <w:left w:val="nil"/>
              <w:bottom w:val="single" w:color="auto" w:sz="8" w:space="0"/>
              <w:right w:val="single" w:color="auto" w:sz="8" w:space="0"/>
            </w:tcBorders>
            <w:shd w:val="clear" w:color="auto" w:fill="auto"/>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2477" w:type="dxa"/>
            <w:tcBorders>
              <w:top w:val="nil"/>
              <w:left w:val="nil"/>
              <w:bottom w:val="single" w:color="auto" w:sz="8" w:space="0"/>
              <w:right w:val="single" w:color="auto" w:sz="8" w:space="0"/>
            </w:tcBorders>
            <w:shd w:val="clear" w:color="auto" w:fill="auto"/>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r>
      <w:tr>
        <w:tblPrEx>
          <w:tblCellMar>
            <w:top w:w="0" w:type="dxa"/>
            <w:left w:w="0" w:type="dxa"/>
            <w:bottom w:w="0" w:type="dxa"/>
            <w:right w:w="0" w:type="dxa"/>
          </w:tblCellMar>
        </w:tblPrEx>
        <w:trPr>
          <w:trHeight w:val="369" w:hRule="atLeast"/>
          <w:jc w:val="center"/>
        </w:trPr>
        <w:tc>
          <w:tcPr>
            <w:tcW w:w="1795" w:type="dxa"/>
            <w:tcBorders>
              <w:top w:val="nil"/>
              <w:left w:val="single" w:color="auto" w:sz="8" w:space="0"/>
              <w:bottom w:val="single" w:color="auto" w:sz="8" w:space="0"/>
              <w:right w:val="single" w:color="auto" w:sz="8" w:space="0"/>
            </w:tcBorders>
            <w:shd w:val="clear" w:color="auto" w:fill="D9D9D9"/>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合计</w:t>
            </w:r>
          </w:p>
        </w:tc>
        <w:tc>
          <w:tcPr>
            <w:tcW w:w="1179" w:type="dxa"/>
            <w:tcBorders>
              <w:top w:val="nil"/>
              <w:left w:val="nil"/>
              <w:bottom w:val="single" w:color="auto" w:sz="8" w:space="0"/>
              <w:right w:val="single" w:color="auto" w:sz="8" w:space="0"/>
            </w:tcBorders>
            <w:shd w:val="clear" w:color="auto" w:fill="D9D9D9"/>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10</w:t>
            </w:r>
          </w:p>
        </w:tc>
        <w:tc>
          <w:tcPr>
            <w:tcW w:w="1255" w:type="dxa"/>
            <w:tcBorders>
              <w:top w:val="nil"/>
              <w:left w:val="nil"/>
              <w:bottom w:val="single" w:color="auto" w:sz="8" w:space="0"/>
              <w:right w:val="single" w:color="auto" w:sz="8" w:space="0"/>
            </w:tcBorders>
            <w:shd w:val="clear" w:color="auto" w:fill="D9D9D9"/>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9</w:t>
            </w:r>
          </w:p>
        </w:tc>
        <w:tc>
          <w:tcPr>
            <w:tcW w:w="1249" w:type="dxa"/>
            <w:tcBorders>
              <w:top w:val="nil"/>
              <w:left w:val="nil"/>
              <w:bottom w:val="single" w:color="auto" w:sz="8" w:space="0"/>
              <w:right w:val="single" w:color="auto" w:sz="8" w:space="0"/>
            </w:tcBorders>
            <w:shd w:val="clear" w:color="auto" w:fill="D9D9D9"/>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0</w:t>
            </w:r>
          </w:p>
        </w:tc>
        <w:tc>
          <w:tcPr>
            <w:tcW w:w="2477" w:type="dxa"/>
            <w:tcBorders>
              <w:top w:val="nil"/>
              <w:left w:val="nil"/>
              <w:bottom w:val="single" w:color="auto" w:sz="8" w:space="0"/>
              <w:right w:val="single" w:color="auto" w:sz="8" w:space="0"/>
            </w:tcBorders>
            <w:shd w:val="clear" w:color="auto" w:fill="D9D9D9"/>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150" w:right="0" w:firstLine="64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rPr>
        <w:t>我局按照中央、省和县委县政府要求，厉行节约，继续严控“三公”经费。公车运行维护超1万元，主要为单位公务用车交至公车平台之前未结清的公车运行维护。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150" w:right="0" w:firstLine="64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rPr>
        <w:t>（三）专项支出管理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638" w:right="0" w:firstLine="16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rPr>
        <w:t>1、专项资金基本情况及绩效目标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150" w:right="0" w:firstLine="64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rPr>
        <w:t>2020年部门专项支出项目13个，共计502万元。其中：环保执法与监测支出24万元，用于环保执法、监督监察以及日常监测等相关支出；环境监测能力建设支出58万元，用于环境监测能力建设方面的开支；污染减排16万，用于日常污染减排工作及检查开支；环保应急处置16万，用于应对环保突发事件相关支出；空气自动监测站运行16万，用于空气自动监测站运行维护管理；环境监测费取消补助20万元，用于环境监测相关支出；生态功能县考核监测专项经费100万元，用于对生态功能县监测、检查、考核等支出；环保督察工作经费24万元，用于中央、省、市环保督察工作等相关开支；排污治理48万元，用于环境污染治理开支；蓝天保卫战工作经费20万元，用于蓝天保卫战工作的宣传、督察、排查等开支；县域生态功能县考核环境监测及资料编制（第三方）105万元，按上级部门要求，将县生态功能考核监测数据监测及上报工作委托第三方公司，每季度需上报饮用水、地表水、重点污染源等生态考核监测进行考核；生态功能县考核各部门工作经费30万元，为搞好生态功能县考核工作，我局需协同县15个相关部门单位进行数据自查统计、汇总上报等工作经费；农村环境质量监测25万元，用于农村环境空气质量监测、村庄饮用水源地水质监测等项目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150" w:right="0" w:firstLine="64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rPr>
        <w:t>2、专项资金预算执行</w:t>
      </w:r>
    </w:p>
    <w:tbl>
      <w:tblPr>
        <w:tblStyle w:val="5"/>
        <w:tblW w:w="8336" w:type="dxa"/>
        <w:tblInd w:w="0" w:type="dxa"/>
        <w:shd w:val="clear" w:color="auto" w:fill="auto"/>
        <w:tblLayout w:type="fixed"/>
        <w:tblCellMar>
          <w:top w:w="0" w:type="dxa"/>
          <w:left w:w="0" w:type="dxa"/>
          <w:bottom w:w="0" w:type="dxa"/>
          <w:right w:w="0" w:type="dxa"/>
        </w:tblCellMar>
      </w:tblPr>
      <w:tblGrid>
        <w:gridCol w:w="2418"/>
        <w:gridCol w:w="622"/>
        <w:gridCol w:w="555"/>
        <w:gridCol w:w="572"/>
        <w:gridCol w:w="653"/>
        <w:gridCol w:w="700"/>
        <w:gridCol w:w="1010"/>
        <w:gridCol w:w="1806"/>
      </w:tblGrid>
      <w:tr>
        <w:tblPrEx>
          <w:shd w:val="clear" w:color="auto" w:fill="auto"/>
          <w:tblCellMar>
            <w:top w:w="0" w:type="dxa"/>
            <w:left w:w="0" w:type="dxa"/>
            <w:bottom w:w="0" w:type="dxa"/>
            <w:right w:w="0" w:type="dxa"/>
          </w:tblCellMar>
        </w:tblPrEx>
        <w:trPr>
          <w:trHeight w:val="415" w:hRule="atLeast"/>
        </w:trPr>
        <w:tc>
          <w:tcPr>
            <w:tcW w:w="2418" w:type="dxa"/>
            <w:vMerge w:val="restart"/>
            <w:tcBorders>
              <w:top w:val="single" w:color="000000" w:sz="12" w:space="0"/>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专项子目名称</w:t>
            </w:r>
          </w:p>
        </w:tc>
        <w:tc>
          <w:tcPr>
            <w:tcW w:w="2402" w:type="dxa"/>
            <w:gridSpan w:val="4"/>
            <w:tcBorders>
              <w:top w:val="single" w:color="auto" w:sz="12" w:space="0"/>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本年预算可用指标</w:t>
            </w:r>
          </w:p>
        </w:tc>
        <w:tc>
          <w:tcPr>
            <w:tcW w:w="700" w:type="dxa"/>
            <w:vMerge w:val="restart"/>
            <w:tcBorders>
              <w:top w:val="single" w:color="auto" w:sz="12" w:space="0"/>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本年实际支出</w:t>
            </w:r>
          </w:p>
        </w:tc>
        <w:tc>
          <w:tcPr>
            <w:tcW w:w="1010" w:type="dxa"/>
            <w:vMerge w:val="restart"/>
            <w:tcBorders>
              <w:top w:val="single" w:color="auto" w:sz="12" w:space="0"/>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本年结余</w:t>
            </w:r>
          </w:p>
        </w:tc>
        <w:tc>
          <w:tcPr>
            <w:tcW w:w="1806" w:type="dxa"/>
            <w:vMerge w:val="restart"/>
            <w:tcBorders>
              <w:top w:val="single" w:color="auto" w:sz="12" w:space="0"/>
              <w:left w:val="nil"/>
              <w:bottom w:val="single" w:color="auto" w:sz="8" w:space="0"/>
              <w:right w:val="single" w:color="auto" w:sz="12"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投入进度</w:t>
            </w:r>
          </w:p>
        </w:tc>
      </w:tr>
      <w:tr>
        <w:tblPrEx>
          <w:shd w:val="clear" w:color="auto" w:fill="auto"/>
          <w:tblCellMar>
            <w:top w:w="0" w:type="dxa"/>
            <w:left w:w="0" w:type="dxa"/>
            <w:bottom w:w="0" w:type="dxa"/>
            <w:right w:w="0" w:type="dxa"/>
          </w:tblCellMar>
        </w:tblPrEx>
        <w:trPr>
          <w:trHeight w:val="756" w:hRule="atLeast"/>
        </w:trPr>
        <w:tc>
          <w:tcPr>
            <w:tcW w:w="2418" w:type="dxa"/>
            <w:vMerge w:val="continue"/>
            <w:tcBorders>
              <w:top w:val="single" w:color="000000" w:sz="12" w:space="0"/>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rPr>
                <w:rFonts w:hint="eastAsia" w:ascii="宋体"/>
                <w:sz w:val="24"/>
                <w:szCs w:val="24"/>
              </w:rPr>
            </w:pPr>
          </w:p>
        </w:tc>
        <w:tc>
          <w:tcPr>
            <w:tcW w:w="622"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上年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结余</w:t>
            </w:r>
          </w:p>
        </w:tc>
        <w:tc>
          <w:tcPr>
            <w:tcW w:w="555"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年初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预算</w:t>
            </w:r>
          </w:p>
        </w:tc>
        <w:tc>
          <w:tcPr>
            <w:tcW w:w="572"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本年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追加</w:t>
            </w:r>
          </w:p>
        </w:tc>
        <w:tc>
          <w:tcPr>
            <w:tcW w:w="653"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合计</w:t>
            </w:r>
          </w:p>
        </w:tc>
        <w:tc>
          <w:tcPr>
            <w:tcW w:w="700" w:type="dxa"/>
            <w:vMerge w:val="continue"/>
            <w:tcBorders>
              <w:top w:val="single" w:color="auto" w:sz="12" w:space="0"/>
              <w:left w:val="nil"/>
              <w:bottom w:val="single" w:color="auto" w:sz="8" w:space="0"/>
              <w:right w:val="single" w:color="auto" w:sz="8" w:space="0"/>
            </w:tcBorders>
            <w:shd w:val="clear" w:color="auto" w:fill="auto"/>
            <w:tcMar>
              <w:top w:w="15" w:type="dxa"/>
              <w:left w:w="15" w:type="dxa"/>
              <w:bottom w:w="15" w:type="dxa"/>
              <w:right w:w="15" w:type="dxa"/>
            </w:tcMar>
            <w:vAlign w:val="center"/>
          </w:tcPr>
          <w:p>
            <w:pPr>
              <w:rPr>
                <w:rFonts w:hint="eastAsia" w:ascii="宋体"/>
                <w:sz w:val="24"/>
                <w:szCs w:val="24"/>
              </w:rPr>
            </w:pPr>
          </w:p>
        </w:tc>
        <w:tc>
          <w:tcPr>
            <w:tcW w:w="1010" w:type="dxa"/>
            <w:vMerge w:val="continue"/>
            <w:tcBorders>
              <w:top w:val="single" w:color="auto" w:sz="12" w:space="0"/>
              <w:left w:val="nil"/>
              <w:bottom w:val="single" w:color="auto" w:sz="8" w:space="0"/>
              <w:right w:val="single" w:color="auto" w:sz="8" w:space="0"/>
            </w:tcBorders>
            <w:shd w:val="clear" w:color="auto" w:fill="auto"/>
            <w:tcMar>
              <w:top w:w="15" w:type="dxa"/>
              <w:left w:w="15" w:type="dxa"/>
              <w:bottom w:w="15" w:type="dxa"/>
              <w:right w:w="15" w:type="dxa"/>
            </w:tcMar>
            <w:vAlign w:val="center"/>
          </w:tcPr>
          <w:p>
            <w:pPr>
              <w:rPr>
                <w:rFonts w:hint="eastAsia" w:ascii="宋体"/>
                <w:sz w:val="24"/>
                <w:szCs w:val="24"/>
              </w:rPr>
            </w:pPr>
          </w:p>
        </w:tc>
        <w:tc>
          <w:tcPr>
            <w:tcW w:w="1806" w:type="dxa"/>
            <w:vMerge w:val="continue"/>
            <w:tcBorders>
              <w:top w:val="single" w:color="auto" w:sz="12" w:space="0"/>
              <w:left w:val="nil"/>
              <w:bottom w:val="single" w:color="auto" w:sz="8" w:space="0"/>
              <w:right w:val="single" w:color="auto" w:sz="12" w:space="0"/>
            </w:tcBorders>
            <w:shd w:val="clear" w:color="auto" w:fill="auto"/>
            <w:tcMar>
              <w:top w:w="15" w:type="dxa"/>
              <w:left w:w="15" w:type="dxa"/>
              <w:bottom w:w="15" w:type="dxa"/>
              <w:right w:w="15" w:type="dxa"/>
            </w:tcMar>
            <w:vAlign w:val="center"/>
          </w:tcPr>
          <w:p>
            <w:pPr>
              <w:rPr>
                <w:rFonts w:hint="eastAsia" w:ascii="宋体"/>
                <w:sz w:val="24"/>
                <w:szCs w:val="24"/>
              </w:rPr>
            </w:pPr>
          </w:p>
        </w:tc>
      </w:tr>
      <w:tr>
        <w:tblPrEx>
          <w:shd w:val="clear" w:color="auto" w:fill="auto"/>
          <w:tblCellMar>
            <w:top w:w="0" w:type="dxa"/>
            <w:left w:w="0" w:type="dxa"/>
            <w:bottom w:w="0" w:type="dxa"/>
            <w:right w:w="0" w:type="dxa"/>
          </w:tblCellMar>
        </w:tblPrEx>
        <w:trPr>
          <w:trHeight w:val="403" w:hRule="atLeast"/>
        </w:trPr>
        <w:tc>
          <w:tcPr>
            <w:tcW w:w="2418" w:type="dxa"/>
            <w:tcBorders>
              <w:top w:val="nil"/>
              <w:left w:val="single" w:color="auto" w:sz="12"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sz w:val="21"/>
                <w:szCs w:val="21"/>
              </w:rPr>
              <w:t>环保执法与监测</w:t>
            </w:r>
          </w:p>
        </w:tc>
        <w:tc>
          <w:tcPr>
            <w:tcW w:w="622"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555"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24</w:t>
            </w:r>
          </w:p>
        </w:tc>
        <w:tc>
          <w:tcPr>
            <w:tcW w:w="572"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653"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24</w:t>
            </w:r>
          </w:p>
        </w:tc>
        <w:tc>
          <w:tcPr>
            <w:tcW w:w="700"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24</w:t>
            </w:r>
          </w:p>
        </w:tc>
        <w:tc>
          <w:tcPr>
            <w:tcW w:w="1010"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806" w:type="dxa"/>
            <w:tcBorders>
              <w:top w:val="nil"/>
              <w:left w:val="nil"/>
              <w:bottom w:val="single" w:color="auto" w:sz="8" w:space="0"/>
              <w:right w:val="single" w:color="auto" w:sz="12"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100%</w:t>
            </w:r>
          </w:p>
        </w:tc>
      </w:tr>
      <w:tr>
        <w:tblPrEx>
          <w:shd w:val="clear" w:color="auto" w:fill="auto"/>
          <w:tblCellMar>
            <w:top w:w="0" w:type="dxa"/>
            <w:left w:w="0" w:type="dxa"/>
            <w:bottom w:w="0" w:type="dxa"/>
            <w:right w:w="0" w:type="dxa"/>
          </w:tblCellMar>
        </w:tblPrEx>
        <w:trPr>
          <w:trHeight w:val="403" w:hRule="atLeast"/>
        </w:trPr>
        <w:tc>
          <w:tcPr>
            <w:tcW w:w="2418" w:type="dxa"/>
            <w:tcBorders>
              <w:top w:val="nil"/>
              <w:left w:val="single" w:color="auto" w:sz="12"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sz w:val="21"/>
                <w:szCs w:val="21"/>
              </w:rPr>
              <w:t>环境监测能力建设（专批）</w:t>
            </w:r>
          </w:p>
        </w:tc>
        <w:tc>
          <w:tcPr>
            <w:tcW w:w="622"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555"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58</w:t>
            </w:r>
          </w:p>
        </w:tc>
        <w:tc>
          <w:tcPr>
            <w:tcW w:w="572"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653"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58</w:t>
            </w:r>
          </w:p>
        </w:tc>
        <w:tc>
          <w:tcPr>
            <w:tcW w:w="700"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58</w:t>
            </w:r>
          </w:p>
        </w:tc>
        <w:tc>
          <w:tcPr>
            <w:tcW w:w="1010"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806" w:type="dxa"/>
            <w:tcBorders>
              <w:top w:val="nil"/>
              <w:left w:val="nil"/>
              <w:bottom w:val="single" w:color="auto" w:sz="8" w:space="0"/>
              <w:right w:val="single" w:color="auto" w:sz="12"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100%</w:t>
            </w:r>
          </w:p>
        </w:tc>
      </w:tr>
      <w:tr>
        <w:tblPrEx>
          <w:shd w:val="clear" w:color="auto" w:fill="auto"/>
          <w:tblCellMar>
            <w:top w:w="0" w:type="dxa"/>
            <w:left w:w="0" w:type="dxa"/>
            <w:bottom w:w="0" w:type="dxa"/>
            <w:right w:w="0" w:type="dxa"/>
          </w:tblCellMar>
        </w:tblPrEx>
        <w:trPr>
          <w:trHeight w:val="403" w:hRule="atLeast"/>
        </w:trPr>
        <w:tc>
          <w:tcPr>
            <w:tcW w:w="2418" w:type="dxa"/>
            <w:tcBorders>
              <w:top w:val="nil"/>
              <w:left w:val="single" w:color="auto" w:sz="12"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sz w:val="21"/>
                <w:szCs w:val="21"/>
              </w:rPr>
              <w:t>污染减排</w:t>
            </w:r>
          </w:p>
        </w:tc>
        <w:tc>
          <w:tcPr>
            <w:tcW w:w="622"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555"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16</w:t>
            </w:r>
          </w:p>
        </w:tc>
        <w:tc>
          <w:tcPr>
            <w:tcW w:w="572"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653"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16</w:t>
            </w:r>
          </w:p>
        </w:tc>
        <w:tc>
          <w:tcPr>
            <w:tcW w:w="700"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16</w:t>
            </w:r>
          </w:p>
        </w:tc>
        <w:tc>
          <w:tcPr>
            <w:tcW w:w="1010"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806" w:type="dxa"/>
            <w:tcBorders>
              <w:top w:val="nil"/>
              <w:left w:val="nil"/>
              <w:bottom w:val="single" w:color="auto" w:sz="8" w:space="0"/>
              <w:right w:val="single" w:color="auto" w:sz="12"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100%</w:t>
            </w:r>
          </w:p>
        </w:tc>
      </w:tr>
      <w:tr>
        <w:tblPrEx>
          <w:shd w:val="clear" w:color="auto" w:fill="auto"/>
          <w:tblCellMar>
            <w:top w:w="0" w:type="dxa"/>
            <w:left w:w="0" w:type="dxa"/>
            <w:bottom w:w="0" w:type="dxa"/>
            <w:right w:w="0" w:type="dxa"/>
          </w:tblCellMar>
        </w:tblPrEx>
        <w:trPr>
          <w:trHeight w:val="403" w:hRule="atLeast"/>
        </w:trPr>
        <w:tc>
          <w:tcPr>
            <w:tcW w:w="2418" w:type="dxa"/>
            <w:tcBorders>
              <w:top w:val="nil"/>
              <w:left w:val="single" w:color="auto" w:sz="12"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sz w:val="21"/>
                <w:szCs w:val="21"/>
              </w:rPr>
              <w:t>环保应急处置</w:t>
            </w:r>
          </w:p>
        </w:tc>
        <w:tc>
          <w:tcPr>
            <w:tcW w:w="622"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555"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16</w:t>
            </w:r>
          </w:p>
        </w:tc>
        <w:tc>
          <w:tcPr>
            <w:tcW w:w="572"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653"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16</w:t>
            </w:r>
          </w:p>
        </w:tc>
        <w:tc>
          <w:tcPr>
            <w:tcW w:w="700"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16</w:t>
            </w:r>
          </w:p>
        </w:tc>
        <w:tc>
          <w:tcPr>
            <w:tcW w:w="1010"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806" w:type="dxa"/>
            <w:tcBorders>
              <w:top w:val="nil"/>
              <w:left w:val="nil"/>
              <w:bottom w:val="single" w:color="auto" w:sz="8" w:space="0"/>
              <w:right w:val="single" w:color="auto" w:sz="12"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100%</w:t>
            </w:r>
          </w:p>
        </w:tc>
      </w:tr>
      <w:tr>
        <w:tblPrEx>
          <w:shd w:val="clear" w:color="auto" w:fill="auto"/>
          <w:tblCellMar>
            <w:top w:w="0" w:type="dxa"/>
            <w:left w:w="0" w:type="dxa"/>
            <w:bottom w:w="0" w:type="dxa"/>
            <w:right w:w="0" w:type="dxa"/>
          </w:tblCellMar>
        </w:tblPrEx>
        <w:trPr>
          <w:trHeight w:val="403" w:hRule="atLeast"/>
        </w:trPr>
        <w:tc>
          <w:tcPr>
            <w:tcW w:w="2418" w:type="dxa"/>
            <w:tcBorders>
              <w:top w:val="nil"/>
              <w:left w:val="single" w:color="auto" w:sz="12"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sz w:val="21"/>
                <w:szCs w:val="21"/>
              </w:rPr>
              <w:t>空气自动监测站运行</w:t>
            </w:r>
          </w:p>
        </w:tc>
        <w:tc>
          <w:tcPr>
            <w:tcW w:w="622"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555"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16</w:t>
            </w:r>
          </w:p>
        </w:tc>
        <w:tc>
          <w:tcPr>
            <w:tcW w:w="572"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653"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16</w:t>
            </w:r>
          </w:p>
        </w:tc>
        <w:tc>
          <w:tcPr>
            <w:tcW w:w="700"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16</w:t>
            </w:r>
          </w:p>
        </w:tc>
        <w:tc>
          <w:tcPr>
            <w:tcW w:w="1010"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806" w:type="dxa"/>
            <w:tcBorders>
              <w:top w:val="nil"/>
              <w:left w:val="nil"/>
              <w:bottom w:val="single" w:color="auto" w:sz="8" w:space="0"/>
              <w:right w:val="single" w:color="auto" w:sz="12"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100%</w:t>
            </w:r>
          </w:p>
        </w:tc>
      </w:tr>
      <w:tr>
        <w:tblPrEx>
          <w:shd w:val="clear" w:color="auto" w:fill="auto"/>
          <w:tblCellMar>
            <w:top w:w="0" w:type="dxa"/>
            <w:left w:w="0" w:type="dxa"/>
            <w:bottom w:w="0" w:type="dxa"/>
            <w:right w:w="0" w:type="dxa"/>
          </w:tblCellMar>
        </w:tblPrEx>
        <w:trPr>
          <w:trHeight w:val="403" w:hRule="atLeast"/>
        </w:trPr>
        <w:tc>
          <w:tcPr>
            <w:tcW w:w="2418" w:type="dxa"/>
            <w:tcBorders>
              <w:top w:val="nil"/>
              <w:left w:val="single" w:color="auto" w:sz="12"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sz w:val="21"/>
                <w:szCs w:val="21"/>
              </w:rPr>
              <w:t>环境监测费取消补助</w:t>
            </w:r>
          </w:p>
        </w:tc>
        <w:tc>
          <w:tcPr>
            <w:tcW w:w="622"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555"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20</w:t>
            </w:r>
          </w:p>
        </w:tc>
        <w:tc>
          <w:tcPr>
            <w:tcW w:w="572"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653"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20</w:t>
            </w:r>
          </w:p>
        </w:tc>
        <w:tc>
          <w:tcPr>
            <w:tcW w:w="700"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20</w:t>
            </w:r>
          </w:p>
        </w:tc>
        <w:tc>
          <w:tcPr>
            <w:tcW w:w="1010"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806" w:type="dxa"/>
            <w:tcBorders>
              <w:top w:val="nil"/>
              <w:left w:val="nil"/>
              <w:bottom w:val="single" w:color="auto" w:sz="8" w:space="0"/>
              <w:right w:val="single" w:color="auto" w:sz="12"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100%</w:t>
            </w:r>
          </w:p>
        </w:tc>
      </w:tr>
      <w:tr>
        <w:tblPrEx>
          <w:shd w:val="clear" w:color="auto" w:fill="auto"/>
          <w:tblCellMar>
            <w:top w:w="0" w:type="dxa"/>
            <w:left w:w="0" w:type="dxa"/>
            <w:bottom w:w="0" w:type="dxa"/>
            <w:right w:w="0" w:type="dxa"/>
          </w:tblCellMar>
        </w:tblPrEx>
        <w:trPr>
          <w:trHeight w:val="403" w:hRule="atLeast"/>
        </w:trPr>
        <w:tc>
          <w:tcPr>
            <w:tcW w:w="2418" w:type="dxa"/>
            <w:tcBorders>
              <w:top w:val="nil"/>
              <w:left w:val="single" w:color="auto" w:sz="12"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sz w:val="21"/>
                <w:szCs w:val="21"/>
              </w:rPr>
              <w:t>生态功能线考核监测专项</w:t>
            </w:r>
          </w:p>
        </w:tc>
        <w:tc>
          <w:tcPr>
            <w:tcW w:w="622"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555"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100</w:t>
            </w:r>
          </w:p>
        </w:tc>
        <w:tc>
          <w:tcPr>
            <w:tcW w:w="572"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653"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100</w:t>
            </w:r>
          </w:p>
        </w:tc>
        <w:tc>
          <w:tcPr>
            <w:tcW w:w="700"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100</w:t>
            </w:r>
          </w:p>
        </w:tc>
        <w:tc>
          <w:tcPr>
            <w:tcW w:w="1010"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806" w:type="dxa"/>
            <w:tcBorders>
              <w:top w:val="nil"/>
              <w:left w:val="nil"/>
              <w:bottom w:val="single" w:color="auto" w:sz="8" w:space="0"/>
              <w:right w:val="single" w:color="auto" w:sz="12"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100%</w:t>
            </w:r>
          </w:p>
        </w:tc>
      </w:tr>
      <w:tr>
        <w:tblPrEx>
          <w:shd w:val="clear" w:color="auto" w:fill="auto"/>
          <w:tblCellMar>
            <w:top w:w="0" w:type="dxa"/>
            <w:left w:w="0" w:type="dxa"/>
            <w:bottom w:w="0" w:type="dxa"/>
            <w:right w:w="0" w:type="dxa"/>
          </w:tblCellMar>
        </w:tblPrEx>
        <w:trPr>
          <w:trHeight w:val="403" w:hRule="atLeast"/>
        </w:trPr>
        <w:tc>
          <w:tcPr>
            <w:tcW w:w="2418" w:type="dxa"/>
            <w:tcBorders>
              <w:top w:val="nil"/>
              <w:left w:val="single" w:color="auto" w:sz="12"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环保督察工作</w:t>
            </w:r>
          </w:p>
        </w:tc>
        <w:tc>
          <w:tcPr>
            <w:tcW w:w="622"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555"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24</w:t>
            </w:r>
          </w:p>
        </w:tc>
        <w:tc>
          <w:tcPr>
            <w:tcW w:w="572"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653"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24</w:t>
            </w:r>
          </w:p>
        </w:tc>
        <w:tc>
          <w:tcPr>
            <w:tcW w:w="700"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24</w:t>
            </w:r>
          </w:p>
        </w:tc>
        <w:tc>
          <w:tcPr>
            <w:tcW w:w="1010"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806" w:type="dxa"/>
            <w:tcBorders>
              <w:top w:val="nil"/>
              <w:left w:val="nil"/>
              <w:bottom w:val="single" w:color="auto" w:sz="8" w:space="0"/>
              <w:right w:val="single" w:color="auto" w:sz="12"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100%</w:t>
            </w:r>
          </w:p>
        </w:tc>
      </w:tr>
      <w:tr>
        <w:tblPrEx>
          <w:shd w:val="clear" w:color="auto" w:fill="auto"/>
          <w:tblCellMar>
            <w:top w:w="0" w:type="dxa"/>
            <w:left w:w="0" w:type="dxa"/>
            <w:bottom w:w="0" w:type="dxa"/>
            <w:right w:w="0" w:type="dxa"/>
          </w:tblCellMar>
        </w:tblPrEx>
        <w:trPr>
          <w:trHeight w:val="403" w:hRule="atLeast"/>
        </w:trPr>
        <w:tc>
          <w:tcPr>
            <w:tcW w:w="2418" w:type="dxa"/>
            <w:tcBorders>
              <w:top w:val="nil"/>
              <w:left w:val="single" w:color="auto" w:sz="12"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排污治理</w:t>
            </w:r>
          </w:p>
        </w:tc>
        <w:tc>
          <w:tcPr>
            <w:tcW w:w="622"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555"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48</w:t>
            </w:r>
          </w:p>
        </w:tc>
        <w:tc>
          <w:tcPr>
            <w:tcW w:w="572"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653"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48</w:t>
            </w:r>
          </w:p>
        </w:tc>
        <w:tc>
          <w:tcPr>
            <w:tcW w:w="700"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48</w:t>
            </w:r>
          </w:p>
        </w:tc>
        <w:tc>
          <w:tcPr>
            <w:tcW w:w="1010"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806" w:type="dxa"/>
            <w:tcBorders>
              <w:top w:val="nil"/>
              <w:left w:val="nil"/>
              <w:bottom w:val="single" w:color="auto" w:sz="8" w:space="0"/>
              <w:right w:val="single" w:color="auto" w:sz="12"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100%</w:t>
            </w:r>
          </w:p>
        </w:tc>
      </w:tr>
      <w:tr>
        <w:tblPrEx>
          <w:shd w:val="clear" w:color="auto" w:fill="auto"/>
          <w:tblCellMar>
            <w:top w:w="0" w:type="dxa"/>
            <w:left w:w="0" w:type="dxa"/>
            <w:bottom w:w="0" w:type="dxa"/>
            <w:right w:w="0" w:type="dxa"/>
          </w:tblCellMar>
        </w:tblPrEx>
        <w:trPr>
          <w:trHeight w:val="403" w:hRule="atLeast"/>
        </w:trPr>
        <w:tc>
          <w:tcPr>
            <w:tcW w:w="2418" w:type="dxa"/>
            <w:tcBorders>
              <w:top w:val="nil"/>
              <w:left w:val="single" w:color="auto" w:sz="12"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蓝天保卫战工作</w:t>
            </w:r>
          </w:p>
        </w:tc>
        <w:tc>
          <w:tcPr>
            <w:tcW w:w="622"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555"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20</w:t>
            </w:r>
          </w:p>
        </w:tc>
        <w:tc>
          <w:tcPr>
            <w:tcW w:w="572"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653"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20</w:t>
            </w:r>
          </w:p>
        </w:tc>
        <w:tc>
          <w:tcPr>
            <w:tcW w:w="700"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20</w:t>
            </w:r>
          </w:p>
        </w:tc>
        <w:tc>
          <w:tcPr>
            <w:tcW w:w="1010"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806" w:type="dxa"/>
            <w:tcBorders>
              <w:top w:val="nil"/>
              <w:left w:val="nil"/>
              <w:bottom w:val="single" w:color="auto" w:sz="8" w:space="0"/>
              <w:right w:val="single" w:color="auto" w:sz="12"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100%</w:t>
            </w:r>
          </w:p>
        </w:tc>
      </w:tr>
      <w:tr>
        <w:tblPrEx>
          <w:tblCellMar>
            <w:top w:w="0" w:type="dxa"/>
            <w:left w:w="0" w:type="dxa"/>
            <w:bottom w:w="0" w:type="dxa"/>
            <w:right w:w="0" w:type="dxa"/>
          </w:tblCellMar>
        </w:tblPrEx>
        <w:trPr>
          <w:trHeight w:val="403" w:hRule="atLeast"/>
        </w:trPr>
        <w:tc>
          <w:tcPr>
            <w:tcW w:w="2418" w:type="dxa"/>
            <w:tcBorders>
              <w:top w:val="nil"/>
              <w:left w:val="single" w:color="auto" w:sz="12"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县域生态功能县考核环境监测及资料编制</w:t>
            </w:r>
          </w:p>
        </w:tc>
        <w:tc>
          <w:tcPr>
            <w:tcW w:w="622"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555"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105</w:t>
            </w:r>
          </w:p>
        </w:tc>
        <w:tc>
          <w:tcPr>
            <w:tcW w:w="572"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653"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105</w:t>
            </w:r>
          </w:p>
        </w:tc>
        <w:tc>
          <w:tcPr>
            <w:tcW w:w="700"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105</w:t>
            </w:r>
          </w:p>
        </w:tc>
        <w:tc>
          <w:tcPr>
            <w:tcW w:w="1010"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806" w:type="dxa"/>
            <w:tcBorders>
              <w:top w:val="nil"/>
              <w:left w:val="nil"/>
              <w:bottom w:val="single" w:color="auto" w:sz="8" w:space="0"/>
              <w:right w:val="single" w:color="auto" w:sz="12"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100%</w:t>
            </w:r>
          </w:p>
        </w:tc>
      </w:tr>
      <w:tr>
        <w:tblPrEx>
          <w:tblCellMar>
            <w:top w:w="0" w:type="dxa"/>
            <w:left w:w="0" w:type="dxa"/>
            <w:bottom w:w="0" w:type="dxa"/>
            <w:right w:w="0" w:type="dxa"/>
          </w:tblCellMar>
        </w:tblPrEx>
        <w:trPr>
          <w:trHeight w:val="403" w:hRule="atLeast"/>
        </w:trPr>
        <w:tc>
          <w:tcPr>
            <w:tcW w:w="2418" w:type="dxa"/>
            <w:tcBorders>
              <w:top w:val="nil"/>
              <w:left w:val="single" w:color="auto" w:sz="12"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生态功能县考核各部门工作</w:t>
            </w:r>
          </w:p>
        </w:tc>
        <w:tc>
          <w:tcPr>
            <w:tcW w:w="622"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555"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30</w:t>
            </w:r>
          </w:p>
        </w:tc>
        <w:tc>
          <w:tcPr>
            <w:tcW w:w="572"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653"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30</w:t>
            </w:r>
          </w:p>
        </w:tc>
        <w:tc>
          <w:tcPr>
            <w:tcW w:w="700"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30</w:t>
            </w:r>
          </w:p>
        </w:tc>
        <w:tc>
          <w:tcPr>
            <w:tcW w:w="1010"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806" w:type="dxa"/>
            <w:tcBorders>
              <w:top w:val="nil"/>
              <w:left w:val="nil"/>
              <w:bottom w:val="single" w:color="auto" w:sz="8" w:space="0"/>
              <w:right w:val="single" w:color="auto" w:sz="12"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100%</w:t>
            </w:r>
          </w:p>
        </w:tc>
      </w:tr>
      <w:tr>
        <w:tblPrEx>
          <w:tblCellMar>
            <w:top w:w="0" w:type="dxa"/>
            <w:left w:w="0" w:type="dxa"/>
            <w:bottom w:w="0" w:type="dxa"/>
            <w:right w:w="0" w:type="dxa"/>
          </w:tblCellMar>
        </w:tblPrEx>
        <w:trPr>
          <w:trHeight w:val="403" w:hRule="atLeast"/>
        </w:trPr>
        <w:tc>
          <w:tcPr>
            <w:tcW w:w="2418" w:type="dxa"/>
            <w:tcBorders>
              <w:top w:val="nil"/>
              <w:left w:val="single" w:color="auto" w:sz="12"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农村环境质量监测</w:t>
            </w:r>
          </w:p>
        </w:tc>
        <w:tc>
          <w:tcPr>
            <w:tcW w:w="622"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555"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25</w:t>
            </w:r>
          </w:p>
        </w:tc>
        <w:tc>
          <w:tcPr>
            <w:tcW w:w="572"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653"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25</w:t>
            </w:r>
          </w:p>
        </w:tc>
        <w:tc>
          <w:tcPr>
            <w:tcW w:w="700"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25</w:t>
            </w:r>
          </w:p>
        </w:tc>
        <w:tc>
          <w:tcPr>
            <w:tcW w:w="1010"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806" w:type="dxa"/>
            <w:tcBorders>
              <w:top w:val="nil"/>
              <w:left w:val="nil"/>
              <w:bottom w:val="single" w:color="auto" w:sz="8" w:space="0"/>
              <w:right w:val="single" w:color="auto" w:sz="12"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100%</w:t>
            </w:r>
          </w:p>
        </w:tc>
      </w:tr>
      <w:tr>
        <w:tblPrEx>
          <w:tblCellMar>
            <w:top w:w="0" w:type="dxa"/>
            <w:left w:w="0" w:type="dxa"/>
            <w:bottom w:w="0" w:type="dxa"/>
            <w:right w:w="0" w:type="dxa"/>
          </w:tblCellMar>
        </w:tblPrEx>
        <w:trPr>
          <w:trHeight w:val="440" w:hRule="atLeast"/>
        </w:trPr>
        <w:tc>
          <w:tcPr>
            <w:tcW w:w="2418" w:type="dxa"/>
            <w:tcBorders>
              <w:top w:val="nil"/>
              <w:left w:val="single" w:color="auto" w:sz="12" w:space="0"/>
              <w:bottom w:val="single" w:color="auto" w:sz="12"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合</w:t>
            </w:r>
            <w:r>
              <w:rPr>
                <w:rFonts w:hint="eastAsia" w:ascii="宋体" w:hAnsi="宋体" w:eastAsia="宋体" w:cs="宋体"/>
                <w:color w:val="010101"/>
                <w:sz w:val="21"/>
                <w:szCs w:val="21"/>
              </w:rPr>
              <w:t> </w:t>
            </w:r>
            <w:r>
              <w:rPr>
                <w:rFonts w:hint="eastAsia" w:ascii="仿宋" w:hAnsi="仿宋" w:eastAsia="仿宋" w:cs="仿宋"/>
                <w:color w:val="010101"/>
                <w:sz w:val="21"/>
                <w:szCs w:val="21"/>
              </w:rPr>
              <w:t>计</w:t>
            </w:r>
          </w:p>
        </w:tc>
        <w:tc>
          <w:tcPr>
            <w:tcW w:w="622" w:type="dxa"/>
            <w:tcBorders>
              <w:top w:val="nil"/>
              <w:left w:val="nil"/>
              <w:bottom w:val="single" w:color="auto" w:sz="12"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555" w:type="dxa"/>
            <w:tcBorders>
              <w:top w:val="nil"/>
              <w:left w:val="nil"/>
              <w:bottom w:val="single" w:color="auto" w:sz="12"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502</w:t>
            </w:r>
          </w:p>
        </w:tc>
        <w:tc>
          <w:tcPr>
            <w:tcW w:w="572" w:type="dxa"/>
            <w:tcBorders>
              <w:top w:val="nil"/>
              <w:left w:val="nil"/>
              <w:bottom w:val="single" w:color="auto" w:sz="12"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653" w:type="dxa"/>
            <w:tcBorders>
              <w:top w:val="nil"/>
              <w:left w:val="nil"/>
              <w:bottom w:val="single" w:color="auto" w:sz="12"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502</w:t>
            </w:r>
          </w:p>
        </w:tc>
        <w:tc>
          <w:tcPr>
            <w:tcW w:w="700" w:type="dxa"/>
            <w:tcBorders>
              <w:top w:val="nil"/>
              <w:left w:val="nil"/>
              <w:bottom w:val="single" w:color="auto" w:sz="12"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502</w:t>
            </w:r>
          </w:p>
        </w:tc>
        <w:tc>
          <w:tcPr>
            <w:tcW w:w="1010" w:type="dxa"/>
            <w:tcBorders>
              <w:top w:val="nil"/>
              <w:left w:val="nil"/>
              <w:bottom w:val="single" w:color="auto" w:sz="12" w:space="0"/>
              <w:right w:val="single" w:color="auto" w:sz="8"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 </w:t>
            </w:r>
          </w:p>
        </w:tc>
        <w:tc>
          <w:tcPr>
            <w:tcW w:w="1806" w:type="dxa"/>
            <w:tcBorders>
              <w:top w:val="nil"/>
              <w:left w:val="nil"/>
              <w:bottom w:val="single" w:color="auto" w:sz="12" w:space="0"/>
              <w:right w:val="single" w:color="auto" w:sz="12"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rPr>
              <w:t>100%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rPr>
        <w:t>3、专项资金的管理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rPr>
        <w:t>加强对专项资金监管，健全内控管理制度，保障项目资金的使用安全。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rPr>
        <w:t>四、部门整体支出绩效评价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rPr>
        <w:t>2020年，我局认真贯彻落实习近平生态文明思想，按照县委“六个履职”要求，全面落实环境保护工作责任，狠抓污染防治攻坚战，有效提升了全县环境质量和生态保护水平。全年空气质量达到国家空气质量二级标准，综合指数降到3.21，空气质量优良率达到94%，城区PM</w:t>
      </w:r>
      <w:r>
        <w:rPr>
          <w:rFonts w:hint="eastAsia" w:ascii="仿宋" w:hAnsi="仿宋" w:eastAsia="仿宋" w:cs="仿宋"/>
          <w:i w:val="0"/>
          <w:caps w:val="0"/>
          <w:color w:val="1E1E1E"/>
          <w:spacing w:val="0"/>
          <w:sz w:val="32"/>
          <w:szCs w:val="32"/>
          <w:vertAlign w:val="subscript"/>
        </w:rPr>
        <w:t>10</w:t>
      </w:r>
      <w:r>
        <w:rPr>
          <w:rFonts w:hint="eastAsia" w:ascii="仿宋" w:hAnsi="仿宋" w:eastAsia="仿宋" w:cs="仿宋"/>
          <w:i w:val="0"/>
          <w:caps w:val="0"/>
          <w:color w:val="1E1E1E"/>
          <w:spacing w:val="0"/>
          <w:sz w:val="32"/>
          <w:szCs w:val="32"/>
        </w:rPr>
        <w:t>年均浓度降到43ug/m</w:t>
      </w:r>
      <w:r>
        <w:rPr>
          <w:rFonts w:hint="eastAsia" w:ascii="仿宋" w:hAnsi="仿宋" w:eastAsia="仿宋" w:cs="仿宋"/>
          <w:i w:val="0"/>
          <w:caps w:val="0"/>
          <w:color w:val="1E1E1E"/>
          <w:spacing w:val="0"/>
          <w:sz w:val="32"/>
          <w:szCs w:val="32"/>
          <w:vertAlign w:val="superscript"/>
        </w:rPr>
        <w:t>3</w:t>
      </w:r>
      <w:r>
        <w:rPr>
          <w:rFonts w:hint="eastAsia" w:ascii="仿宋" w:hAnsi="仿宋" w:eastAsia="仿宋" w:cs="仿宋"/>
          <w:i w:val="0"/>
          <w:caps w:val="0"/>
          <w:color w:val="1E1E1E"/>
          <w:spacing w:val="0"/>
          <w:sz w:val="32"/>
          <w:szCs w:val="32"/>
        </w:rPr>
        <w:t>，PM</w:t>
      </w:r>
      <w:r>
        <w:rPr>
          <w:rFonts w:hint="eastAsia" w:ascii="仿宋" w:hAnsi="仿宋" w:eastAsia="仿宋" w:cs="仿宋"/>
          <w:i w:val="0"/>
          <w:caps w:val="0"/>
          <w:color w:val="1E1E1E"/>
          <w:spacing w:val="0"/>
          <w:sz w:val="32"/>
          <w:szCs w:val="32"/>
          <w:vertAlign w:val="subscript"/>
        </w:rPr>
        <w:t>2.5</w:t>
      </w:r>
      <w:r>
        <w:rPr>
          <w:rFonts w:hint="eastAsia" w:ascii="仿宋" w:hAnsi="仿宋" w:eastAsia="仿宋" w:cs="仿宋"/>
          <w:i w:val="0"/>
          <w:caps w:val="0"/>
          <w:color w:val="1E1E1E"/>
          <w:spacing w:val="0"/>
          <w:sz w:val="32"/>
          <w:szCs w:val="32"/>
        </w:rPr>
        <w:t>年均浓度降到35 ug/m</w:t>
      </w:r>
      <w:r>
        <w:rPr>
          <w:rFonts w:hint="eastAsia" w:ascii="仿宋" w:hAnsi="仿宋" w:eastAsia="仿宋" w:cs="仿宋"/>
          <w:i w:val="0"/>
          <w:caps w:val="0"/>
          <w:color w:val="1E1E1E"/>
          <w:spacing w:val="0"/>
          <w:sz w:val="32"/>
          <w:szCs w:val="32"/>
          <w:vertAlign w:val="superscript"/>
        </w:rPr>
        <w:t>3</w:t>
      </w:r>
      <w:r>
        <w:rPr>
          <w:rFonts w:hint="eastAsia" w:ascii="仿宋" w:hAnsi="仿宋" w:eastAsia="仿宋" w:cs="仿宋"/>
          <w:i w:val="0"/>
          <w:caps w:val="0"/>
          <w:color w:val="1E1E1E"/>
          <w:spacing w:val="0"/>
          <w:sz w:val="32"/>
          <w:szCs w:val="32"/>
        </w:rPr>
        <w:t>；国家地表水考核断面水质优良率达到100%，县级集中式饮用水水源水质达到或优于Ⅲ类比例高于100%，县本级建成区黑臭水体消除比例达到90%，全县化学需氧量和氨氮排放量较2015年下降比例达到市里任务要求；按市要求完成了受污染耕地安全利用和严格管控面积，受污染地块安全利用率达到90%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rPr>
        <w:t>通过对部门整体支出情况的概述和实际支出情况的分析，部门整体支出绩效目标管理情况评价如下：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rPr>
        <w:t>（一）经济性评价。预算配置控制较好，预算执行比较到位。按照厉行节俭的要求，严格控制各项开支。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rPr>
        <w:t>（二）行政效能评价。强化组织领导。成立了财政预算绩效管理、财务会审、内部控制等工作领导小组，具体落实相关工作。制定财务管理制度，完善监督管理机制。对收入支出管理、政府采购、公务接待、固定资产管理、非税收入票据管理、非税收入执收工作管理，以及专项资金管理等方面明确了规定，进一步强化内部控制管理。严格按照年初预算，有序执行预算，提高了行政运行效率，有效控制了行政运行成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rPr>
        <w:t>（三）项目产出及实现的社会效益。我局全面落实环境保护工作责任，狠抓污染防治攻坚战，有效提升了全县环境质量和生态保护水平。全年空气质量达到国家空气质量二级标准，综合指数降到3.21，空气质量优良率达到94%，城区PM10年均浓度降到43ug/m3，PM2.5年均浓度降到35 ug/m3；国家地表水考核断面水质优良率达到100%，县级集中式饮用水水源水质达到或优于Ⅲ类比例高于100%，县本级建成区黑臭水体消除比例达到90%，全县化学需氧量和氨氮排放量较2015年下降比例达到市里任务要求；按市要求完成了受污染耕地安全利用和严格管控面积，受污染地块安全利用率达到90%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rPr>
        <w:t>（四）可持续性分析。全面贯彻落实习近平总书记关于生态文明建设和环境保护的一系列重要指示批示精神，牢固树立“绿水青山就是金山银山”的强烈意识，持之以恒抓好生态环境保护。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rPr>
        <w:t>（五）社会公众满意度。局预算绩效管理开展情况有序进行，收入支出达到了既定目标，群众满意度达95%以上。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rPr>
        <w:t>（六）部门整体绩效得分。根据《部门整体支出绩效评价指标评分表》，本着实事求是的原则，我们对2020年度部门整体支出进行了客观评价，自评得分为96.5分。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rPr>
        <w:t>五、存在的主要问题：预算支出与实际支出存在部分差异，预算编制有待更完整科学。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rPr>
        <w:t>六、改进意见及建议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rPr>
        <w:t>（一）提高认识，加强部门整体支出绩效评价工作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rPr>
        <w:t>提升部门整体支出绩效管理意识，将绩效理念贯穿于预算编制与执行的全过程，科学合理地对收入支出进行管理。重视日常财务收支管理工作，完善各项财务管理制度，科学调度，厉行节约。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rPr>
        <w:t>（二）严格预算管理，增强预算控制意识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rPr>
        <w:t>加强预算编制的前瞻性。严格预算管理，科学、合理预算，尽可能保证预算年度内预算收支应编尽编，做好预算控制工作。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hanging="480"/>
        <w:jc w:val="both"/>
        <w:rPr>
          <w:rFonts w:hint="eastAsia" w:ascii="仿宋" w:hAnsi="仿宋" w:eastAsia="仿宋" w:cs="仿宋"/>
          <w:i w:val="0"/>
          <w:caps w:val="0"/>
          <w:color w:val="1E1E1E"/>
          <w:spacing w:val="0"/>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hanging="480"/>
        <w:jc w:val="both"/>
        <w:rPr>
          <w:rFonts w:hint="eastAsia" w:ascii="仿宋" w:hAnsi="仿宋" w:eastAsia="仿宋" w:cs="仿宋"/>
          <w:i w:val="0"/>
          <w:caps w:val="0"/>
          <w:color w:val="1E1E1E"/>
          <w:spacing w:val="0"/>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hanging="480"/>
        <w:jc w:val="both"/>
        <w:rPr>
          <w:rFonts w:hint="eastAsia" w:ascii="仿宋" w:hAnsi="仿宋" w:eastAsia="仿宋" w:cs="仿宋"/>
          <w:i w:val="0"/>
          <w:caps w:val="0"/>
          <w:color w:val="1E1E1E"/>
          <w:spacing w:val="0"/>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hanging="480"/>
        <w:jc w:val="both"/>
        <w:rPr>
          <w:rFonts w:hint="eastAsia" w:ascii="仿宋" w:hAnsi="仿宋" w:eastAsia="仿宋" w:cs="仿宋"/>
          <w:i w:val="0"/>
          <w:caps w:val="0"/>
          <w:color w:val="1E1E1E"/>
          <w:spacing w:val="0"/>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hanging="480"/>
        <w:jc w:val="both"/>
        <w:rPr>
          <w:rFonts w:hint="eastAsia" w:ascii="仿宋" w:hAnsi="仿宋" w:eastAsia="仿宋" w:cs="仿宋"/>
          <w:i w:val="0"/>
          <w:caps w:val="0"/>
          <w:color w:val="1E1E1E"/>
          <w:spacing w:val="0"/>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hanging="480"/>
        <w:jc w:val="both"/>
        <w:rPr>
          <w:rFonts w:hint="eastAsia" w:ascii="仿宋" w:hAnsi="仿宋" w:eastAsia="仿宋" w:cs="仿宋"/>
          <w:i w:val="0"/>
          <w:caps w:val="0"/>
          <w:color w:val="1E1E1E"/>
          <w:spacing w:val="0"/>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hanging="480"/>
        <w:jc w:val="both"/>
        <w:rPr>
          <w:rFonts w:hint="eastAsia" w:ascii="仿宋" w:hAnsi="仿宋" w:eastAsia="仿宋" w:cs="仿宋"/>
          <w:i w:val="0"/>
          <w:caps w:val="0"/>
          <w:color w:val="1E1E1E"/>
          <w:spacing w:val="0"/>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hanging="480"/>
        <w:jc w:val="both"/>
        <w:rPr>
          <w:rFonts w:hint="eastAsia" w:ascii="仿宋" w:hAnsi="仿宋" w:eastAsia="仿宋" w:cs="仿宋"/>
          <w:i w:val="0"/>
          <w:caps w:val="0"/>
          <w:color w:val="1E1E1E"/>
          <w:spacing w:val="0"/>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hanging="480"/>
        <w:jc w:val="both"/>
        <w:rPr>
          <w:rFonts w:hint="eastAsia" w:ascii="仿宋" w:hAnsi="仿宋" w:eastAsia="仿宋" w:cs="仿宋"/>
          <w:i w:val="0"/>
          <w:caps w:val="0"/>
          <w:color w:val="1E1E1E"/>
          <w:spacing w:val="0"/>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hanging="480"/>
        <w:jc w:val="both"/>
        <w:rPr>
          <w:rFonts w:hint="eastAsia" w:ascii="仿宋" w:hAnsi="仿宋" w:eastAsia="仿宋" w:cs="仿宋"/>
          <w:i w:val="0"/>
          <w:caps w:val="0"/>
          <w:color w:val="1E1E1E"/>
          <w:spacing w:val="0"/>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hanging="480"/>
        <w:jc w:val="both"/>
        <w:rPr>
          <w:rFonts w:hint="eastAsia" w:ascii="仿宋" w:hAnsi="仿宋" w:eastAsia="仿宋" w:cs="仿宋"/>
          <w:i w:val="0"/>
          <w:caps w:val="0"/>
          <w:color w:val="1E1E1E"/>
          <w:spacing w:val="0"/>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hanging="480"/>
        <w:jc w:val="both"/>
        <w:rPr>
          <w:rFonts w:hint="eastAsia" w:ascii="仿宋" w:hAnsi="仿宋" w:eastAsia="仿宋" w:cs="仿宋"/>
          <w:i w:val="0"/>
          <w:caps w:val="0"/>
          <w:color w:val="1E1E1E"/>
          <w:spacing w:val="0"/>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hanging="480"/>
        <w:jc w:val="both"/>
        <w:rPr>
          <w:rFonts w:hint="eastAsia" w:ascii="仿宋" w:hAnsi="仿宋" w:eastAsia="仿宋" w:cs="仿宋"/>
          <w:i w:val="0"/>
          <w:caps w:val="0"/>
          <w:color w:val="1E1E1E"/>
          <w:spacing w:val="0"/>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hanging="48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hanging="48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hanging="48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585" w:lineRule="atLeast"/>
        <w:ind w:left="0" w:right="0" w:firstLine="0"/>
        <w:jc w:val="left"/>
        <w:rPr>
          <w:rFonts w:hint="eastAsia" w:ascii="微软雅黑" w:hAnsi="微软雅黑" w:eastAsia="微软雅黑" w:cs="微软雅黑"/>
          <w:i w:val="0"/>
          <w:caps w:val="0"/>
          <w:color w:val="1E1E1E"/>
          <w:spacing w:val="0"/>
          <w:sz w:val="22"/>
          <w:szCs w:val="2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540" w:right="0" w:hanging="540"/>
        <w:jc w:val="center"/>
        <w:rPr>
          <w:rFonts w:hint="default" w:ascii="Times New Roman" w:hAnsi="Times New Roman" w:cs="Times New Roman"/>
          <w:sz w:val="21"/>
          <w:szCs w:val="21"/>
        </w:rPr>
      </w:pPr>
      <w:r>
        <w:rPr>
          <w:rFonts w:hint="default" w:ascii="Times New Roman" w:hAnsi="Times New Roman" w:eastAsia="微软雅黑" w:cs="Times New Roman"/>
          <w:i w:val="0"/>
          <w:caps w:val="0"/>
          <w:color w:val="1E1E1E"/>
          <w:spacing w:val="0"/>
          <w:sz w:val="36"/>
          <w:szCs w:val="36"/>
        </w:rPr>
        <w:t>2020</w:t>
      </w:r>
      <w:r>
        <w:rPr>
          <w:rFonts w:ascii="方正小标宋_GBK" w:hAnsi="方正小标宋_GBK" w:eastAsia="方正小标宋_GBK" w:cs="方正小标宋_GBK"/>
          <w:i w:val="0"/>
          <w:caps w:val="0"/>
          <w:color w:val="1E1E1E"/>
          <w:spacing w:val="0"/>
          <w:sz w:val="36"/>
          <w:szCs w:val="36"/>
        </w:rPr>
        <w:t>年度部门整体支出</w:t>
      </w:r>
      <w:r>
        <w:rPr>
          <w:rFonts w:hint="default" w:ascii="方正小标宋_GBK" w:hAnsi="方正小标宋_GBK" w:eastAsia="方正小标宋_GBK" w:cs="方正小标宋_GBK"/>
          <w:i w:val="0"/>
          <w:caps w:val="0"/>
          <w:color w:val="1E1E1E"/>
          <w:spacing w:val="-8"/>
          <w:sz w:val="36"/>
          <w:szCs w:val="36"/>
        </w:rPr>
        <w:t>绩效评价指标评分表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96" w:right="0" w:hanging="396"/>
        <w:jc w:val="both"/>
        <w:rPr>
          <w:rFonts w:hint="default" w:ascii="Times New Roman" w:hAnsi="Times New Roman" w:cs="Times New Roman"/>
          <w:sz w:val="21"/>
          <w:szCs w:val="21"/>
        </w:rPr>
      </w:pPr>
      <w:r>
        <w:rPr>
          <w:rFonts w:ascii="楷体" w:hAnsi="楷体" w:eastAsia="楷体" w:cs="楷体"/>
          <w:i w:val="0"/>
          <w:caps w:val="0"/>
          <w:color w:val="1E1E1E"/>
          <w:spacing w:val="-8"/>
          <w:sz w:val="28"/>
          <w:szCs w:val="28"/>
        </w:rPr>
        <w:t>填报单位（盖章）：邵阳市生态环境局新邵分局</w:t>
      </w:r>
    </w:p>
    <w:tbl>
      <w:tblPr>
        <w:tblStyle w:val="5"/>
        <w:tblW w:w="8326" w:type="dxa"/>
        <w:jc w:val="center"/>
        <w:shd w:val="clear" w:color="auto" w:fill="auto"/>
        <w:tblLayout w:type="fixed"/>
        <w:tblCellMar>
          <w:top w:w="0" w:type="dxa"/>
          <w:left w:w="0" w:type="dxa"/>
          <w:bottom w:w="0" w:type="dxa"/>
          <w:right w:w="0" w:type="dxa"/>
        </w:tblCellMar>
      </w:tblPr>
      <w:tblGrid>
        <w:gridCol w:w="492"/>
        <w:gridCol w:w="557"/>
        <w:gridCol w:w="846"/>
        <w:gridCol w:w="2611"/>
        <w:gridCol w:w="3235"/>
        <w:gridCol w:w="585"/>
      </w:tblGrid>
      <w:tr>
        <w:tblPrEx>
          <w:shd w:val="clear" w:color="auto" w:fill="auto"/>
          <w:tblCellMar>
            <w:top w:w="0" w:type="dxa"/>
            <w:left w:w="0" w:type="dxa"/>
            <w:bottom w:w="0" w:type="dxa"/>
            <w:right w:w="0" w:type="dxa"/>
          </w:tblCellMar>
        </w:tblPrEx>
        <w:trPr>
          <w:trHeight w:val="644" w:hRule="atLeast"/>
          <w:tblHeader/>
          <w:jc w:val="center"/>
        </w:trPr>
        <w:tc>
          <w:tcPr>
            <w:tcW w:w="492" w:type="dxa"/>
            <w:tcBorders>
              <w:top w:val="single" w:color="auto" w:sz="8" w:space="0"/>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一级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指标</w:t>
            </w:r>
          </w:p>
        </w:tc>
        <w:tc>
          <w:tcPr>
            <w:tcW w:w="557" w:type="dxa"/>
            <w:tcBorders>
              <w:top w:val="single" w:color="auto" w:sz="8" w:space="0"/>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二级指标</w:t>
            </w:r>
          </w:p>
        </w:tc>
        <w:tc>
          <w:tcPr>
            <w:tcW w:w="846" w:type="dxa"/>
            <w:tcBorders>
              <w:top w:val="single" w:color="auto" w:sz="8" w:space="0"/>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三级指标</w:t>
            </w:r>
          </w:p>
        </w:tc>
        <w:tc>
          <w:tcPr>
            <w:tcW w:w="2611" w:type="dxa"/>
            <w:tcBorders>
              <w:top w:val="single" w:color="auto" w:sz="8" w:space="0"/>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指标解释</w:t>
            </w:r>
          </w:p>
        </w:tc>
        <w:tc>
          <w:tcPr>
            <w:tcW w:w="3235" w:type="dxa"/>
            <w:tcBorders>
              <w:top w:val="single" w:color="auto" w:sz="8" w:space="0"/>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指标说明</w:t>
            </w:r>
          </w:p>
        </w:tc>
        <w:tc>
          <w:tcPr>
            <w:tcW w:w="585" w:type="dxa"/>
            <w:tcBorders>
              <w:top w:val="single" w:color="auto" w:sz="8" w:space="0"/>
              <w:left w:val="nil"/>
              <w:bottom w:val="single" w:color="auto" w:sz="8" w:space="0"/>
              <w:right w:val="single" w:color="auto"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自评分</w:t>
            </w:r>
          </w:p>
        </w:tc>
      </w:tr>
      <w:tr>
        <w:tblPrEx>
          <w:shd w:val="clear" w:color="auto" w:fill="auto"/>
          <w:tblCellMar>
            <w:top w:w="0" w:type="dxa"/>
            <w:left w:w="0" w:type="dxa"/>
            <w:bottom w:w="0" w:type="dxa"/>
            <w:right w:w="0" w:type="dxa"/>
          </w:tblCellMar>
        </w:tblPrEx>
        <w:trPr>
          <w:trHeight w:val="1006" w:hRule="atLeast"/>
          <w:jc w:val="center"/>
        </w:trPr>
        <w:tc>
          <w:tcPr>
            <w:tcW w:w="492" w:type="dxa"/>
            <w:vMerge w:val="restart"/>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投入(20分)</w:t>
            </w:r>
          </w:p>
        </w:tc>
        <w:tc>
          <w:tcPr>
            <w:tcW w:w="557" w:type="dxa"/>
            <w:vMerge w:val="restart"/>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设定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（5分）</w:t>
            </w:r>
          </w:p>
        </w:tc>
        <w:tc>
          <w:tcPr>
            <w:tcW w:w="84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绩效目标合理性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（2分）</w:t>
            </w:r>
          </w:p>
        </w:tc>
        <w:tc>
          <w:tcPr>
            <w:tcW w:w="261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rPr>
              <w:t>部门所设立的整体绩效目标依据是否充分，是否符合客观实际，用以反映和考核部门整体绩效目标与部门履职、年度工作任务的相符性情况。</w:t>
            </w:r>
          </w:p>
        </w:tc>
        <w:tc>
          <w:tcPr>
            <w:tcW w:w="323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rPr>
              <w:t>①符合国家法律法规、国民经济和社会发展总体规划计1分；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rPr>
              <w:t>②符合部门“三定”方案确定的职责计0.5分；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rPr>
              <w:t>③是否符合部门制定的中长期实施规划计0.5分。</w:t>
            </w:r>
          </w:p>
        </w:tc>
        <w:tc>
          <w:tcPr>
            <w:tcW w:w="585" w:type="dxa"/>
            <w:tcBorders>
              <w:top w:val="nil"/>
              <w:left w:val="nil"/>
              <w:bottom w:val="single" w:color="auto" w:sz="8" w:space="0"/>
              <w:right w:val="single" w:color="auto"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default" w:ascii="Times New Roman" w:hAnsi="Times New Roman" w:cs="Times New Roman"/>
                <w:sz w:val="24"/>
                <w:szCs w:val="24"/>
              </w:rPr>
              <w:t>2</w:t>
            </w:r>
          </w:p>
        </w:tc>
      </w:tr>
      <w:tr>
        <w:tblPrEx>
          <w:shd w:val="clear" w:color="auto" w:fill="auto"/>
          <w:tblCellMar>
            <w:top w:w="0" w:type="dxa"/>
            <w:left w:w="0" w:type="dxa"/>
            <w:bottom w:w="0" w:type="dxa"/>
            <w:right w:w="0" w:type="dxa"/>
          </w:tblCellMar>
        </w:tblPrEx>
        <w:trPr>
          <w:trHeight w:val="1096" w:hRule="atLeast"/>
          <w:jc w:val="center"/>
        </w:trPr>
        <w:tc>
          <w:tcPr>
            <w:tcW w:w="492"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557"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84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绩效指标明确性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（3分）</w:t>
            </w:r>
          </w:p>
        </w:tc>
        <w:tc>
          <w:tcPr>
            <w:tcW w:w="261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rPr>
              <w:t>部门依据整体绩效目标所设定的绩效指标是否清晰、细化、可衡量，用以反映和考核部门整体绩效目标的明细化情况。</w:t>
            </w:r>
          </w:p>
        </w:tc>
        <w:tc>
          <w:tcPr>
            <w:tcW w:w="323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rPr>
              <w:t>①将部门整体的绩效目标细化分解为具体的工作任务计1分；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rPr>
              <w:t>②通过清晰、可衡量的指标值予以体现计0.5分；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rPr>
              <w:t>③与部门年度的任务数或计划数相对应计0.5分；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rPr>
              <w:t>④与本年度部门预算资金相匹配计1分。</w:t>
            </w:r>
          </w:p>
        </w:tc>
        <w:tc>
          <w:tcPr>
            <w:tcW w:w="585" w:type="dxa"/>
            <w:tcBorders>
              <w:top w:val="nil"/>
              <w:left w:val="nil"/>
              <w:bottom w:val="single" w:color="auto" w:sz="8" w:space="0"/>
              <w:right w:val="single" w:color="auto"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default" w:ascii="Times New Roman" w:hAnsi="Times New Roman" w:cs="Times New Roman"/>
                <w:sz w:val="24"/>
                <w:szCs w:val="24"/>
              </w:rPr>
              <w:t>3</w:t>
            </w:r>
          </w:p>
        </w:tc>
      </w:tr>
      <w:tr>
        <w:tblPrEx>
          <w:shd w:val="clear" w:color="auto" w:fill="auto"/>
          <w:tblCellMar>
            <w:top w:w="0" w:type="dxa"/>
            <w:left w:w="0" w:type="dxa"/>
            <w:bottom w:w="0" w:type="dxa"/>
            <w:right w:w="0" w:type="dxa"/>
          </w:tblCellMar>
        </w:tblPrEx>
        <w:trPr>
          <w:trHeight w:val="1231" w:hRule="atLeast"/>
          <w:jc w:val="center"/>
        </w:trPr>
        <w:tc>
          <w:tcPr>
            <w:tcW w:w="492"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557" w:type="dxa"/>
            <w:vMerge w:val="restart"/>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配置（15分）</w:t>
            </w:r>
          </w:p>
        </w:tc>
        <w:tc>
          <w:tcPr>
            <w:tcW w:w="84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在职人员控制率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（5分）</w:t>
            </w:r>
          </w:p>
        </w:tc>
        <w:tc>
          <w:tcPr>
            <w:tcW w:w="261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rPr>
              <w:t>部门本年度实际在职人员数与编制数的比率，用以反映和考核部门对人员成本的控制程度。</w:t>
            </w:r>
          </w:p>
        </w:tc>
        <w:tc>
          <w:tcPr>
            <w:tcW w:w="323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rPr>
              <w:t>在职人员控制率=（在职人员数/编制数）×100%小于或等于1计5分，否则按比例计分。在职人员数：部门实际在职人数，以财政部确定的部门决算编制口径为准。编制数：机构编制部门核定批复的部门的人员编制数。</w:t>
            </w:r>
          </w:p>
        </w:tc>
        <w:tc>
          <w:tcPr>
            <w:tcW w:w="585" w:type="dxa"/>
            <w:tcBorders>
              <w:top w:val="nil"/>
              <w:left w:val="nil"/>
              <w:bottom w:val="single" w:color="auto" w:sz="8" w:space="0"/>
              <w:right w:val="single" w:color="auto"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default" w:ascii="Times New Roman" w:hAnsi="Times New Roman" w:cs="Times New Roman"/>
                <w:sz w:val="24"/>
                <w:szCs w:val="24"/>
              </w:rPr>
              <w:t>5</w:t>
            </w:r>
          </w:p>
        </w:tc>
      </w:tr>
      <w:tr>
        <w:tblPrEx>
          <w:shd w:val="clear" w:color="auto" w:fill="auto"/>
          <w:tblCellMar>
            <w:top w:w="0" w:type="dxa"/>
            <w:left w:w="0" w:type="dxa"/>
            <w:bottom w:w="0" w:type="dxa"/>
            <w:right w:w="0" w:type="dxa"/>
          </w:tblCellMar>
        </w:tblPrEx>
        <w:trPr>
          <w:trHeight w:val="1238" w:hRule="atLeast"/>
          <w:jc w:val="center"/>
        </w:trPr>
        <w:tc>
          <w:tcPr>
            <w:tcW w:w="492"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557"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84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“三公经费”变动率（5分）</w:t>
            </w:r>
          </w:p>
        </w:tc>
        <w:tc>
          <w:tcPr>
            <w:tcW w:w="261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rPr>
              <w:t>部门本年度“三公经费”预算数与上年度“三公经费”预算数的变动比率，用以反映和考核部门对控制重点行政成本的努力程度。</w:t>
            </w:r>
          </w:p>
        </w:tc>
        <w:tc>
          <w:tcPr>
            <w:tcW w:w="323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rPr>
              <w:t>“三公经费”变动率=[（本年度“三公经费”总额-上年度“三公经费”总额）/上年度“三公经费”总额]×100%。下降的计5分，增加的按比例扣减。“三公经费”：年度预算安排的因公出国（境）费、公务车辆购置及运行费和公务招待费。</w:t>
            </w:r>
          </w:p>
        </w:tc>
        <w:tc>
          <w:tcPr>
            <w:tcW w:w="585" w:type="dxa"/>
            <w:tcBorders>
              <w:top w:val="nil"/>
              <w:left w:val="nil"/>
              <w:bottom w:val="single" w:color="auto" w:sz="8" w:space="0"/>
              <w:right w:val="single" w:color="auto"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default" w:ascii="Times New Roman" w:hAnsi="Times New Roman" w:cs="Times New Roman"/>
                <w:sz w:val="24"/>
                <w:szCs w:val="24"/>
              </w:rPr>
              <w:t>5</w:t>
            </w:r>
          </w:p>
        </w:tc>
      </w:tr>
      <w:tr>
        <w:tblPrEx>
          <w:shd w:val="clear" w:color="auto" w:fill="auto"/>
          <w:tblCellMar>
            <w:top w:w="0" w:type="dxa"/>
            <w:left w:w="0" w:type="dxa"/>
            <w:bottom w:w="0" w:type="dxa"/>
            <w:right w:w="0" w:type="dxa"/>
          </w:tblCellMar>
        </w:tblPrEx>
        <w:trPr>
          <w:trHeight w:val="1550" w:hRule="atLeast"/>
          <w:jc w:val="center"/>
        </w:trPr>
        <w:tc>
          <w:tcPr>
            <w:tcW w:w="492"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557"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84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重点支出安排率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（5分）</w:t>
            </w:r>
          </w:p>
        </w:tc>
        <w:tc>
          <w:tcPr>
            <w:tcW w:w="261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rPr>
              <w:t>部门本年度预算安排的重点项目支出与部门项目总支出的比率，用以反映和考核部门对履行主要职责或完成重点任务的保障程度。</w:t>
            </w:r>
          </w:p>
        </w:tc>
        <w:tc>
          <w:tcPr>
            <w:tcW w:w="323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c>
          <w:tcPr>
            <w:tcW w:w="585" w:type="dxa"/>
            <w:tcBorders>
              <w:top w:val="nil"/>
              <w:left w:val="nil"/>
              <w:bottom w:val="single" w:color="auto" w:sz="8" w:space="0"/>
              <w:right w:val="single" w:color="auto"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default" w:ascii="Times New Roman" w:hAnsi="Times New Roman" w:cs="Times New Roman"/>
                <w:sz w:val="24"/>
                <w:szCs w:val="24"/>
              </w:rPr>
              <w:t>5</w:t>
            </w:r>
          </w:p>
        </w:tc>
      </w:tr>
      <w:tr>
        <w:tblPrEx>
          <w:shd w:val="clear" w:color="auto" w:fill="auto"/>
          <w:tblCellMar>
            <w:top w:w="0" w:type="dxa"/>
            <w:left w:w="0" w:type="dxa"/>
            <w:bottom w:w="0" w:type="dxa"/>
            <w:right w:w="0" w:type="dxa"/>
          </w:tblCellMar>
        </w:tblPrEx>
        <w:trPr>
          <w:trHeight w:val="976" w:hRule="atLeast"/>
          <w:jc w:val="center"/>
        </w:trPr>
        <w:tc>
          <w:tcPr>
            <w:tcW w:w="492" w:type="dxa"/>
            <w:vMerge w:val="restart"/>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过程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(40分)</w:t>
            </w:r>
          </w:p>
        </w:tc>
        <w:tc>
          <w:tcPr>
            <w:tcW w:w="557" w:type="dxa"/>
            <w:vMerge w:val="restart"/>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(23分)</w:t>
            </w:r>
          </w:p>
        </w:tc>
        <w:tc>
          <w:tcPr>
            <w:tcW w:w="84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完成率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（4分）</w:t>
            </w:r>
          </w:p>
        </w:tc>
        <w:tc>
          <w:tcPr>
            <w:tcW w:w="261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rPr>
              <w:t>部门本年度预算完成数与预算数的比率，用以反映和考核部门预算完成程度。</w:t>
            </w:r>
          </w:p>
        </w:tc>
        <w:tc>
          <w:tcPr>
            <w:tcW w:w="323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rPr>
              <w:t>预算完成率=（预算完成数/预算数）×100%。完成年初预算计4分，未完成年初预算按比例扣减，预算完成数：部门本年度实际完成的预算数。预算数：财政部门批复的本年度部门预算数。</w:t>
            </w:r>
          </w:p>
        </w:tc>
        <w:tc>
          <w:tcPr>
            <w:tcW w:w="585" w:type="dxa"/>
            <w:tcBorders>
              <w:top w:val="nil"/>
              <w:left w:val="nil"/>
              <w:bottom w:val="single" w:color="auto" w:sz="8" w:space="0"/>
              <w:right w:val="single" w:color="auto"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default" w:ascii="Times New Roman" w:hAnsi="Times New Roman" w:cs="Times New Roman"/>
                <w:sz w:val="24"/>
                <w:szCs w:val="24"/>
              </w:rPr>
              <w:t>4</w:t>
            </w:r>
          </w:p>
        </w:tc>
      </w:tr>
      <w:tr>
        <w:tblPrEx>
          <w:shd w:val="clear" w:color="auto" w:fill="auto"/>
          <w:tblCellMar>
            <w:top w:w="0" w:type="dxa"/>
            <w:left w:w="0" w:type="dxa"/>
            <w:bottom w:w="0" w:type="dxa"/>
            <w:right w:w="0" w:type="dxa"/>
          </w:tblCellMar>
        </w:tblPrEx>
        <w:trPr>
          <w:trHeight w:val="1500" w:hRule="atLeast"/>
          <w:jc w:val="center"/>
        </w:trPr>
        <w:tc>
          <w:tcPr>
            <w:tcW w:w="492"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557"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84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调整率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（2分）</w:t>
            </w:r>
          </w:p>
        </w:tc>
        <w:tc>
          <w:tcPr>
            <w:tcW w:w="261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rPr>
              <w:t>部门本年度预算调整数与预算数的比率，用以反映和考核部门预算的调整程度。</w:t>
            </w:r>
          </w:p>
        </w:tc>
        <w:tc>
          <w:tcPr>
            <w:tcW w:w="323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c>
          <w:tcPr>
            <w:tcW w:w="585" w:type="dxa"/>
            <w:tcBorders>
              <w:top w:val="nil"/>
              <w:left w:val="nil"/>
              <w:bottom w:val="single" w:color="auto" w:sz="8" w:space="0"/>
              <w:right w:val="single" w:color="auto"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default" w:ascii="Times New Roman" w:hAnsi="Times New Roman" w:cs="Times New Roman"/>
                <w:sz w:val="24"/>
                <w:szCs w:val="24"/>
              </w:rPr>
              <w:t>1.5</w:t>
            </w:r>
          </w:p>
        </w:tc>
      </w:tr>
      <w:tr>
        <w:tblPrEx>
          <w:shd w:val="clear" w:color="auto" w:fill="auto"/>
          <w:tblCellMar>
            <w:top w:w="0" w:type="dxa"/>
            <w:left w:w="0" w:type="dxa"/>
            <w:bottom w:w="0" w:type="dxa"/>
            <w:right w:w="0" w:type="dxa"/>
          </w:tblCellMar>
        </w:tblPrEx>
        <w:trPr>
          <w:trHeight w:val="1770" w:hRule="atLeast"/>
          <w:jc w:val="center"/>
        </w:trPr>
        <w:tc>
          <w:tcPr>
            <w:tcW w:w="492"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557"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84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进度率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（2分）</w:t>
            </w:r>
          </w:p>
        </w:tc>
        <w:tc>
          <w:tcPr>
            <w:tcW w:w="261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rPr>
              <w:t>部门实际支付进度与既定支付进度的比率，用以反映和考核部门预算执行的及时性和均衡性程度。</w:t>
            </w:r>
          </w:p>
        </w:tc>
        <w:tc>
          <w:tcPr>
            <w:tcW w:w="323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c>
          <w:tcPr>
            <w:tcW w:w="585" w:type="dxa"/>
            <w:tcBorders>
              <w:top w:val="nil"/>
              <w:left w:val="nil"/>
              <w:bottom w:val="single" w:color="auto" w:sz="8" w:space="0"/>
              <w:right w:val="single" w:color="auto"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default" w:ascii="Times New Roman" w:hAnsi="Times New Roman" w:cs="Times New Roman"/>
                <w:sz w:val="24"/>
                <w:szCs w:val="24"/>
              </w:rPr>
              <w:t>2</w:t>
            </w:r>
          </w:p>
        </w:tc>
      </w:tr>
      <w:tr>
        <w:tblPrEx>
          <w:shd w:val="clear" w:color="auto" w:fill="auto"/>
          <w:tblCellMar>
            <w:top w:w="0" w:type="dxa"/>
            <w:left w:w="0" w:type="dxa"/>
            <w:bottom w:w="0" w:type="dxa"/>
            <w:right w:w="0" w:type="dxa"/>
          </w:tblCellMar>
        </w:tblPrEx>
        <w:trPr>
          <w:trHeight w:val="1231" w:hRule="atLeast"/>
          <w:jc w:val="center"/>
        </w:trPr>
        <w:tc>
          <w:tcPr>
            <w:tcW w:w="492"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557"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84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结转结余控制率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（4分）</w:t>
            </w:r>
          </w:p>
        </w:tc>
        <w:tc>
          <w:tcPr>
            <w:tcW w:w="261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rPr>
              <w:t>部门本年度结转结余总额与上年结转结余总额增减比例，用以反映和考核部门对存量资金的实际控制程度。</w:t>
            </w:r>
          </w:p>
        </w:tc>
        <w:tc>
          <w:tcPr>
            <w:tcW w:w="323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rPr>
              <w:t>结转结余控制率=（本年结转结余总额-上年结转结余总额）/上年结转结余总额×100%。低于15%的计4分，每超过5个百分点扣1分，扣完为止。结转结余总额：部门本年度的结转资金与结余资金之和（以决算数为准）。</w:t>
            </w:r>
          </w:p>
        </w:tc>
        <w:tc>
          <w:tcPr>
            <w:tcW w:w="585" w:type="dxa"/>
            <w:tcBorders>
              <w:top w:val="nil"/>
              <w:left w:val="nil"/>
              <w:bottom w:val="single" w:color="auto" w:sz="8" w:space="0"/>
              <w:right w:val="single" w:color="auto"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default" w:ascii="Times New Roman" w:hAnsi="Times New Roman" w:cs="Times New Roman"/>
                <w:sz w:val="24"/>
                <w:szCs w:val="24"/>
              </w:rPr>
              <w:t>2</w:t>
            </w:r>
          </w:p>
        </w:tc>
      </w:tr>
      <w:tr>
        <w:tblPrEx>
          <w:shd w:val="clear" w:color="auto" w:fill="auto"/>
          <w:tblCellMar>
            <w:top w:w="0" w:type="dxa"/>
            <w:left w:w="0" w:type="dxa"/>
            <w:bottom w:w="0" w:type="dxa"/>
            <w:right w:w="0" w:type="dxa"/>
          </w:tblCellMar>
        </w:tblPrEx>
        <w:trPr>
          <w:trHeight w:val="936" w:hRule="atLeast"/>
          <w:jc w:val="center"/>
        </w:trPr>
        <w:tc>
          <w:tcPr>
            <w:tcW w:w="492"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557"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84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公用经费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控制率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（4分）</w:t>
            </w:r>
          </w:p>
        </w:tc>
        <w:tc>
          <w:tcPr>
            <w:tcW w:w="261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rPr>
              <w:t>部门本年度实际支出的公用经费总额与预算安排的公用经费总额的比率，用以反映和考核部门对机构运转成本的实际控制程度。</w:t>
            </w:r>
          </w:p>
        </w:tc>
        <w:tc>
          <w:tcPr>
            <w:tcW w:w="323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rPr>
              <w:t>公用经费控制率=（实际支出公用经费总额/预算安排公用经费总额）×100%。为100%的计4分，每超过1个百分点扣0.1分，扣完为止。</w:t>
            </w:r>
          </w:p>
        </w:tc>
        <w:tc>
          <w:tcPr>
            <w:tcW w:w="585" w:type="dxa"/>
            <w:tcBorders>
              <w:top w:val="nil"/>
              <w:left w:val="nil"/>
              <w:bottom w:val="single" w:color="auto" w:sz="8" w:space="0"/>
              <w:right w:val="single" w:color="auto"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default" w:ascii="Times New Roman" w:hAnsi="Times New Roman" w:cs="Times New Roman"/>
                <w:sz w:val="24"/>
                <w:szCs w:val="24"/>
              </w:rPr>
              <w:t>3</w:t>
            </w:r>
          </w:p>
        </w:tc>
      </w:tr>
      <w:tr>
        <w:tblPrEx>
          <w:shd w:val="clear" w:color="auto" w:fill="auto"/>
          <w:tblCellMar>
            <w:top w:w="0" w:type="dxa"/>
            <w:left w:w="0" w:type="dxa"/>
            <w:bottom w:w="0" w:type="dxa"/>
            <w:right w:w="0" w:type="dxa"/>
          </w:tblCellMar>
        </w:tblPrEx>
        <w:trPr>
          <w:trHeight w:val="879" w:hRule="atLeast"/>
          <w:jc w:val="center"/>
        </w:trPr>
        <w:tc>
          <w:tcPr>
            <w:tcW w:w="492"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557"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84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“三公经费”控制率（3分）</w:t>
            </w:r>
          </w:p>
        </w:tc>
        <w:tc>
          <w:tcPr>
            <w:tcW w:w="261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rPr>
              <w:t>部门本年度“三公经费”实际支出数与预算安排数的比率，用以反映和考核部门对“三公经费”的实际控制程度。</w:t>
            </w:r>
          </w:p>
        </w:tc>
        <w:tc>
          <w:tcPr>
            <w:tcW w:w="323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rPr>
              <w:t>“三公经费”控制率=（“三公经费”实际支出数/“三公经费”预算安排数）×100%。为100%的计3分，每超过1个百分点扣0.5分，扣完为止。</w:t>
            </w:r>
          </w:p>
        </w:tc>
        <w:tc>
          <w:tcPr>
            <w:tcW w:w="585" w:type="dxa"/>
            <w:tcBorders>
              <w:top w:val="nil"/>
              <w:left w:val="nil"/>
              <w:bottom w:val="single" w:color="auto" w:sz="8" w:space="0"/>
              <w:right w:val="single" w:color="auto"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default" w:ascii="Times New Roman" w:hAnsi="Times New Roman" w:cs="Times New Roman"/>
                <w:sz w:val="24"/>
                <w:szCs w:val="24"/>
              </w:rPr>
              <w:t>3</w:t>
            </w:r>
          </w:p>
        </w:tc>
      </w:tr>
      <w:tr>
        <w:tblPrEx>
          <w:shd w:val="clear" w:color="auto" w:fill="auto"/>
          <w:tblCellMar>
            <w:top w:w="0" w:type="dxa"/>
            <w:left w:w="0" w:type="dxa"/>
            <w:bottom w:w="0" w:type="dxa"/>
            <w:right w:w="0" w:type="dxa"/>
          </w:tblCellMar>
        </w:tblPrEx>
        <w:trPr>
          <w:trHeight w:val="1283" w:hRule="atLeast"/>
          <w:jc w:val="center"/>
        </w:trPr>
        <w:tc>
          <w:tcPr>
            <w:tcW w:w="492"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557"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84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政府采购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执行率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（4分）</w:t>
            </w:r>
          </w:p>
        </w:tc>
        <w:tc>
          <w:tcPr>
            <w:tcW w:w="261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rPr>
              <w:t>部门本年度实际政府采购金额与年初政府采购预算的比率，用以反映和考核部门政府采购预算执行情况。</w:t>
            </w:r>
          </w:p>
        </w:tc>
        <w:tc>
          <w:tcPr>
            <w:tcW w:w="323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c>
          <w:tcPr>
            <w:tcW w:w="585" w:type="dxa"/>
            <w:tcBorders>
              <w:top w:val="nil"/>
              <w:left w:val="nil"/>
              <w:bottom w:val="single" w:color="auto" w:sz="8" w:space="0"/>
              <w:right w:val="single" w:color="auto"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default" w:ascii="Times New Roman" w:hAnsi="Times New Roman" w:cs="Times New Roman"/>
                <w:sz w:val="24"/>
                <w:szCs w:val="24"/>
              </w:rPr>
              <w:t>4</w:t>
            </w:r>
          </w:p>
        </w:tc>
      </w:tr>
      <w:tr>
        <w:tblPrEx>
          <w:shd w:val="clear" w:color="auto" w:fill="auto"/>
          <w:tblCellMar>
            <w:top w:w="0" w:type="dxa"/>
            <w:left w:w="0" w:type="dxa"/>
            <w:bottom w:w="0" w:type="dxa"/>
            <w:right w:w="0" w:type="dxa"/>
          </w:tblCellMar>
        </w:tblPrEx>
        <w:trPr>
          <w:trHeight w:val="952" w:hRule="atLeast"/>
          <w:jc w:val="center"/>
        </w:trPr>
        <w:tc>
          <w:tcPr>
            <w:tcW w:w="492"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557" w:type="dxa"/>
            <w:vMerge w:val="restart"/>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(12分)</w:t>
            </w:r>
          </w:p>
        </w:tc>
        <w:tc>
          <w:tcPr>
            <w:tcW w:w="84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管理制度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健全性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（2分）</w:t>
            </w:r>
          </w:p>
        </w:tc>
        <w:tc>
          <w:tcPr>
            <w:tcW w:w="261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rPr>
              <w:t>部门为加强预算管理、规范财务行为而制定的管理制度是否健全完整，用以反映和考核部门预算管理制度对完成主要职责或促进事业发展的保障情况。</w:t>
            </w:r>
          </w:p>
        </w:tc>
        <w:tc>
          <w:tcPr>
            <w:tcW w:w="323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rPr>
              <w:t>已制定或具有预算资金管理办法、内部财务管理制度、会计核算制度等管理制度计1分；相关管理制度合法、合规、完整计0.5分；相关管理制度得到有效执行计0.5分。</w:t>
            </w:r>
          </w:p>
        </w:tc>
        <w:tc>
          <w:tcPr>
            <w:tcW w:w="585" w:type="dxa"/>
            <w:tcBorders>
              <w:top w:val="nil"/>
              <w:left w:val="nil"/>
              <w:bottom w:val="single" w:color="auto" w:sz="8" w:space="0"/>
              <w:right w:val="single" w:color="auto"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default" w:ascii="Times New Roman" w:hAnsi="Times New Roman" w:cs="Times New Roman"/>
                <w:sz w:val="24"/>
                <w:szCs w:val="24"/>
              </w:rPr>
              <w:t>2</w:t>
            </w:r>
          </w:p>
        </w:tc>
      </w:tr>
      <w:tr>
        <w:tblPrEx>
          <w:shd w:val="clear" w:color="auto" w:fill="auto"/>
          <w:tblCellMar>
            <w:top w:w="0" w:type="dxa"/>
            <w:left w:w="0" w:type="dxa"/>
            <w:bottom w:w="0" w:type="dxa"/>
            <w:right w:w="0" w:type="dxa"/>
          </w:tblCellMar>
        </w:tblPrEx>
        <w:trPr>
          <w:trHeight w:val="1605" w:hRule="atLeast"/>
          <w:jc w:val="center"/>
        </w:trPr>
        <w:tc>
          <w:tcPr>
            <w:tcW w:w="492"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557"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84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资金使用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合规性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（5分）</w:t>
            </w:r>
          </w:p>
        </w:tc>
        <w:tc>
          <w:tcPr>
            <w:tcW w:w="261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rPr>
              <w:t>部门使用预算资金是否符合相关的预算财务管理制度的规定，用以反映和考核部门预算资金的规范运行情况。</w:t>
            </w:r>
          </w:p>
        </w:tc>
        <w:tc>
          <w:tcPr>
            <w:tcW w:w="323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rPr>
              <w:t>①符合国家财经法规和财务管理制度规定以及有关专项资金管理办法的规定计1分；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rPr>
              <w:t>②资金的拨付有完整的审批程序和手续计1分；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rPr>
              <w:t>③项目的重大开支经过评估论证计1分；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rPr>
              <w:t>④符合部门预算批复的用途计1分；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rPr>
              <w:t>⑤不存在截留、挤占、挪用、虚列支出等情况计1分。</w:t>
            </w:r>
          </w:p>
        </w:tc>
        <w:tc>
          <w:tcPr>
            <w:tcW w:w="585" w:type="dxa"/>
            <w:tcBorders>
              <w:top w:val="nil"/>
              <w:left w:val="nil"/>
              <w:bottom w:val="single" w:color="auto" w:sz="8" w:space="0"/>
              <w:right w:val="single" w:color="auto"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default" w:ascii="Times New Roman" w:hAnsi="Times New Roman" w:cs="Times New Roman"/>
                <w:sz w:val="24"/>
                <w:szCs w:val="24"/>
              </w:rPr>
              <w:t>5</w:t>
            </w:r>
          </w:p>
        </w:tc>
      </w:tr>
      <w:tr>
        <w:tblPrEx>
          <w:shd w:val="clear" w:color="auto" w:fill="auto"/>
          <w:tblCellMar>
            <w:top w:w="0" w:type="dxa"/>
            <w:left w:w="0" w:type="dxa"/>
            <w:bottom w:w="0" w:type="dxa"/>
            <w:right w:w="0" w:type="dxa"/>
          </w:tblCellMar>
        </w:tblPrEx>
        <w:trPr>
          <w:trHeight w:val="1259" w:hRule="atLeast"/>
          <w:jc w:val="center"/>
        </w:trPr>
        <w:tc>
          <w:tcPr>
            <w:tcW w:w="492"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557"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84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预决算信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息公开性（2分）</w:t>
            </w:r>
          </w:p>
        </w:tc>
        <w:tc>
          <w:tcPr>
            <w:tcW w:w="261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rPr>
              <w:t>部门是否按照政府信息公开有关规定公开相关预决算信息，用以反映和考核部门预决算管理的公开透明情况。</w:t>
            </w:r>
          </w:p>
        </w:tc>
        <w:tc>
          <w:tcPr>
            <w:tcW w:w="323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rPr>
              <w:t>①按规定内容公开预决算信息计1分；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rPr>
              <w:t>②按规定时限公开预决算信息计1分。预决算信息是指与部门预算、执行、决算、监督、绩效等管理相关的信息。</w:t>
            </w:r>
          </w:p>
        </w:tc>
        <w:tc>
          <w:tcPr>
            <w:tcW w:w="585" w:type="dxa"/>
            <w:tcBorders>
              <w:top w:val="nil"/>
              <w:left w:val="nil"/>
              <w:bottom w:val="single" w:color="auto" w:sz="8" w:space="0"/>
              <w:right w:val="single" w:color="auto"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default" w:ascii="Times New Roman" w:hAnsi="Times New Roman" w:cs="Times New Roman"/>
                <w:sz w:val="24"/>
                <w:szCs w:val="24"/>
              </w:rPr>
              <w:t>2</w:t>
            </w:r>
          </w:p>
        </w:tc>
      </w:tr>
      <w:tr>
        <w:tblPrEx>
          <w:shd w:val="clear" w:color="auto" w:fill="auto"/>
          <w:tblCellMar>
            <w:top w:w="0" w:type="dxa"/>
            <w:left w:w="0" w:type="dxa"/>
            <w:bottom w:w="0" w:type="dxa"/>
            <w:right w:w="0" w:type="dxa"/>
          </w:tblCellMar>
        </w:tblPrEx>
        <w:trPr>
          <w:trHeight w:val="934" w:hRule="atLeast"/>
          <w:jc w:val="center"/>
        </w:trPr>
        <w:tc>
          <w:tcPr>
            <w:tcW w:w="492"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557"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84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基础信息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完善性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（3分）</w:t>
            </w:r>
          </w:p>
        </w:tc>
        <w:tc>
          <w:tcPr>
            <w:tcW w:w="261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rPr>
              <w:t>部门基础信息是否完善，用以反映和考核基础信息对预算管理工作的支撑情况。</w:t>
            </w:r>
          </w:p>
        </w:tc>
        <w:tc>
          <w:tcPr>
            <w:tcW w:w="323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rPr>
              <w:t>①基础数据信息和会计信息资料真实计1分；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rPr>
              <w:t>②基础数据信息和会计信息资料完整计1分；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rPr>
              <w:t>③基础数据信息和会计信息资料准确计1分。</w:t>
            </w:r>
          </w:p>
        </w:tc>
        <w:tc>
          <w:tcPr>
            <w:tcW w:w="585" w:type="dxa"/>
            <w:tcBorders>
              <w:top w:val="nil"/>
              <w:left w:val="nil"/>
              <w:bottom w:val="single" w:color="auto" w:sz="8" w:space="0"/>
              <w:right w:val="single" w:color="auto"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default" w:ascii="Times New Roman" w:hAnsi="Times New Roman" w:cs="Times New Roman"/>
                <w:sz w:val="24"/>
                <w:szCs w:val="24"/>
              </w:rPr>
              <w:t>3</w:t>
            </w:r>
          </w:p>
        </w:tc>
      </w:tr>
      <w:tr>
        <w:tblPrEx>
          <w:shd w:val="clear" w:color="auto" w:fill="auto"/>
          <w:tblCellMar>
            <w:top w:w="0" w:type="dxa"/>
            <w:left w:w="0" w:type="dxa"/>
            <w:bottom w:w="0" w:type="dxa"/>
            <w:right w:w="0" w:type="dxa"/>
          </w:tblCellMar>
        </w:tblPrEx>
        <w:trPr>
          <w:trHeight w:val="968" w:hRule="atLeast"/>
          <w:jc w:val="center"/>
        </w:trPr>
        <w:tc>
          <w:tcPr>
            <w:tcW w:w="492"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557" w:type="dxa"/>
            <w:vMerge w:val="restart"/>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资产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（5分）</w:t>
            </w:r>
          </w:p>
        </w:tc>
        <w:tc>
          <w:tcPr>
            <w:tcW w:w="84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管理制度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健全性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（2分）</w:t>
            </w:r>
          </w:p>
        </w:tc>
        <w:tc>
          <w:tcPr>
            <w:tcW w:w="261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rPr>
              <w:t>部门为加强资产管理、规范资产管理行为而制定的管理制度是否健全完整，用以反映和考核部门资产管理制度对完成主要职责或促进社会发展的保障情况。</w:t>
            </w:r>
          </w:p>
        </w:tc>
        <w:tc>
          <w:tcPr>
            <w:tcW w:w="323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rPr>
              <w:t>①制定或具有资产管理制度计1分；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rPr>
              <w:t>②相关资金管理制度合法、合规、完整计0.5分；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rPr>
              <w:t>③相关资产管理制度得到有效执行计0.5分。</w:t>
            </w:r>
          </w:p>
        </w:tc>
        <w:tc>
          <w:tcPr>
            <w:tcW w:w="585" w:type="dxa"/>
            <w:tcBorders>
              <w:top w:val="nil"/>
              <w:left w:val="nil"/>
              <w:bottom w:val="single" w:color="auto" w:sz="8" w:space="0"/>
              <w:right w:val="single" w:color="auto"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default" w:ascii="Times New Roman" w:hAnsi="Times New Roman" w:cs="Times New Roman"/>
                <w:sz w:val="24"/>
                <w:szCs w:val="24"/>
              </w:rPr>
              <w:t>2</w:t>
            </w:r>
          </w:p>
        </w:tc>
      </w:tr>
      <w:tr>
        <w:tblPrEx>
          <w:shd w:val="clear" w:color="auto" w:fill="auto"/>
          <w:tblCellMar>
            <w:top w:w="0" w:type="dxa"/>
            <w:left w:w="0" w:type="dxa"/>
            <w:bottom w:w="0" w:type="dxa"/>
            <w:right w:w="0" w:type="dxa"/>
          </w:tblCellMar>
        </w:tblPrEx>
        <w:trPr>
          <w:trHeight w:val="1566" w:hRule="atLeast"/>
          <w:jc w:val="center"/>
        </w:trPr>
        <w:tc>
          <w:tcPr>
            <w:tcW w:w="492"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557"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84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资产管理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安全性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（2分）</w:t>
            </w:r>
          </w:p>
        </w:tc>
        <w:tc>
          <w:tcPr>
            <w:tcW w:w="261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rPr>
              <w:t>部门的资产是否保存完整、使用合规、配置合理、处置规范、收入及时足额上缴，用以反映和考核部门资产安全运行情况。</w:t>
            </w:r>
          </w:p>
        </w:tc>
        <w:tc>
          <w:tcPr>
            <w:tcW w:w="323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rPr>
              <w:t>①资产保存完整计0.4分；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rPr>
              <w:t>②资产配置合理计0.4分；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rPr>
              <w:t>③资产处置规范计0.4分；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rPr>
              <w:t>④资产账务管理合规、</w:t>
            </w:r>
            <w:r>
              <w:rPr>
                <w:rFonts w:hint="eastAsia" w:ascii="宋体" w:hAnsi="宋体" w:eastAsia="宋体" w:cs="宋体"/>
                <w:color w:val="000000"/>
                <w:sz w:val="21"/>
                <w:szCs w:val="21"/>
                <w:lang w:eastAsia="zh-CN"/>
              </w:rPr>
              <w:t>账实相符</w:t>
            </w:r>
            <w:r>
              <w:rPr>
                <w:rFonts w:hint="eastAsia" w:ascii="宋体" w:hAnsi="宋体" w:eastAsia="宋体" w:cs="宋体"/>
                <w:color w:val="000000"/>
                <w:sz w:val="21"/>
                <w:szCs w:val="21"/>
              </w:rPr>
              <w:t>计0.4分；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rPr>
              <w:t>⑤资产有偿使用及处置收入及时足额上缴计0.4分。</w:t>
            </w:r>
          </w:p>
        </w:tc>
        <w:tc>
          <w:tcPr>
            <w:tcW w:w="585" w:type="dxa"/>
            <w:tcBorders>
              <w:top w:val="nil"/>
              <w:left w:val="nil"/>
              <w:bottom w:val="single" w:color="auto" w:sz="8" w:space="0"/>
              <w:right w:val="single" w:color="auto"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default" w:ascii="Times New Roman" w:hAnsi="Times New Roman" w:cs="Times New Roman"/>
                <w:sz w:val="24"/>
                <w:szCs w:val="24"/>
              </w:rPr>
              <w:t>2</w:t>
            </w:r>
          </w:p>
        </w:tc>
      </w:tr>
      <w:tr>
        <w:tblPrEx>
          <w:shd w:val="clear" w:color="auto" w:fill="auto"/>
          <w:tblCellMar>
            <w:top w:w="0" w:type="dxa"/>
            <w:left w:w="0" w:type="dxa"/>
            <w:bottom w:w="0" w:type="dxa"/>
            <w:right w:w="0" w:type="dxa"/>
          </w:tblCellMar>
        </w:tblPrEx>
        <w:trPr>
          <w:trHeight w:val="1059" w:hRule="atLeast"/>
          <w:jc w:val="center"/>
        </w:trPr>
        <w:tc>
          <w:tcPr>
            <w:tcW w:w="492"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557"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84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固定资产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利用率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（1分）</w:t>
            </w:r>
          </w:p>
        </w:tc>
        <w:tc>
          <w:tcPr>
            <w:tcW w:w="261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rPr>
              <w:t>部门实际在用固定资产总额与所有固定资产总额的比率，用以反映和考核部门固定资产使用效率程度。</w:t>
            </w:r>
          </w:p>
        </w:tc>
        <w:tc>
          <w:tcPr>
            <w:tcW w:w="323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rPr>
              <w:t>固定资产利用率=（实际在用固定资产总额/所有固定资产总额）×100%。利用率为100%的计1分，每降1个百分点扣0.1分，扣完为止。</w:t>
            </w:r>
          </w:p>
        </w:tc>
        <w:tc>
          <w:tcPr>
            <w:tcW w:w="585" w:type="dxa"/>
            <w:tcBorders>
              <w:top w:val="nil"/>
              <w:left w:val="nil"/>
              <w:bottom w:val="single" w:color="auto" w:sz="8" w:space="0"/>
              <w:right w:val="single" w:color="auto"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default" w:ascii="Times New Roman" w:hAnsi="Times New Roman" w:cs="Times New Roman"/>
                <w:sz w:val="24"/>
                <w:szCs w:val="24"/>
              </w:rPr>
              <w:t>1</w:t>
            </w:r>
          </w:p>
        </w:tc>
      </w:tr>
      <w:tr>
        <w:tblPrEx>
          <w:shd w:val="clear" w:color="auto" w:fill="auto"/>
          <w:tblCellMar>
            <w:top w:w="0" w:type="dxa"/>
            <w:left w:w="0" w:type="dxa"/>
            <w:bottom w:w="0" w:type="dxa"/>
            <w:right w:w="0" w:type="dxa"/>
          </w:tblCellMar>
        </w:tblPrEx>
        <w:trPr>
          <w:trHeight w:val="894" w:hRule="atLeast"/>
          <w:jc w:val="center"/>
        </w:trPr>
        <w:tc>
          <w:tcPr>
            <w:tcW w:w="492" w:type="dxa"/>
            <w:vMerge w:val="restart"/>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产出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(20分)</w:t>
            </w:r>
          </w:p>
        </w:tc>
        <w:tc>
          <w:tcPr>
            <w:tcW w:w="557" w:type="dxa"/>
            <w:vMerge w:val="restart"/>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履行</w:t>
            </w:r>
          </w:p>
        </w:tc>
        <w:tc>
          <w:tcPr>
            <w:tcW w:w="84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实际完成率（5分）</w:t>
            </w:r>
          </w:p>
        </w:tc>
        <w:tc>
          <w:tcPr>
            <w:tcW w:w="261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rPr>
              <w:t>部门履行职责而实际完成工作数与计划工作数的比率，用以反映和考核部门履职工作任务目标的实现程度。</w:t>
            </w:r>
          </w:p>
        </w:tc>
        <w:tc>
          <w:tcPr>
            <w:tcW w:w="323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rPr>
              <w:t>实际完成率得分=完成县委县政府绩效考核得分或上级主管部门考核指标得分/指标分值*5分</w:t>
            </w:r>
          </w:p>
        </w:tc>
        <w:tc>
          <w:tcPr>
            <w:tcW w:w="585" w:type="dxa"/>
            <w:tcBorders>
              <w:top w:val="nil"/>
              <w:left w:val="nil"/>
              <w:bottom w:val="single" w:color="auto" w:sz="8" w:space="0"/>
              <w:right w:val="single" w:color="auto"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default" w:ascii="Times New Roman" w:hAnsi="Times New Roman" w:cs="Times New Roman"/>
                <w:sz w:val="24"/>
                <w:szCs w:val="24"/>
              </w:rPr>
              <w:t>5</w:t>
            </w:r>
          </w:p>
        </w:tc>
      </w:tr>
      <w:tr>
        <w:tblPrEx>
          <w:shd w:val="clear" w:color="auto" w:fill="auto"/>
          <w:tblCellMar>
            <w:top w:w="0" w:type="dxa"/>
            <w:left w:w="0" w:type="dxa"/>
            <w:bottom w:w="0" w:type="dxa"/>
            <w:right w:w="0" w:type="dxa"/>
          </w:tblCellMar>
        </w:tblPrEx>
        <w:trPr>
          <w:trHeight w:val="864" w:hRule="atLeast"/>
          <w:jc w:val="center"/>
        </w:trPr>
        <w:tc>
          <w:tcPr>
            <w:tcW w:w="492"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557"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84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完成及时率（4分）</w:t>
            </w:r>
          </w:p>
        </w:tc>
        <w:tc>
          <w:tcPr>
            <w:tcW w:w="261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rPr>
              <w:t>部门在规定时限内及时完成的实际工作数与计划工作数的比率,用以反映和考核部门履职时效目标的实现程度。</w:t>
            </w:r>
          </w:p>
        </w:tc>
        <w:tc>
          <w:tcPr>
            <w:tcW w:w="323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rPr>
              <w:t>完成及时率=（及时完成实际工作数/计划工作数）×100%。1-4季度各得1分</w:t>
            </w:r>
          </w:p>
        </w:tc>
        <w:tc>
          <w:tcPr>
            <w:tcW w:w="585" w:type="dxa"/>
            <w:tcBorders>
              <w:top w:val="nil"/>
              <w:left w:val="nil"/>
              <w:bottom w:val="single" w:color="auto" w:sz="8" w:space="0"/>
              <w:right w:val="single" w:color="auto"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default" w:ascii="Times New Roman" w:hAnsi="Times New Roman" w:cs="Times New Roman"/>
                <w:sz w:val="24"/>
                <w:szCs w:val="24"/>
              </w:rPr>
              <w:t>4</w:t>
            </w:r>
          </w:p>
        </w:tc>
      </w:tr>
      <w:tr>
        <w:tblPrEx>
          <w:shd w:val="clear" w:color="auto" w:fill="auto"/>
          <w:tblCellMar>
            <w:top w:w="0" w:type="dxa"/>
            <w:left w:w="0" w:type="dxa"/>
            <w:bottom w:w="0" w:type="dxa"/>
            <w:right w:w="0" w:type="dxa"/>
          </w:tblCellMar>
        </w:tblPrEx>
        <w:trPr>
          <w:trHeight w:val="804" w:hRule="atLeast"/>
          <w:jc w:val="center"/>
        </w:trPr>
        <w:tc>
          <w:tcPr>
            <w:tcW w:w="492"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557"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84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质量达标率（5分）</w:t>
            </w:r>
          </w:p>
        </w:tc>
        <w:tc>
          <w:tcPr>
            <w:tcW w:w="261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rPr>
              <w:t>达到质量标准（绩效标准值）的实际工作数与计划工作数的比率,用以反映和考核部门履职质量目标的实现程度。</w:t>
            </w:r>
          </w:p>
        </w:tc>
        <w:tc>
          <w:tcPr>
            <w:tcW w:w="323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rPr>
              <w:t>质量达标率=（质量达标实际工作数/计划工作数）×100%。实际得分=达标率*5分</w:t>
            </w:r>
          </w:p>
        </w:tc>
        <w:tc>
          <w:tcPr>
            <w:tcW w:w="585" w:type="dxa"/>
            <w:tcBorders>
              <w:top w:val="nil"/>
              <w:left w:val="nil"/>
              <w:bottom w:val="single" w:color="auto" w:sz="8" w:space="0"/>
              <w:right w:val="single" w:color="auto"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default" w:ascii="Times New Roman" w:hAnsi="Times New Roman" w:cs="Times New Roman"/>
                <w:sz w:val="24"/>
                <w:szCs w:val="24"/>
              </w:rPr>
              <w:t>5</w:t>
            </w:r>
          </w:p>
        </w:tc>
      </w:tr>
      <w:tr>
        <w:tblPrEx>
          <w:shd w:val="clear" w:color="auto" w:fill="auto"/>
          <w:tblCellMar>
            <w:top w:w="0" w:type="dxa"/>
            <w:left w:w="0" w:type="dxa"/>
            <w:bottom w:w="0" w:type="dxa"/>
            <w:right w:w="0" w:type="dxa"/>
          </w:tblCellMar>
        </w:tblPrEx>
        <w:trPr>
          <w:trHeight w:val="1059" w:hRule="atLeast"/>
          <w:jc w:val="center"/>
        </w:trPr>
        <w:tc>
          <w:tcPr>
            <w:tcW w:w="492"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557"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84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重点工作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办结率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（6分）</w:t>
            </w:r>
          </w:p>
        </w:tc>
        <w:tc>
          <w:tcPr>
            <w:tcW w:w="261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rPr>
              <w:t>部门年度重点工作实际完成数与交办或下达数的比率，用以反映部门对重点工作的办理落实程度。</w:t>
            </w:r>
          </w:p>
        </w:tc>
        <w:tc>
          <w:tcPr>
            <w:tcW w:w="323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rPr>
              <w:t>重点工作办结率=（重点工作实际完成数/交办或下达数）×100%。实际得分=办结率*6分</w:t>
            </w:r>
          </w:p>
        </w:tc>
        <w:tc>
          <w:tcPr>
            <w:tcW w:w="585" w:type="dxa"/>
            <w:tcBorders>
              <w:top w:val="nil"/>
              <w:left w:val="nil"/>
              <w:bottom w:val="single" w:color="auto" w:sz="8" w:space="0"/>
              <w:right w:val="single" w:color="auto"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default" w:ascii="Times New Roman" w:hAnsi="Times New Roman" w:cs="Times New Roman"/>
                <w:sz w:val="24"/>
                <w:szCs w:val="24"/>
              </w:rPr>
              <w:t>6</w:t>
            </w:r>
          </w:p>
        </w:tc>
      </w:tr>
      <w:tr>
        <w:tblPrEx>
          <w:shd w:val="clear" w:color="auto" w:fill="auto"/>
          <w:tblCellMar>
            <w:top w:w="0" w:type="dxa"/>
            <w:left w:w="0" w:type="dxa"/>
            <w:bottom w:w="0" w:type="dxa"/>
            <w:right w:w="0" w:type="dxa"/>
          </w:tblCellMar>
        </w:tblPrEx>
        <w:trPr>
          <w:trHeight w:val="644" w:hRule="atLeast"/>
          <w:jc w:val="center"/>
        </w:trPr>
        <w:tc>
          <w:tcPr>
            <w:tcW w:w="492" w:type="dxa"/>
            <w:vMerge w:val="restart"/>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效果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(20分)</w:t>
            </w:r>
          </w:p>
        </w:tc>
        <w:tc>
          <w:tcPr>
            <w:tcW w:w="557" w:type="dxa"/>
            <w:vMerge w:val="restart"/>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履职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效益(20分)</w:t>
            </w:r>
          </w:p>
        </w:tc>
        <w:tc>
          <w:tcPr>
            <w:tcW w:w="84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经济效益（5分）</w:t>
            </w:r>
          </w:p>
        </w:tc>
        <w:tc>
          <w:tcPr>
            <w:tcW w:w="261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rPr>
              <w:t>部门履行职责对经济发展所带来的直接或间接影响。</w:t>
            </w:r>
          </w:p>
        </w:tc>
        <w:tc>
          <w:tcPr>
            <w:tcW w:w="323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rPr>
              <w:t>按经济效益实现程度计算得分（5分）</w:t>
            </w:r>
          </w:p>
        </w:tc>
        <w:tc>
          <w:tcPr>
            <w:tcW w:w="585" w:type="dxa"/>
            <w:tcBorders>
              <w:top w:val="nil"/>
              <w:left w:val="nil"/>
              <w:bottom w:val="single" w:color="auto" w:sz="8" w:space="0"/>
              <w:right w:val="single" w:color="auto"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default" w:ascii="Times New Roman" w:hAnsi="Times New Roman" w:cs="Times New Roman"/>
                <w:sz w:val="24"/>
                <w:szCs w:val="24"/>
              </w:rPr>
              <w:t>6</w:t>
            </w:r>
          </w:p>
        </w:tc>
      </w:tr>
      <w:tr>
        <w:tblPrEx>
          <w:shd w:val="clear" w:color="auto" w:fill="auto"/>
          <w:tblCellMar>
            <w:top w:w="0" w:type="dxa"/>
            <w:left w:w="0" w:type="dxa"/>
            <w:bottom w:w="0" w:type="dxa"/>
            <w:right w:w="0" w:type="dxa"/>
          </w:tblCellMar>
        </w:tblPrEx>
        <w:trPr>
          <w:trHeight w:val="644" w:hRule="atLeast"/>
          <w:jc w:val="center"/>
        </w:trPr>
        <w:tc>
          <w:tcPr>
            <w:tcW w:w="492"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557"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84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社会效益（5分）</w:t>
            </w:r>
          </w:p>
        </w:tc>
        <w:tc>
          <w:tcPr>
            <w:tcW w:w="261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rPr>
              <w:t>部门履行职责对社会发展所带来的直接或间接影响。</w:t>
            </w:r>
          </w:p>
        </w:tc>
        <w:tc>
          <w:tcPr>
            <w:tcW w:w="323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both"/>
              <w:rPr>
                <w:rFonts w:hint="default" w:ascii="Times New Roman" w:hAnsi="Times New Roman" w:cs="Times New Roman"/>
                <w:sz w:val="21"/>
                <w:szCs w:val="21"/>
              </w:rPr>
            </w:pPr>
            <w:r>
              <w:rPr>
                <w:rFonts w:hint="eastAsia" w:ascii="宋体" w:hAnsi="宋体" w:eastAsia="宋体" w:cs="宋体"/>
                <w:color w:val="000000"/>
                <w:sz w:val="21"/>
                <w:szCs w:val="21"/>
              </w:rPr>
              <w:t>按社会效益实现程度计算得分（5分）</w:t>
            </w:r>
          </w:p>
        </w:tc>
        <w:tc>
          <w:tcPr>
            <w:tcW w:w="585" w:type="dxa"/>
            <w:tcBorders>
              <w:top w:val="nil"/>
              <w:left w:val="nil"/>
              <w:bottom w:val="single" w:color="auto" w:sz="8" w:space="0"/>
              <w:right w:val="single" w:color="auto"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default" w:ascii="Times New Roman" w:hAnsi="Times New Roman" w:cs="Times New Roman"/>
                <w:sz w:val="24"/>
                <w:szCs w:val="24"/>
              </w:rPr>
              <w:t>5</w:t>
            </w:r>
          </w:p>
        </w:tc>
      </w:tr>
      <w:tr>
        <w:tblPrEx>
          <w:shd w:val="clear" w:color="auto" w:fill="auto"/>
          <w:tblCellMar>
            <w:top w:w="0" w:type="dxa"/>
            <w:left w:w="0" w:type="dxa"/>
            <w:bottom w:w="0" w:type="dxa"/>
            <w:right w:w="0" w:type="dxa"/>
          </w:tblCellMar>
        </w:tblPrEx>
        <w:trPr>
          <w:trHeight w:val="644" w:hRule="atLeast"/>
          <w:jc w:val="center"/>
        </w:trPr>
        <w:tc>
          <w:tcPr>
            <w:tcW w:w="492"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557"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84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宋体" w:hAnsi="宋体" w:eastAsia="宋体" w:cs="宋体"/>
                <w:color w:val="000000"/>
                <w:sz w:val="21"/>
                <w:szCs w:val="21"/>
              </w:rPr>
              <w:t>生态效益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宋体" w:hAnsi="宋体" w:eastAsia="宋体" w:cs="宋体"/>
                <w:color w:val="000000"/>
                <w:sz w:val="21"/>
                <w:szCs w:val="21"/>
              </w:rPr>
              <w:t>（5分）</w:t>
            </w:r>
          </w:p>
        </w:tc>
        <w:tc>
          <w:tcPr>
            <w:tcW w:w="261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rPr>
              <w:t>部门履行职责对生态环境所带来的直接或间接影响。</w:t>
            </w:r>
          </w:p>
        </w:tc>
        <w:tc>
          <w:tcPr>
            <w:tcW w:w="323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rPr>
              <w:t>对生态环境影响较好的计5分；一般3分；效果不明显0分。</w:t>
            </w:r>
          </w:p>
        </w:tc>
        <w:tc>
          <w:tcPr>
            <w:tcW w:w="585" w:type="dxa"/>
            <w:tcBorders>
              <w:top w:val="nil"/>
              <w:left w:val="nil"/>
              <w:bottom w:val="single" w:color="auto" w:sz="8" w:space="0"/>
              <w:right w:val="single" w:color="auto"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default" w:ascii="Times New Roman" w:hAnsi="Times New Roman" w:cs="Times New Roman"/>
                <w:sz w:val="24"/>
                <w:szCs w:val="24"/>
              </w:rPr>
              <w:t>5</w:t>
            </w:r>
          </w:p>
        </w:tc>
      </w:tr>
      <w:tr>
        <w:tblPrEx>
          <w:tblCellMar>
            <w:top w:w="0" w:type="dxa"/>
            <w:left w:w="0" w:type="dxa"/>
            <w:bottom w:w="0" w:type="dxa"/>
            <w:right w:w="0" w:type="dxa"/>
          </w:tblCellMar>
        </w:tblPrEx>
        <w:trPr>
          <w:trHeight w:val="1259" w:hRule="atLeast"/>
          <w:jc w:val="center"/>
        </w:trPr>
        <w:tc>
          <w:tcPr>
            <w:tcW w:w="492"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557"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84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社会公众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或服务对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象满意度（5分）</w:t>
            </w:r>
          </w:p>
        </w:tc>
        <w:tc>
          <w:tcPr>
            <w:tcW w:w="261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rPr>
              <w:t>社会公众或部门的服务对象对部门履职效果的满意程度。</w:t>
            </w:r>
          </w:p>
        </w:tc>
        <w:tc>
          <w:tcPr>
            <w:tcW w:w="323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sz w:val="18"/>
                <w:szCs w:val="18"/>
              </w:rPr>
              <w:t>90%</w:t>
            </w:r>
            <w:r>
              <w:rPr>
                <w:rFonts w:hint="eastAsia" w:ascii="宋体" w:hAnsi="宋体" w:eastAsia="宋体" w:cs="宋体"/>
                <w:color w:val="000000"/>
                <w:sz w:val="21"/>
                <w:szCs w:val="21"/>
              </w:rPr>
              <w:t>（含）以上计5分；80%（含）-90%，计4分；70%（含）-80%，计3分；60%（含）-70%，计2分；低于60%计0分。</w:t>
            </w:r>
          </w:p>
        </w:tc>
        <w:tc>
          <w:tcPr>
            <w:tcW w:w="585" w:type="dxa"/>
            <w:tcBorders>
              <w:top w:val="nil"/>
              <w:left w:val="nil"/>
              <w:bottom w:val="single" w:color="auto" w:sz="8" w:space="0"/>
              <w:right w:val="single" w:color="auto"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default" w:ascii="Times New Roman" w:hAnsi="Times New Roman" w:cs="Times New Roman"/>
                <w:sz w:val="24"/>
                <w:szCs w:val="24"/>
              </w:rPr>
              <w:t>5</w:t>
            </w:r>
          </w:p>
        </w:tc>
      </w:tr>
      <w:tr>
        <w:tblPrEx>
          <w:tblCellMar>
            <w:top w:w="0" w:type="dxa"/>
            <w:left w:w="0" w:type="dxa"/>
            <w:bottom w:w="0" w:type="dxa"/>
            <w:right w:w="0" w:type="dxa"/>
          </w:tblCellMar>
        </w:tblPrEx>
        <w:trPr>
          <w:trHeight w:val="608" w:hRule="atLeast"/>
          <w:jc w:val="center"/>
        </w:trPr>
        <w:tc>
          <w:tcPr>
            <w:tcW w:w="492" w:type="dxa"/>
            <w:tcBorders>
              <w:top w:val="nil"/>
              <w:left w:val="single" w:color="auto" w:sz="8" w:space="0"/>
              <w:bottom w:val="nil"/>
              <w:right w:val="single" w:color="auto"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总分</w:t>
            </w:r>
          </w:p>
        </w:tc>
        <w:tc>
          <w:tcPr>
            <w:tcW w:w="557" w:type="dxa"/>
            <w:tcBorders>
              <w:top w:val="nil"/>
              <w:left w:val="nil"/>
              <w:bottom w:val="nil"/>
              <w:right w:val="single" w:color="auto"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100</w:t>
            </w:r>
          </w:p>
        </w:tc>
        <w:tc>
          <w:tcPr>
            <w:tcW w:w="846" w:type="dxa"/>
            <w:tcBorders>
              <w:top w:val="nil"/>
              <w:left w:val="nil"/>
              <w:bottom w:val="nil"/>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100　</w:t>
            </w:r>
          </w:p>
        </w:tc>
        <w:tc>
          <w:tcPr>
            <w:tcW w:w="2611" w:type="dxa"/>
            <w:tcBorders>
              <w:top w:val="nil"/>
              <w:left w:val="nil"/>
              <w:bottom w:val="nil"/>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rPr>
              <w:t> </w:t>
            </w:r>
          </w:p>
        </w:tc>
        <w:tc>
          <w:tcPr>
            <w:tcW w:w="3235" w:type="dxa"/>
            <w:tcBorders>
              <w:top w:val="nil"/>
              <w:left w:val="nil"/>
              <w:bottom w:val="nil"/>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rPr>
              <w:t> </w:t>
            </w:r>
          </w:p>
        </w:tc>
        <w:tc>
          <w:tcPr>
            <w:tcW w:w="585" w:type="dxa"/>
            <w:tcBorders>
              <w:top w:val="nil"/>
              <w:left w:val="nil"/>
              <w:bottom w:val="nil"/>
              <w:right w:val="single" w:color="auto"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default" w:ascii="Times New Roman" w:hAnsi="Times New Roman" w:cs="Times New Roman"/>
                <w:sz w:val="24"/>
                <w:szCs w:val="24"/>
              </w:rPr>
              <w:t>96.5</w:t>
            </w:r>
          </w:p>
        </w:tc>
      </w:tr>
      <w:tr>
        <w:tblPrEx>
          <w:tblCellMar>
            <w:top w:w="0" w:type="dxa"/>
            <w:left w:w="0" w:type="dxa"/>
            <w:bottom w:w="0" w:type="dxa"/>
            <w:right w:w="0" w:type="dxa"/>
          </w:tblCellMar>
        </w:tblPrEx>
        <w:trPr>
          <w:trHeight w:val="608" w:hRule="atLeast"/>
          <w:jc w:val="center"/>
        </w:trPr>
        <w:tc>
          <w:tcPr>
            <w:tcW w:w="492" w:type="dxa"/>
            <w:tcBorders>
              <w:top w:val="nil"/>
              <w:left w:val="single" w:color="auto" w:sz="8" w:space="0"/>
              <w:bottom w:val="single" w:color="auto" w:sz="8" w:space="0"/>
              <w:right w:val="single" w:color="auto"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rPr>
                <w:rFonts w:hint="default" w:ascii="Times New Roman" w:hAnsi="Times New Roman" w:cs="Times New Roman"/>
                <w:sz w:val="24"/>
                <w:szCs w:val="24"/>
              </w:rPr>
            </w:pPr>
            <w:r>
              <w:rPr>
                <w:rFonts w:hint="eastAsia" w:ascii="宋体" w:hAnsi="宋体" w:eastAsia="宋体" w:cs="宋体"/>
                <w:color w:val="000000"/>
                <w:sz w:val="21"/>
                <w:szCs w:val="21"/>
              </w:rPr>
              <w:t> </w:t>
            </w:r>
          </w:p>
        </w:tc>
        <w:tc>
          <w:tcPr>
            <w:tcW w:w="557" w:type="dxa"/>
            <w:tcBorders>
              <w:top w:val="nil"/>
              <w:left w:val="nil"/>
              <w:bottom w:val="single" w:color="auto" w:sz="8" w:space="0"/>
              <w:right w:val="single" w:color="auto"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 </w:t>
            </w:r>
          </w:p>
        </w:tc>
        <w:tc>
          <w:tcPr>
            <w:tcW w:w="84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rPr>
              <w:t> </w:t>
            </w:r>
          </w:p>
        </w:tc>
        <w:tc>
          <w:tcPr>
            <w:tcW w:w="261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rPr>
              <w:t> </w:t>
            </w:r>
          </w:p>
        </w:tc>
        <w:tc>
          <w:tcPr>
            <w:tcW w:w="323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rPr>
              <w:t> </w:t>
            </w:r>
          </w:p>
        </w:tc>
        <w:tc>
          <w:tcPr>
            <w:tcW w:w="585" w:type="dxa"/>
            <w:tcBorders>
              <w:top w:val="nil"/>
              <w:left w:val="nil"/>
              <w:bottom w:val="single" w:color="auto" w:sz="8" w:space="0"/>
              <w:right w:val="single" w:color="auto"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default" w:ascii="Times New Roman" w:hAnsi="Times New Roman" w:cs="Times New Roman"/>
                <w:sz w:val="24"/>
                <w:szCs w:val="24"/>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wY2JkYzMwYzlhZDRkOTk2ODZkZmFkNzc5YTlmODkifQ=="/>
  </w:docVars>
  <w:rsids>
    <w:rsidRoot w:val="272D0B9D"/>
    <w:rsid w:val="01A544B3"/>
    <w:rsid w:val="2489486D"/>
    <w:rsid w:val="272D0B9D"/>
    <w:rsid w:val="4B776611"/>
    <w:rsid w:val="54B72D1E"/>
    <w:rsid w:val="5648279F"/>
    <w:rsid w:val="60E26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25</Pages>
  <Words>9529</Words>
  <Characters>10102</Characters>
  <Lines>0</Lines>
  <Paragraphs>0</Paragraphs>
  <TotalTime>8</TotalTime>
  <ScaleCrop>false</ScaleCrop>
  <LinksUpToDate>false</LinksUpToDate>
  <CharactersWithSpaces>10107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2021-11-09T02:12:00Z</dcterms:created>
  <dc:creator>Administrator</dc:creator>
  <cp:lastModifiedBy>Administrator</cp:lastModifiedBy>
  <dcterms:modified xsi:type="dcterms:W3CDTF">2023-07-04T03:09:09Z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D3333E7C9CAA48DEBEDB73D81C4F598C_13</vt:lpwstr>
  </property>
</Properties>
</file>