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147" w:hanging="147" w:hangingChars="46"/>
        <w:rPr>
          <w:rFonts w:ascii="仿宋" w:hAnsi="仿宋" w:eastAsia="仿宋"/>
          <w:sz w:val="32"/>
          <w:szCs w:val="32"/>
        </w:rPr>
      </w:pPr>
    </w:p>
    <w:p>
      <w:pPr>
        <w:spacing w:line="600" w:lineRule="exact"/>
        <w:ind w:left="660" w:hanging="660"/>
        <w:jc w:val="center"/>
        <w:rPr>
          <w:rFonts w:ascii="黑体" w:hAnsi="黑体" w:eastAsia="黑体"/>
          <w:sz w:val="44"/>
          <w:szCs w:val="44"/>
        </w:rPr>
      </w:pPr>
      <w:r>
        <w:rPr>
          <w:rFonts w:hint="eastAsia" w:ascii="黑体" w:hAnsi="黑体" w:eastAsia="黑体"/>
          <w:sz w:val="44"/>
          <w:szCs w:val="44"/>
        </w:rPr>
        <w:t>新邵县寸石镇</w:t>
      </w:r>
      <w:r>
        <w:rPr>
          <w:rFonts w:ascii="黑体" w:hAnsi="黑体" w:eastAsia="黑体"/>
          <w:sz w:val="44"/>
          <w:szCs w:val="44"/>
        </w:rPr>
        <w:t>督管办</w:t>
      </w:r>
    </w:p>
    <w:p>
      <w:pPr>
        <w:spacing w:line="600" w:lineRule="exact"/>
        <w:ind w:left="660" w:hanging="660"/>
        <w:jc w:val="center"/>
        <w:rPr>
          <w:rFonts w:ascii="黑体" w:hAnsi="黑体" w:eastAsia="黑体"/>
          <w:sz w:val="44"/>
          <w:szCs w:val="44"/>
        </w:rPr>
      </w:pPr>
      <w:r>
        <w:rPr>
          <w:rFonts w:ascii="黑体" w:hAnsi="黑体" w:eastAsia="黑体"/>
          <w:sz w:val="44"/>
          <w:szCs w:val="44"/>
        </w:rPr>
        <w:t>20</w:t>
      </w:r>
      <w:r>
        <w:rPr>
          <w:rFonts w:hint="eastAsia" w:ascii="黑体" w:hAnsi="黑体" w:eastAsia="黑体"/>
          <w:sz w:val="44"/>
          <w:szCs w:val="44"/>
        </w:rPr>
        <w:t>20</w:t>
      </w:r>
      <w:r>
        <w:rPr>
          <w:rFonts w:ascii="黑体" w:hAnsi="黑体" w:eastAsia="黑体"/>
          <w:sz w:val="44"/>
          <w:szCs w:val="44"/>
        </w:rPr>
        <w:t>年度</w:t>
      </w:r>
      <w:r>
        <w:rPr>
          <w:rFonts w:hint="eastAsia" w:ascii="黑体" w:hAnsi="黑体" w:eastAsia="黑体"/>
          <w:sz w:val="44"/>
          <w:szCs w:val="44"/>
        </w:rPr>
        <w:t>部门整体支出绩效自评报告</w:t>
      </w:r>
    </w:p>
    <w:p>
      <w:pPr>
        <w:spacing w:line="600" w:lineRule="exact"/>
        <w:ind w:left="482" w:hanging="482"/>
        <w:jc w:val="center"/>
        <w:rPr>
          <w:rFonts w:ascii="仿宋" w:hAnsi="仿宋" w:eastAsia="仿宋"/>
          <w:b/>
          <w:sz w:val="32"/>
          <w:szCs w:val="32"/>
        </w:rPr>
      </w:pPr>
    </w:p>
    <w:p>
      <w:pPr>
        <w:adjustRightInd w:val="0"/>
        <w:snapToGrid w:val="0"/>
        <w:spacing w:line="500" w:lineRule="atLeast"/>
        <w:ind w:left="0" w:firstLine="640" w:firstLineChars="200"/>
        <w:outlineLvl w:val="0"/>
        <w:rPr>
          <w:rFonts w:ascii="仿宋" w:hAnsi="仿宋" w:eastAsia="仿宋"/>
          <w:sz w:val="32"/>
          <w:szCs w:val="32"/>
        </w:rPr>
      </w:pPr>
      <w:r>
        <w:rPr>
          <w:rFonts w:hint="eastAsia" w:ascii="仿宋" w:hAnsi="仿宋" w:eastAsia="仿宋"/>
          <w:sz w:val="32"/>
          <w:szCs w:val="32"/>
        </w:rPr>
        <w:t>根据《湖南省财政厅关于印发〈湖南省预算支出绩效评价管理办法〉的通知》（湘财绩〔2020〕7号）文件精神，请县直各预算单位和各乡镇根据《新邵县财政局关于编制2020年部门整体支出绩效目标的通知》（新财预〔2020〕53号）和《新邵县财政局关于编制2020年项目预算绩效目标的通知》（新财预〔2020〕54号）的相关要求，对新邵县寸石镇督管办20</w:t>
      </w:r>
      <w:r>
        <w:rPr>
          <w:rFonts w:ascii="仿宋" w:hAnsi="仿宋" w:eastAsia="仿宋"/>
          <w:sz w:val="32"/>
          <w:szCs w:val="32"/>
        </w:rPr>
        <w:t>20</w:t>
      </w:r>
      <w:r>
        <w:rPr>
          <w:rFonts w:hint="eastAsia" w:ascii="仿宋" w:hAnsi="仿宋" w:eastAsia="仿宋"/>
          <w:sz w:val="32"/>
          <w:szCs w:val="32"/>
        </w:rPr>
        <w:t>年部门整体资金使用情况进行绩效评价。在评价过程中，我们秉着独立、客观、公正的原则，根据设定的绩效目标，运用科学、合理的绩效评价指标、评价标准和评价方法，对我单位部门整体支出的绩效目标完成情况、产出与效果、预算管理水平等进行绩效评价。现将绩效评价结果报告如下：</w:t>
      </w:r>
    </w:p>
    <w:p>
      <w:pPr>
        <w:adjustRightInd w:val="0"/>
        <w:snapToGrid w:val="0"/>
        <w:spacing w:line="600" w:lineRule="exact"/>
        <w:ind w:left="482" w:hanging="482"/>
        <w:outlineLvl w:val="0"/>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部门</w:t>
      </w:r>
      <w:r>
        <w:rPr>
          <w:rFonts w:ascii="仿宋" w:hAnsi="仿宋" w:eastAsia="仿宋"/>
          <w:b/>
          <w:sz w:val="32"/>
          <w:szCs w:val="32"/>
        </w:rPr>
        <w:t>概况</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）本单位部门</w:t>
      </w:r>
      <w:r>
        <w:rPr>
          <w:rFonts w:ascii="仿宋" w:hAnsi="仿宋" w:eastAsia="仿宋"/>
          <w:sz w:val="32"/>
          <w:szCs w:val="32"/>
        </w:rPr>
        <w:t>基本情况</w:t>
      </w:r>
      <w:r>
        <w:rPr>
          <w:rFonts w:hint="eastAsia" w:ascii="仿宋" w:hAnsi="仿宋" w:eastAsia="仿宋"/>
          <w:sz w:val="32"/>
          <w:szCs w:val="32"/>
        </w:rPr>
        <w:t>：</w:t>
      </w:r>
    </w:p>
    <w:p>
      <w:pPr>
        <w:snapToGrid w:val="0"/>
        <w:spacing w:line="500" w:lineRule="atLeast"/>
        <w:ind w:left="0" w:firstLine="640" w:firstLineChars="200"/>
        <w:jc w:val="left"/>
        <w:rPr>
          <w:rFonts w:ascii="仿宋" w:hAnsi="仿宋" w:eastAsia="仿宋" w:cs="仿宋_GB2312"/>
          <w:sz w:val="32"/>
          <w:szCs w:val="32"/>
        </w:rPr>
      </w:pPr>
      <w:r>
        <w:rPr>
          <w:rFonts w:hint="eastAsia" w:ascii="仿宋" w:hAnsi="仿宋" w:eastAsia="仿宋"/>
          <w:sz w:val="32"/>
          <w:szCs w:val="32"/>
        </w:rPr>
        <w:t>新邵县寸石镇督管办</w:t>
      </w:r>
      <w:r>
        <w:rPr>
          <w:rFonts w:hint="eastAsia" w:ascii="仿宋" w:hAnsi="仿宋" w:eastAsia="仿宋" w:cs="仿宋_GB2312"/>
          <w:sz w:val="32"/>
          <w:szCs w:val="32"/>
        </w:rPr>
        <w:t>为全额拨款的事业单位，所辖有1所公办幼儿园、6所完全小学、4所九年制学校以及寸石镇教育督学和管理服务办公室1个，共12个单位。编制人数</w:t>
      </w:r>
      <w:r>
        <w:rPr>
          <w:rFonts w:ascii="仿宋" w:hAnsi="仿宋" w:eastAsia="仿宋" w:cs="仿宋_GB2312"/>
          <w:sz w:val="32"/>
          <w:szCs w:val="32"/>
        </w:rPr>
        <w:t>398</w:t>
      </w:r>
      <w:r>
        <w:rPr>
          <w:rFonts w:hint="eastAsia" w:ascii="仿宋" w:hAnsi="仿宋" w:eastAsia="仿宋" w:cs="仿宋_GB2312"/>
          <w:sz w:val="32"/>
          <w:szCs w:val="32"/>
        </w:rPr>
        <w:t>人，现有在职人员232人，离退休人员1</w:t>
      </w:r>
      <w:r>
        <w:rPr>
          <w:rFonts w:ascii="仿宋" w:hAnsi="仿宋" w:eastAsia="仿宋" w:cs="仿宋_GB2312"/>
          <w:sz w:val="32"/>
          <w:szCs w:val="32"/>
        </w:rPr>
        <w:t>56</w:t>
      </w:r>
      <w:r>
        <w:rPr>
          <w:rFonts w:hint="eastAsia" w:ascii="仿宋" w:hAnsi="仿宋" w:eastAsia="仿宋" w:cs="仿宋_GB2312"/>
          <w:sz w:val="32"/>
          <w:szCs w:val="32"/>
        </w:rPr>
        <w:t>人。</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）主要工作职责。</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1、贯彻落实上级关于教育工作的法律、法规，拟订全镇教育改革与发展战略和规划，并组织实施。</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2、负责辖区内教育的统筹规划和协调管理，会同有关部门制定辖区内学校的设置标准，指导辖区内学校的教育教学改革，负责教育基本信息的统计、分析和发布。</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3、负责推进义务教育均衡发展和促进教育公平，负责义务教育的宏观指导与协调；指导幼儿教育工作。制定基础教育教学基本要求和教学基本制度，组织学习基础教育地方教材，全面实施素质教育。</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4、负责统计和监测全镇教育经费的投入和使用情况；指导、管理全镇资助经济困难学生工作；指导和组织实施本镇各校内部审计工作。</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5、指导辖区内学校的思想政治工作、德育工作、体育卫生与艺术教育以及国防教育工作，指导全镇的党团工作，指导和协调我镇教育的稳定工作。</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6、依据《教师法》规定，在职责范围内，主管全镇教师工作；贯彻实施辖区内教师资格标准，执行辖区内学校编制标准；加强人才队伍建设。</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7、指导教师参加继续教育、成人高等教育、高等教育自学考试等工作；负责组织小一、初一的招生考试工作；负责制定中小学、幼儿园的招生计划并组织实施。</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8、配合执行全县语言文字工作，组织实施全县语言文字规划，执行推广普通话和规范字及普通话师资培训工作。</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9、协助县教育局考察和管理中小学以上校长，负责辖区内其他校长和校务人员的考察和管理，指导辖区内学校校务班子的思想教育及有关培训工作。</w:t>
      </w:r>
    </w:p>
    <w:p>
      <w:pPr>
        <w:snapToGrid w:val="0"/>
        <w:spacing w:line="500" w:lineRule="atLeast"/>
        <w:ind w:left="0" w:firstLine="640" w:firstLineChars="200"/>
        <w:jc w:val="left"/>
        <w:rPr>
          <w:rFonts w:ascii="仿宋" w:hAnsi="仿宋" w:eastAsia="仿宋"/>
          <w:sz w:val="32"/>
          <w:szCs w:val="32"/>
        </w:rPr>
      </w:pPr>
      <w:r>
        <w:rPr>
          <w:rFonts w:hint="eastAsia" w:ascii="仿宋" w:hAnsi="仿宋" w:eastAsia="仿宋"/>
          <w:sz w:val="32"/>
          <w:szCs w:val="32"/>
        </w:rPr>
        <w:t>10、承办县教育局交办的其他事项。</w:t>
      </w:r>
    </w:p>
    <w:p>
      <w:pPr>
        <w:adjustRightInd w:val="0"/>
        <w:snapToGrid w:val="0"/>
        <w:spacing w:line="600" w:lineRule="exact"/>
        <w:ind w:left="147" w:hanging="147" w:hangingChars="46"/>
        <w:rPr>
          <w:rFonts w:ascii="仿宋" w:hAnsi="仿宋" w:eastAsia="仿宋"/>
          <w:sz w:val="32"/>
          <w:szCs w:val="32"/>
        </w:rPr>
      </w:pPr>
      <w:r>
        <w:rPr>
          <w:rFonts w:hint="eastAsia" w:ascii="仿宋" w:hAnsi="仿宋" w:eastAsia="仿宋"/>
          <w:sz w:val="32"/>
          <w:szCs w:val="32"/>
        </w:rPr>
        <w:t>（三）2020年度工作计划。</w:t>
      </w:r>
    </w:p>
    <w:p>
      <w:pPr>
        <w:adjustRightInd w:val="0"/>
        <w:snapToGrid w:val="0"/>
        <w:spacing w:line="500" w:lineRule="atLeast"/>
        <w:ind w:left="-315" w:leftChars="-150" w:firstLine="960" w:firstLineChars="300"/>
        <w:rPr>
          <w:rFonts w:ascii="仿宋" w:hAnsi="仿宋" w:eastAsia="仿宋"/>
          <w:sz w:val="32"/>
          <w:szCs w:val="32"/>
        </w:rPr>
      </w:pPr>
      <w:r>
        <w:rPr>
          <w:rFonts w:hint="eastAsia" w:ascii="仿宋" w:hAnsi="仿宋" w:eastAsia="仿宋"/>
          <w:sz w:val="32"/>
          <w:szCs w:val="32"/>
        </w:rPr>
        <w:t>1、围绕教育教学，突出党建引领，强化教师队伍建设。</w:t>
      </w:r>
    </w:p>
    <w:p>
      <w:pPr>
        <w:adjustRightInd w:val="0"/>
        <w:snapToGrid w:val="0"/>
        <w:spacing w:line="500" w:lineRule="atLeast"/>
        <w:ind w:left="-315" w:leftChars="-150" w:firstLine="960" w:firstLineChars="300"/>
        <w:rPr>
          <w:rFonts w:ascii="仿宋" w:hAnsi="仿宋" w:eastAsia="仿宋"/>
          <w:sz w:val="32"/>
          <w:szCs w:val="32"/>
        </w:rPr>
      </w:pPr>
      <w:r>
        <w:rPr>
          <w:rFonts w:hint="eastAsia" w:ascii="仿宋" w:hAnsi="仿宋" w:eastAsia="仿宋"/>
          <w:sz w:val="32"/>
          <w:szCs w:val="32"/>
        </w:rPr>
        <w:t>2、狠抓落实，推进义务教育均衡发展。</w:t>
      </w:r>
    </w:p>
    <w:p>
      <w:pPr>
        <w:adjustRightInd w:val="0"/>
        <w:snapToGrid w:val="0"/>
        <w:spacing w:line="500" w:lineRule="atLeast"/>
        <w:ind w:left="-315" w:leftChars="-150" w:firstLine="960" w:firstLineChars="300"/>
        <w:rPr>
          <w:rFonts w:ascii="仿宋" w:hAnsi="仿宋" w:eastAsia="仿宋"/>
          <w:sz w:val="32"/>
          <w:szCs w:val="32"/>
        </w:rPr>
      </w:pPr>
      <w:r>
        <w:rPr>
          <w:rFonts w:hint="eastAsia" w:ascii="仿宋" w:hAnsi="仿宋" w:eastAsia="仿宋"/>
          <w:sz w:val="32"/>
          <w:szCs w:val="32"/>
        </w:rPr>
        <w:t>3、加强学校德育工作，创新德育载体，提高工作实效。</w:t>
      </w:r>
    </w:p>
    <w:p>
      <w:pPr>
        <w:adjustRightInd w:val="0"/>
        <w:snapToGrid w:val="0"/>
        <w:spacing w:line="500" w:lineRule="atLeast"/>
        <w:ind w:left="-315" w:leftChars="-150" w:firstLine="960" w:firstLineChars="300"/>
        <w:rPr>
          <w:rFonts w:ascii="仿宋" w:hAnsi="仿宋" w:eastAsia="仿宋"/>
          <w:sz w:val="32"/>
          <w:szCs w:val="32"/>
        </w:rPr>
      </w:pPr>
      <w:r>
        <w:rPr>
          <w:rFonts w:hint="eastAsia" w:ascii="仿宋" w:hAnsi="仿宋" w:eastAsia="仿宋"/>
          <w:sz w:val="32"/>
          <w:szCs w:val="32"/>
        </w:rPr>
        <w:t>4、突出中心工作，全面提升教育教学质量。</w:t>
      </w:r>
    </w:p>
    <w:p>
      <w:pPr>
        <w:adjustRightInd w:val="0"/>
        <w:snapToGrid w:val="0"/>
        <w:spacing w:line="500" w:lineRule="atLeast"/>
        <w:ind w:left="-315" w:leftChars="-150" w:firstLine="960" w:firstLineChars="300"/>
        <w:rPr>
          <w:rFonts w:ascii="仿宋" w:hAnsi="仿宋" w:eastAsia="仿宋"/>
          <w:sz w:val="32"/>
          <w:szCs w:val="32"/>
        </w:rPr>
      </w:pPr>
      <w:r>
        <w:rPr>
          <w:rFonts w:hint="eastAsia" w:ascii="仿宋" w:hAnsi="仿宋" w:eastAsia="仿宋"/>
          <w:sz w:val="32"/>
          <w:szCs w:val="32"/>
        </w:rPr>
        <w:t>5、强化安全管理，筑牢学校安全防线。</w:t>
      </w:r>
    </w:p>
    <w:p>
      <w:pPr>
        <w:adjustRightInd w:val="0"/>
        <w:snapToGrid w:val="0"/>
        <w:spacing w:line="500" w:lineRule="atLeast"/>
        <w:ind w:left="-315" w:leftChars="-150" w:firstLine="960" w:firstLineChars="300"/>
        <w:rPr>
          <w:rFonts w:ascii="仿宋" w:hAnsi="仿宋" w:eastAsia="仿宋"/>
          <w:sz w:val="32"/>
          <w:szCs w:val="32"/>
        </w:rPr>
      </w:pPr>
      <w:r>
        <w:rPr>
          <w:rFonts w:hint="eastAsia" w:ascii="仿宋" w:hAnsi="仿宋" w:eastAsia="仿宋"/>
          <w:sz w:val="32"/>
          <w:szCs w:val="32"/>
        </w:rPr>
        <w:t>6、加强财务监管，规范财务收支行为，搞好后勤保障。</w:t>
      </w:r>
    </w:p>
    <w:p>
      <w:pPr>
        <w:adjustRightInd w:val="0"/>
        <w:snapToGrid w:val="0"/>
        <w:spacing w:line="600" w:lineRule="exact"/>
        <w:ind w:firstLine="643" w:firstLineChars="200"/>
        <w:rPr>
          <w:rFonts w:ascii="仿宋" w:hAnsi="仿宋" w:eastAsia="仿宋"/>
          <w:bCs/>
          <w:sz w:val="32"/>
          <w:szCs w:val="32"/>
        </w:rPr>
      </w:pPr>
      <w:r>
        <w:rPr>
          <w:rFonts w:hint="eastAsia" w:ascii="仿宋" w:hAnsi="仿宋" w:eastAsia="仿宋"/>
          <w:b/>
          <w:sz w:val="32"/>
          <w:szCs w:val="32"/>
        </w:rPr>
        <w:t>二、部门整体支出规模、使用方向和内容</w:t>
      </w:r>
      <w:r>
        <w:rPr>
          <w:rFonts w:hint="eastAsia" w:ascii="仿宋" w:hAnsi="仿宋" w:eastAsia="仿宋"/>
          <w:sz w:val="32"/>
          <w:szCs w:val="32"/>
        </w:rPr>
        <w:t>（</w:t>
      </w:r>
      <w:r>
        <w:rPr>
          <w:rFonts w:hint="eastAsia" w:ascii="仿宋" w:hAnsi="仿宋" w:eastAsia="仿宋"/>
          <w:bCs/>
          <w:sz w:val="32"/>
          <w:szCs w:val="32"/>
        </w:rPr>
        <w:t>以下所有表格单位金额为万元）。</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）年度预算收支情况</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1.年初预算收支</w:t>
      </w:r>
    </w:p>
    <w:tbl>
      <w:tblPr>
        <w:tblStyle w:val="8"/>
        <w:tblpPr w:leftFromText="180" w:rightFromText="180" w:vertAnchor="text" w:horzAnchor="page" w:tblpXSpec="center" w:tblpY="442"/>
        <w:tblOverlap w:val="never"/>
        <w:tblW w:w="8680" w:type="dxa"/>
        <w:jc w:val="center"/>
        <w:tblLayout w:type="fixed"/>
        <w:tblCellMar>
          <w:top w:w="0" w:type="dxa"/>
          <w:left w:w="0" w:type="dxa"/>
          <w:bottom w:w="0" w:type="dxa"/>
          <w:right w:w="0" w:type="dxa"/>
        </w:tblCellMar>
      </w:tblPr>
      <w:tblGrid>
        <w:gridCol w:w="2135"/>
        <w:gridCol w:w="1736"/>
        <w:gridCol w:w="1624"/>
        <w:gridCol w:w="1344"/>
        <w:gridCol w:w="1841"/>
      </w:tblGrid>
      <w:tr>
        <w:tblPrEx>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较上年增减变化</w:t>
            </w:r>
          </w:p>
        </w:tc>
      </w:tr>
      <w:tr>
        <w:tblPrEx>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snapToGrid w:val="0"/>
              <w:spacing w:line="600" w:lineRule="exact"/>
              <w:ind w:left="315" w:hanging="315"/>
              <w:rPr>
                <w:rFonts w:ascii="仿宋" w:hAnsi="仿宋" w:eastAsia="仿宋" w:cs="Arial"/>
                <w:color w:val="333333"/>
                <w:szCs w:val="21"/>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微软雅黑"/>
                <w:b/>
                <w:color w:val="000000"/>
                <w:kern w:val="0"/>
                <w:szCs w:val="21"/>
              </w:rPr>
              <w:t>2020</w:t>
            </w:r>
            <w:r>
              <w:rPr>
                <w:rFonts w:hint="eastAsia" w:ascii="仿宋" w:hAnsi="仿宋" w:eastAsia="仿宋" w:cs="宋体"/>
                <w:b/>
                <w:color w:val="000000"/>
                <w:kern w:val="0"/>
                <w:szCs w:val="21"/>
              </w:rPr>
              <w:t>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微软雅黑"/>
                <w:b/>
                <w:color w:val="000000"/>
                <w:kern w:val="0"/>
                <w:szCs w:val="21"/>
              </w:rPr>
              <w:t>2019</w:t>
            </w:r>
            <w:r>
              <w:rPr>
                <w:rFonts w:hint="eastAsia" w:ascii="仿宋" w:hAnsi="仿宋" w:eastAsia="仿宋" w:cs="宋体"/>
                <w:b/>
                <w:color w:val="000000"/>
                <w:kern w:val="0"/>
                <w:szCs w:val="21"/>
              </w:rPr>
              <w:t>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比例</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6" w:hanging="316"/>
              <w:jc w:val="left"/>
              <w:rPr>
                <w:rFonts w:ascii="仿宋" w:hAnsi="仿宋" w:eastAsia="仿宋" w:cs="微软雅黑"/>
                <w:color w:val="010101"/>
                <w:szCs w:val="21"/>
              </w:rPr>
            </w:pPr>
            <w:r>
              <w:rPr>
                <w:rFonts w:hint="eastAsia" w:ascii="仿宋" w:hAnsi="仿宋" w:eastAsia="仿宋" w:cs="宋体"/>
                <w:b/>
                <w:color w:val="010101"/>
                <w:kern w:val="0"/>
                <w:szCs w:val="21"/>
              </w:rPr>
              <w:t>收入预算</w:t>
            </w:r>
          </w:p>
        </w:tc>
        <w:tc>
          <w:tcPr>
            <w:tcW w:w="173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2968.4</w:t>
            </w:r>
          </w:p>
        </w:tc>
        <w:tc>
          <w:tcPr>
            <w:tcW w:w="162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3615.2</w:t>
            </w:r>
          </w:p>
        </w:tc>
        <w:tc>
          <w:tcPr>
            <w:tcW w:w="134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w:t>
            </w:r>
            <w:r>
              <w:rPr>
                <w:rFonts w:hint="eastAsia" w:ascii="仿宋" w:hAnsi="仿宋" w:eastAsia="仿宋" w:cs="微软雅黑"/>
                <w:color w:val="010101"/>
                <w:szCs w:val="21"/>
              </w:rPr>
              <w:t>646.8</w:t>
            </w:r>
          </w:p>
        </w:tc>
        <w:tc>
          <w:tcPr>
            <w:tcW w:w="184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17.9</w:t>
            </w:r>
            <w:r>
              <w:rPr>
                <w:rFonts w:ascii="仿宋" w:hAnsi="仿宋" w:eastAsia="仿宋" w:cs="微软雅黑"/>
                <w:color w:val="010101"/>
                <w:szCs w:val="21"/>
              </w:rPr>
              <w:t>%</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其中：财政经费拨款</w:t>
            </w:r>
          </w:p>
        </w:tc>
        <w:tc>
          <w:tcPr>
            <w:tcW w:w="173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2968.4</w:t>
            </w:r>
          </w:p>
        </w:tc>
        <w:tc>
          <w:tcPr>
            <w:tcW w:w="162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3615.2</w:t>
            </w:r>
          </w:p>
        </w:tc>
        <w:tc>
          <w:tcPr>
            <w:tcW w:w="1344" w:type="dxa"/>
            <w:tcBorders>
              <w:top w:val="nil"/>
              <w:left w:val="nil"/>
              <w:bottom w:val="single" w:color="auto" w:sz="8" w:space="0"/>
              <w:right w:val="single" w:color="auto" w:sz="8" w:space="0"/>
            </w:tcBorders>
            <w:tcMar>
              <w:left w:w="108" w:type="dxa"/>
              <w:right w:w="108" w:type="dxa"/>
            </w:tcMar>
            <w:vAlign w:val="center"/>
          </w:tcPr>
          <w:p>
            <w:pPr>
              <w:pStyle w:val="15"/>
              <w:ind w:left="315" w:leftChars="150" w:firstLine="0" w:firstLineChars="0"/>
            </w:pPr>
            <w:r>
              <w:rPr>
                <w:rFonts w:ascii="仿宋" w:hAnsi="仿宋" w:eastAsia="仿宋" w:cs="微软雅黑"/>
                <w:color w:val="010101"/>
                <w:szCs w:val="21"/>
              </w:rPr>
              <w:t>-</w:t>
            </w:r>
            <w:r>
              <w:rPr>
                <w:rFonts w:hint="eastAsia" w:ascii="仿宋" w:hAnsi="仿宋" w:eastAsia="仿宋" w:cs="微软雅黑"/>
                <w:color w:val="010101"/>
                <w:szCs w:val="21"/>
              </w:rPr>
              <w:t>646.8</w:t>
            </w:r>
          </w:p>
        </w:tc>
        <w:tc>
          <w:tcPr>
            <w:tcW w:w="184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17.9</w:t>
            </w:r>
            <w:r>
              <w:rPr>
                <w:rFonts w:ascii="仿宋" w:hAnsi="仿宋" w:eastAsia="仿宋" w:cs="微软雅黑"/>
                <w:color w:val="010101"/>
                <w:szCs w:val="21"/>
              </w:rPr>
              <w:t>%</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6" w:hanging="316"/>
              <w:jc w:val="left"/>
              <w:rPr>
                <w:rFonts w:ascii="仿宋" w:hAnsi="仿宋" w:eastAsia="仿宋" w:cs="微软雅黑"/>
                <w:color w:val="010101"/>
                <w:szCs w:val="21"/>
              </w:rPr>
            </w:pPr>
            <w:r>
              <w:rPr>
                <w:rFonts w:hint="eastAsia" w:ascii="仿宋" w:hAnsi="仿宋" w:eastAsia="仿宋" w:cs="宋体"/>
                <w:b/>
                <w:color w:val="010101"/>
                <w:kern w:val="0"/>
                <w:szCs w:val="21"/>
              </w:rPr>
              <w:t>支出预算</w:t>
            </w:r>
          </w:p>
        </w:tc>
        <w:tc>
          <w:tcPr>
            <w:tcW w:w="173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2968.4</w:t>
            </w:r>
          </w:p>
        </w:tc>
        <w:tc>
          <w:tcPr>
            <w:tcW w:w="162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3615.2</w:t>
            </w:r>
          </w:p>
        </w:tc>
        <w:tc>
          <w:tcPr>
            <w:tcW w:w="134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w:t>
            </w:r>
            <w:r>
              <w:rPr>
                <w:rFonts w:hint="eastAsia" w:ascii="仿宋" w:hAnsi="仿宋" w:eastAsia="仿宋" w:cs="微软雅黑"/>
                <w:color w:val="010101"/>
                <w:szCs w:val="21"/>
              </w:rPr>
              <w:t>646.8</w:t>
            </w:r>
          </w:p>
        </w:tc>
        <w:tc>
          <w:tcPr>
            <w:tcW w:w="184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17.9</w:t>
            </w:r>
            <w:r>
              <w:rPr>
                <w:rFonts w:ascii="仿宋" w:hAnsi="仿宋" w:eastAsia="仿宋" w:cs="微软雅黑"/>
                <w:color w:val="010101"/>
                <w:szCs w:val="21"/>
              </w:rPr>
              <w:t>%</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其中：基本支出</w:t>
            </w:r>
          </w:p>
        </w:tc>
        <w:tc>
          <w:tcPr>
            <w:tcW w:w="173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2968.4</w:t>
            </w:r>
          </w:p>
        </w:tc>
        <w:tc>
          <w:tcPr>
            <w:tcW w:w="162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3440.6</w:t>
            </w:r>
          </w:p>
        </w:tc>
        <w:tc>
          <w:tcPr>
            <w:tcW w:w="134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w:t>
            </w:r>
            <w:r>
              <w:rPr>
                <w:rFonts w:hint="eastAsia" w:ascii="仿宋" w:hAnsi="仿宋" w:eastAsia="仿宋" w:cs="微软雅黑"/>
                <w:color w:val="010101"/>
                <w:szCs w:val="21"/>
              </w:rPr>
              <w:t>646.8</w:t>
            </w:r>
          </w:p>
        </w:tc>
        <w:tc>
          <w:tcPr>
            <w:tcW w:w="184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17.9</w:t>
            </w:r>
            <w:r>
              <w:rPr>
                <w:rFonts w:ascii="仿宋" w:hAnsi="仿宋" w:eastAsia="仿宋" w:cs="微软雅黑"/>
                <w:color w:val="010101"/>
                <w:szCs w:val="21"/>
              </w:rPr>
              <w:t>%</w:t>
            </w:r>
          </w:p>
        </w:tc>
      </w:tr>
      <w:tr>
        <w:tblPrEx>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4" w:space="0"/>
              <w:right w:val="single" w:color="auto" w:sz="8" w:space="0"/>
            </w:tcBorders>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其中：项目支出</w:t>
            </w:r>
          </w:p>
        </w:tc>
        <w:tc>
          <w:tcPr>
            <w:tcW w:w="1736" w:type="dxa"/>
            <w:tcBorders>
              <w:top w:val="nil"/>
              <w:left w:val="nil"/>
              <w:bottom w:val="single" w:color="auto" w:sz="4"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0</w:t>
            </w:r>
          </w:p>
        </w:tc>
        <w:tc>
          <w:tcPr>
            <w:tcW w:w="1624" w:type="dxa"/>
            <w:tcBorders>
              <w:top w:val="nil"/>
              <w:left w:val="nil"/>
              <w:bottom w:val="single" w:color="auto" w:sz="4"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174.6</w:t>
            </w:r>
          </w:p>
        </w:tc>
        <w:tc>
          <w:tcPr>
            <w:tcW w:w="1344" w:type="dxa"/>
            <w:tcBorders>
              <w:top w:val="nil"/>
              <w:left w:val="nil"/>
              <w:bottom w:val="single" w:color="auto" w:sz="4" w:space="0"/>
              <w:right w:val="single" w:color="auto" w:sz="8" w:space="0"/>
            </w:tcBorders>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w:t>
            </w:r>
            <w:r>
              <w:rPr>
                <w:rFonts w:hint="eastAsia" w:ascii="仿宋" w:hAnsi="仿宋" w:eastAsia="仿宋" w:cs="微软雅黑"/>
                <w:color w:val="010101"/>
                <w:szCs w:val="21"/>
              </w:rPr>
              <w:t>174.6</w:t>
            </w:r>
          </w:p>
        </w:tc>
        <w:tc>
          <w:tcPr>
            <w:tcW w:w="1841" w:type="dxa"/>
            <w:tcBorders>
              <w:top w:val="nil"/>
              <w:left w:val="nil"/>
              <w:bottom w:val="single" w:color="auto" w:sz="4"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100</w:t>
            </w:r>
            <w:r>
              <w:rPr>
                <w:rFonts w:ascii="仿宋" w:hAnsi="仿宋" w:eastAsia="仿宋" w:cs="微软雅黑"/>
                <w:color w:val="010101"/>
                <w:szCs w:val="21"/>
              </w:rPr>
              <w:t>%</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根据年初预算批复，与上年比较，较上年有所</w:t>
      </w:r>
      <w:r>
        <w:rPr>
          <w:rFonts w:ascii="仿宋" w:hAnsi="仿宋" w:eastAsia="仿宋"/>
          <w:sz w:val="32"/>
          <w:szCs w:val="32"/>
        </w:rPr>
        <w:t>减少</w:t>
      </w:r>
      <w:r>
        <w:rPr>
          <w:rFonts w:hint="eastAsia" w:ascii="仿宋" w:hAnsi="仿宋" w:eastAsia="仿宋"/>
          <w:sz w:val="32"/>
          <w:szCs w:val="32"/>
        </w:rPr>
        <w:t>，学生人数</w:t>
      </w:r>
      <w:r>
        <w:rPr>
          <w:rFonts w:ascii="仿宋" w:hAnsi="仿宋" w:eastAsia="仿宋"/>
          <w:sz w:val="32"/>
          <w:szCs w:val="32"/>
        </w:rPr>
        <w:t>和在职人员数都比上年度减少，本年度没有项目支出</w:t>
      </w:r>
      <w:r>
        <w:rPr>
          <w:rFonts w:hint="eastAsia" w:ascii="仿宋" w:hAnsi="仿宋" w:eastAsia="仿宋"/>
          <w:sz w:val="32"/>
          <w:szCs w:val="32"/>
        </w:rPr>
        <w:t>。</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2.财政预算整体支出使用范围、方向和内容</w:t>
      </w:r>
    </w:p>
    <w:tbl>
      <w:tblPr>
        <w:tblStyle w:val="8"/>
        <w:tblW w:w="0" w:type="auto"/>
        <w:jc w:val="center"/>
        <w:tblLayout w:type="fixed"/>
        <w:tblCellMar>
          <w:top w:w="0" w:type="dxa"/>
          <w:left w:w="0" w:type="dxa"/>
          <w:bottom w:w="0" w:type="dxa"/>
          <w:right w:w="0" w:type="dxa"/>
        </w:tblCellMar>
      </w:tblPr>
      <w:tblGrid>
        <w:gridCol w:w="2859"/>
        <w:gridCol w:w="1748"/>
        <w:gridCol w:w="133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工资福利支出</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2305</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2305</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商品和服务支出</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328.3</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328.3</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对个人和家庭的补助</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335.1</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335.1</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w:t>
            </w:r>
            <w:r>
              <w:rPr>
                <w:rFonts w:hint="eastAsia" w:ascii="宋体" w:hAnsi="宋体" w:eastAsia="仿宋" w:cs="宋体"/>
                <w:bCs/>
                <w:color w:val="000000"/>
                <w:kern w:val="0"/>
                <w:szCs w:val="21"/>
              </w:rPr>
              <w:t> </w:t>
            </w:r>
            <w:r>
              <w:rPr>
                <w:rFonts w:hint="eastAsia" w:ascii="仿宋" w:hAnsi="仿宋" w:eastAsia="仿宋" w:cs="宋体"/>
                <w:bCs/>
                <w:color w:val="000000"/>
                <w:kern w:val="0"/>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2968.4</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2968.4</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）年度收支决算情况</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1.年度收入决算</w:t>
      </w:r>
    </w:p>
    <w:tbl>
      <w:tblPr>
        <w:tblStyle w:val="8"/>
        <w:tblW w:w="0" w:type="auto"/>
        <w:jc w:val="center"/>
        <w:tblLayout w:type="fixed"/>
        <w:tblCellMar>
          <w:top w:w="0" w:type="dxa"/>
          <w:left w:w="0" w:type="dxa"/>
          <w:bottom w:w="0" w:type="dxa"/>
          <w:right w:w="0" w:type="dxa"/>
        </w:tblCellMar>
      </w:tblPr>
      <w:tblGrid>
        <w:gridCol w:w="2063"/>
        <w:gridCol w:w="1693"/>
        <w:gridCol w:w="1820"/>
        <w:gridCol w:w="2264"/>
      </w:tblGrid>
      <w:tr>
        <w:tblPrEx>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财政拨款收入</w:t>
            </w:r>
          </w:p>
        </w:tc>
        <w:tc>
          <w:tcPr>
            <w:tcW w:w="169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2968.4</w:t>
            </w:r>
          </w:p>
        </w:tc>
        <w:tc>
          <w:tcPr>
            <w:tcW w:w="1820"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4435.4</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1467</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由于预算时基本支出的工资福利支出和商品服务支出计算提取比例不足少算了一部分支出，预算没有计算本镇退休教师的退休工资及学生的助学金，导致决算金额多于预算金额。</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2.年度预算支出决算及结余</w:t>
      </w:r>
    </w:p>
    <w:tbl>
      <w:tblPr>
        <w:tblStyle w:val="8"/>
        <w:tblW w:w="7953" w:type="dxa"/>
        <w:tblInd w:w="185" w:type="dxa"/>
        <w:tblLayout w:type="fixed"/>
        <w:tblCellMar>
          <w:top w:w="0" w:type="dxa"/>
          <w:left w:w="0" w:type="dxa"/>
          <w:bottom w:w="0" w:type="dxa"/>
          <w:right w:w="0" w:type="dxa"/>
        </w:tblCellMar>
      </w:tblPr>
      <w:tblGrid>
        <w:gridCol w:w="1739"/>
        <w:gridCol w:w="2268"/>
        <w:gridCol w:w="1984"/>
        <w:gridCol w:w="1962"/>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预算支出类别</w:t>
            </w:r>
          </w:p>
        </w:tc>
        <w:tc>
          <w:tcPr>
            <w:tcW w:w="226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基本支出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2968.4</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4435.4</w:t>
            </w: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1467</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项目支出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小计</w:t>
            </w:r>
          </w:p>
        </w:tc>
        <w:tc>
          <w:tcPr>
            <w:tcW w:w="226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2968.4</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4435.4</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1467</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由于预算时基本支出的工资福利支出和商品服务支出计算提取比例不足少算了一部分支出，预算没有计算本镇退休教师的退休工资及学生的助学金，导致决算金额多于预算金额。</w:t>
      </w:r>
    </w:p>
    <w:p>
      <w:pPr>
        <w:adjustRightInd w:val="0"/>
        <w:snapToGrid w:val="0"/>
        <w:spacing w:line="600" w:lineRule="exact"/>
        <w:ind w:left="480" w:hanging="480"/>
        <w:outlineLvl w:val="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部门整体支出管理及使用情况</w:t>
      </w:r>
    </w:p>
    <w:p>
      <w:pPr>
        <w:pStyle w:val="3"/>
        <w:widowControl/>
        <w:spacing w:before="0" w:beforeAutospacing="0" w:after="0" w:afterAutospacing="0" w:line="600" w:lineRule="exact"/>
        <w:jc w:val="both"/>
        <w:rPr>
          <w:rFonts w:hint="default" w:ascii="仿宋" w:hAnsi="仿宋" w:eastAsia="仿宋"/>
          <w:b w:val="0"/>
          <w:kern w:val="2"/>
          <w:sz w:val="32"/>
          <w:szCs w:val="32"/>
        </w:rPr>
      </w:pPr>
      <w:bookmarkStart w:id="0" w:name="_Toc419142208"/>
      <w:r>
        <w:rPr>
          <w:rFonts w:ascii="仿宋" w:hAnsi="仿宋" w:eastAsia="仿宋"/>
          <w:b w:val="0"/>
          <w:kern w:val="2"/>
          <w:sz w:val="32"/>
          <w:szCs w:val="32"/>
        </w:rPr>
        <w:t>（一）基本支出管理</w:t>
      </w:r>
      <w:bookmarkEnd w:id="0"/>
    </w:p>
    <w:p>
      <w:pPr>
        <w:pStyle w:val="4"/>
        <w:widowControl/>
        <w:spacing w:before="0" w:beforeAutospacing="0" w:after="0" w:afterAutospacing="0" w:line="600" w:lineRule="exact"/>
        <w:rPr>
          <w:rFonts w:hint="default" w:ascii="仿宋" w:hAnsi="仿宋" w:eastAsia="仿宋"/>
          <w:b w:val="0"/>
          <w:kern w:val="2"/>
          <w:sz w:val="32"/>
          <w:szCs w:val="32"/>
        </w:rPr>
      </w:pPr>
      <w:r>
        <w:rPr>
          <w:rFonts w:ascii="仿宋" w:hAnsi="仿宋" w:eastAsia="仿宋"/>
          <w:b w:val="0"/>
          <w:kern w:val="2"/>
          <w:sz w:val="32"/>
          <w:szCs w:val="32"/>
        </w:rPr>
        <w:t>1、基本支出总额使用和管理</w:t>
      </w:r>
    </w:p>
    <w:tbl>
      <w:tblPr>
        <w:tblStyle w:val="8"/>
        <w:tblW w:w="0" w:type="auto"/>
        <w:jc w:val="center"/>
        <w:tblLayout w:type="fixed"/>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宋体" w:hAnsi="宋体" w:eastAsia="仿宋" w:cs="宋体"/>
                <w:bCs/>
                <w:color w:val="000000"/>
                <w:kern w:val="0"/>
                <w:szCs w:val="21"/>
              </w:rPr>
              <w:t> </w:t>
            </w:r>
            <w:r>
              <w:rPr>
                <w:rFonts w:hint="eastAsia" w:ascii="仿宋" w:hAnsi="仿宋" w:eastAsia="仿宋" w:cs="宋体"/>
                <w:bCs/>
                <w:color w:val="000000"/>
                <w:kern w:val="0"/>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工资福利支出</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2305</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2604.</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299</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商品和服务支出</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328.3</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628.3</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300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对个人和家庭的补助</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335.1</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1203.1</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868</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2968.4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4435.4</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1467</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2、基本支出中各费用明细支出管理</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（1）工资福利支出</w:t>
      </w:r>
    </w:p>
    <w:tbl>
      <w:tblPr>
        <w:tblStyle w:val="8"/>
        <w:tblW w:w="0" w:type="auto"/>
        <w:jc w:val="center"/>
        <w:tblLayout w:type="fixed"/>
        <w:tblCellMar>
          <w:top w:w="0" w:type="dxa"/>
          <w:left w:w="0" w:type="dxa"/>
          <w:bottom w:w="0" w:type="dxa"/>
          <w:right w:w="0" w:type="dxa"/>
        </w:tblCellMar>
      </w:tblPr>
      <w:tblGrid>
        <w:gridCol w:w="2431"/>
        <w:gridCol w:w="1134"/>
        <w:gridCol w:w="1134"/>
        <w:gridCol w:w="1417"/>
        <w:gridCol w:w="1664"/>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节约/超支金额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基本工资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956.4</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974.4</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18</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1.9%</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津贴补贴</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183.2</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260</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76.8</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41.9%</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奖金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79.7</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115</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35.3</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44.3%</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伙食补助费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绩效工资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513</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535.5</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22.5</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4.4%</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机关事业单位基本养老保险缴费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229.9</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241.6</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11.7</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5.1%</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职业年金缴费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123.7</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123.7</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职工基本医疗保险缴费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118.7</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123.7</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5.</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4.2%</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公务员医疗补助缴费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其他社会保障缴费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38.2</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39.2</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2.6%</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住房公积金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185.9</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190.9</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5</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2.7%</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医疗费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其他工资福利支出</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合计</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2305</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2604.</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299</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13%</w:t>
            </w:r>
          </w:p>
        </w:tc>
      </w:tr>
    </w:tbl>
    <w:p>
      <w:pPr>
        <w:adjustRightInd w:val="0"/>
        <w:snapToGrid w:val="0"/>
        <w:spacing w:line="600" w:lineRule="exact"/>
        <w:ind w:left="147" w:firstLine="160" w:firstLineChars="50"/>
        <w:rPr>
          <w:rFonts w:ascii="仿宋" w:hAnsi="仿宋" w:eastAsia="仿宋"/>
          <w:sz w:val="32"/>
          <w:szCs w:val="32"/>
        </w:rPr>
      </w:pPr>
      <w:r>
        <w:rPr>
          <w:rFonts w:hint="eastAsia" w:ascii="仿宋" w:hAnsi="仿宋" w:eastAsia="仿宋"/>
          <w:sz w:val="32"/>
          <w:szCs w:val="32"/>
        </w:rPr>
        <w:t>预算中没有包括职业年金，所以决算金额中职业年金超支率为100%，津贴补贴和奖金，预算和决算的教职工人数有较大区别，政策也有变化，所以决算超支率比较大。工资福利支出基本控制在预算内。</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（2）商品和服务支出</w:t>
      </w:r>
    </w:p>
    <w:tbl>
      <w:tblPr>
        <w:tblStyle w:val="8"/>
        <w:tblW w:w="0" w:type="auto"/>
        <w:jc w:val="center"/>
        <w:tblLayout w:type="fixed"/>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420" w:leftChars="200" w:firstLine="315" w:firstLineChars="150"/>
              <w:jc w:val="both"/>
              <w:rPr>
                <w:rFonts w:ascii="仿宋" w:hAnsi="仿宋" w:eastAsia="仿宋" w:cs="宋体"/>
                <w:color w:val="010101"/>
                <w:kern w:val="0"/>
                <w:szCs w:val="21"/>
              </w:rPr>
            </w:pPr>
            <w:bookmarkStart w:id="2" w:name="_GoBack"/>
            <w:bookmarkEnd w:id="2"/>
            <w:r>
              <w:rPr>
                <w:rFonts w:hint="eastAsia" w:ascii="仿宋" w:hAnsi="仿宋" w:eastAsia="仿宋" w:cs="宋体"/>
                <w:color w:val="010101"/>
                <w:kern w:val="0"/>
                <w:szCs w:val="21"/>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办公费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60</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67.4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7.4</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12.3%</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印刷费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8.1</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3.9</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4.2</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51.9%</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水费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3.7</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2.9</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0.8</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21.6%</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手续费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0.7</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0.2</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0.5</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71.4%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电费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23.4</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22.5</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0.9</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3.8%</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邮电费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0.9</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0.6</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0.3</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33.3%</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取暖费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物业管理费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10.7</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9.8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0.9</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8.4%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差旅费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11</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10.1</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0.9</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8.2%</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因公出国（境）费用</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维修（护）费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51</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347.8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296.8</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582%</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租赁费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会议费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12.2</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0.2</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12</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98.4%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培训费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15.3</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16.5</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1.2</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7.8%</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公务接待费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0.6</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0.6</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100%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专用材料费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39.3</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43.7</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4.4</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11.2%</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被装购置费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专用燃料费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劳务费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7.4</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8.5</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1.1</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14.9%</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委托业务费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工会经费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42</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50</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8</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19%</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福利费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公务用车运行维护费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其他交通费</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6.2</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7.7</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1.5</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24.2%</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税金及附加费用</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其他商品和服务支出</w:t>
            </w:r>
          </w:p>
        </w:tc>
        <w:tc>
          <w:tcPr>
            <w:tcW w:w="1398"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35.8</w:t>
            </w:r>
          </w:p>
        </w:tc>
        <w:tc>
          <w:tcPr>
            <w:tcW w:w="1537"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36.5</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0.7</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328.3</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628.3</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300</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ind w:left="315" w:hanging="315"/>
              <w:rPr>
                <w:rFonts w:ascii="仿宋" w:hAnsi="仿宋" w:eastAsia="仿宋"/>
                <w:kern w:val="0"/>
                <w:szCs w:val="21"/>
              </w:rPr>
            </w:pPr>
            <w:r>
              <w:rPr>
                <w:rFonts w:hint="eastAsia" w:ascii="仿宋" w:hAnsi="仿宋" w:eastAsia="仿宋"/>
                <w:kern w:val="0"/>
                <w:szCs w:val="21"/>
              </w:rPr>
              <w:t>91.4%</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根据上级精神,严格控制非生产性开支，逐年减少三公经费开支，其他的商品和服务支出项目均控制在预算内。维修费的增加是上级部门划拨往年的基建尾款。</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（3）对个人和家庭的补助</w:t>
      </w:r>
    </w:p>
    <w:tbl>
      <w:tblPr>
        <w:tblStyle w:val="8"/>
        <w:tblW w:w="8364" w:type="dxa"/>
        <w:tblInd w:w="0" w:type="dxa"/>
        <w:tblLayout w:type="fixed"/>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离休费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退休费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868.6</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868.6</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100%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退职（役）费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0.1</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抚恤金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生活补助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6.2</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000000" w:themeColor="text1"/>
                <w:kern w:val="0"/>
                <w:szCs w:val="21"/>
              </w:rPr>
            </w:pPr>
            <w:r>
              <w:rPr>
                <w:rFonts w:hint="eastAsia" w:ascii="仿宋" w:hAnsi="仿宋" w:eastAsia="仿宋"/>
                <w:color w:val="000000" w:themeColor="text1"/>
                <w:kern w:val="0"/>
                <w:szCs w:val="21"/>
              </w:rPr>
              <w:t>6.2</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000000" w:themeColor="text1"/>
                <w:kern w:val="0"/>
                <w:szCs w:val="21"/>
              </w:rPr>
            </w:pPr>
            <w:r>
              <w:rPr>
                <w:rFonts w:hint="eastAsia" w:ascii="仿宋" w:hAnsi="仿宋" w:eastAsia="仿宋"/>
                <w:color w:val="000000" w:themeColor="text1"/>
                <w:kern w:val="0"/>
                <w:szCs w:val="21"/>
              </w:rPr>
              <w:t>100%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救济费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医疗费补助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助学金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61.2</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323.1</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261.9</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428%</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奖励金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个人农业生产补贴</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其他对个人和家庭的补助支出</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267.6</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11.4</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p>
          <w:p>
            <w:pPr>
              <w:ind w:left="315" w:hanging="315"/>
              <w:rPr>
                <w:rFonts w:ascii="仿宋" w:hAnsi="仿宋" w:eastAsia="仿宋"/>
                <w:kern w:val="0"/>
                <w:szCs w:val="21"/>
              </w:rPr>
            </w:pPr>
            <w:r>
              <w:rPr>
                <w:rFonts w:hint="eastAsia" w:ascii="仿宋" w:hAnsi="仿宋" w:eastAsia="仿宋"/>
                <w:kern w:val="0"/>
                <w:szCs w:val="21"/>
              </w:rPr>
              <w:t>256.2</w:t>
            </w:r>
          </w:p>
          <w:p>
            <w:pPr>
              <w:ind w:left="149" w:hanging="149" w:hangingChars="71"/>
              <w:rPr>
                <w:rFonts w:ascii="仿宋" w:hAnsi="仿宋" w:eastAsia="仿宋"/>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95.7%</w:t>
            </w: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335.1</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kern w:val="0"/>
                <w:szCs w:val="21"/>
              </w:rPr>
            </w:pPr>
            <w:r>
              <w:rPr>
                <w:rFonts w:hint="eastAsia" w:ascii="仿宋" w:hAnsi="仿宋" w:eastAsia="仿宋"/>
                <w:kern w:val="0"/>
                <w:szCs w:val="21"/>
              </w:rPr>
              <w:t>1203.1</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868</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ind w:left="315" w:hanging="315"/>
              <w:rPr>
                <w:rFonts w:ascii="仿宋" w:hAnsi="仿宋" w:eastAsia="仿宋"/>
                <w:color w:val="FF0000"/>
                <w:kern w:val="0"/>
                <w:szCs w:val="21"/>
              </w:rPr>
            </w:pPr>
            <w:r>
              <w:rPr>
                <w:rFonts w:hint="eastAsia" w:ascii="仿宋" w:hAnsi="仿宋" w:eastAsia="仿宋"/>
                <w:color w:val="FF0000"/>
                <w:kern w:val="0"/>
                <w:szCs w:val="21"/>
              </w:rPr>
              <w:t>259%</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退休费在预算中没有数据，导致在决算中超支金额大，超支率为100%。助学金在预算中没有计算学生营养餐补助，在决算中又有体现，所以决算超支率也比较大，其他对个人和家庭的补助支出在预算中包含学生的营养餐补助支出，在决算中没有包含，所以预算与决算金额差别大。</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（二）“三公经费”支出使用和管理</w:t>
      </w:r>
    </w:p>
    <w:p>
      <w:pPr>
        <w:adjustRightInd w:val="0"/>
        <w:snapToGrid w:val="0"/>
        <w:spacing w:line="600" w:lineRule="exact"/>
        <w:ind w:left="480" w:hanging="480"/>
        <w:rPr>
          <w:rFonts w:ascii="仿宋" w:hAnsi="仿宋" w:eastAsia="仿宋"/>
          <w:sz w:val="32"/>
          <w:szCs w:val="32"/>
        </w:rPr>
      </w:pPr>
      <w:bookmarkStart w:id="1" w:name="_Toc419142213"/>
      <w:r>
        <w:rPr>
          <w:rFonts w:hint="eastAsia" w:ascii="仿宋" w:hAnsi="仿宋" w:eastAsia="仿宋"/>
          <w:sz w:val="32"/>
          <w:szCs w:val="32"/>
        </w:rPr>
        <w:t>1</w:t>
      </w:r>
      <w:bookmarkEnd w:id="1"/>
      <w:r>
        <w:rPr>
          <w:rFonts w:hint="eastAsia" w:ascii="仿宋" w:hAnsi="仿宋" w:eastAsia="仿宋"/>
          <w:sz w:val="32"/>
          <w:szCs w:val="32"/>
        </w:rPr>
        <w:t>、“三公经费”预算执行</w:t>
      </w:r>
    </w:p>
    <w:tbl>
      <w:tblPr>
        <w:tblStyle w:val="8"/>
        <w:tblW w:w="0" w:type="auto"/>
        <w:jc w:val="center"/>
        <w:tblLayout w:type="fixed"/>
        <w:tblCellMar>
          <w:top w:w="0" w:type="dxa"/>
          <w:left w:w="0" w:type="dxa"/>
          <w:bottom w:w="0" w:type="dxa"/>
          <w:right w:w="0" w:type="dxa"/>
        </w:tblCellMar>
      </w:tblPr>
      <w:tblGrid>
        <w:gridCol w:w="1632"/>
        <w:gridCol w:w="1065"/>
        <w:gridCol w:w="1125"/>
        <w:gridCol w:w="1005"/>
        <w:gridCol w:w="1170"/>
        <w:gridCol w:w="1149"/>
        <w:gridCol w:w="1290"/>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06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0.6</w:t>
            </w:r>
          </w:p>
        </w:tc>
        <w:tc>
          <w:tcPr>
            <w:tcW w:w="112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17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0.6</w:t>
            </w:r>
          </w:p>
        </w:tc>
        <w:tc>
          <w:tcPr>
            <w:tcW w:w="129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公车运行维护费</w:t>
            </w:r>
          </w:p>
        </w:tc>
        <w:tc>
          <w:tcPr>
            <w:tcW w:w="106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2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7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29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公务车购置费</w:t>
            </w:r>
          </w:p>
        </w:tc>
        <w:tc>
          <w:tcPr>
            <w:tcW w:w="106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2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7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29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因公出国费用</w:t>
            </w:r>
          </w:p>
        </w:tc>
        <w:tc>
          <w:tcPr>
            <w:tcW w:w="106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2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7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29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6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2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7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290" w:type="dxa"/>
            <w:tcBorders>
              <w:top w:val="nil"/>
              <w:left w:val="nil"/>
              <w:bottom w:val="single" w:color="000000" w:sz="8" w:space="0"/>
              <w:right w:val="single" w:color="000000" w:sz="8" w:space="0"/>
            </w:tcBorders>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25" w:type="dxa"/>
            <w:tcBorders>
              <w:top w:val="nil"/>
              <w:left w:val="nil"/>
              <w:bottom w:val="single" w:color="000000" w:sz="8" w:space="0"/>
              <w:right w:val="single" w:color="000000" w:sz="8" w:space="0"/>
            </w:tcBorders>
            <w:shd w:val="clear" w:color="auto" w:fill="D9D9D9"/>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shd w:val="clear" w:color="auto" w:fill="D9D9D9"/>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70" w:type="dxa"/>
            <w:tcBorders>
              <w:top w:val="nil"/>
              <w:left w:val="nil"/>
              <w:bottom w:val="single" w:color="000000" w:sz="8" w:space="0"/>
              <w:right w:val="single" w:color="000000" w:sz="8" w:space="0"/>
            </w:tcBorders>
            <w:shd w:val="clear" w:color="auto" w:fill="D9D9D9"/>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shd w:val="clear" w:color="auto" w:fill="D9D9D9"/>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c>
          <w:tcPr>
            <w:tcW w:w="1290" w:type="dxa"/>
            <w:tcBorders>
              <w:top w:val="nil"/>
              <w:left w:val="nil"/>
              <w:bottom w:val="single" w:color="000000" w:sz="8" w:space="0"/>
              <w:right w:val="single" w:color="000000" w:sz="8" w:space="0"/>
            </w:tcBorders>
            <w:shd w:val="clear" w:color="auto" w:fill="D9D9D9"/>
            <w:tcMar>
              <w:left w:w="15" w:type="dxa"/>
              <w:right w:w="15" w:type="dxa"/>
            </w:tcMar>
          </w:tcPr>
          <w:p>
            <w:pPr>
              <w:widowControl/>
              <w:snapToGrid w:val="0"/>
              <w:spacing w:line="600" w:lineRule="exact"/>
              <w:ind w:left="315" w:hanging="315"/>
              <w:jc w:val="center"/>
              <w:rPr>
                <w:rFonts w:ascii="仿宋" w:hAnsi="仿宋" w:eastAsia="仿宋" w:cs="宋体"/>
                <w:color w:val="010101"/>
                <w:kern w:val="0"/>
                <w:szCs w:val="21"/>
              </w:rPr>
            </w:pP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本年度没有三公经费支出。</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2、“三公经费”与上年度比较</w:t>
      </w:r>
    </w:p>
    <w:tbl>
      <w:tblPr>
        <w:tblStyle w:val="8"/>
        <w:tblW w:w="0" w:type="auto"/>
        <w:jc w:val="center"/>
        <w:tblLayout w:type="fixed"/>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17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公车运行维护费</w:t>
            </w:r>
          </w:p>
        </w:tc>
        <w:tc>
          <w:tcPr>
            <w:tcW w:w="117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5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477"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公务车辆购置费</w:t>
            </w:r>
          </w:p>
        </w:tc>
        <w:tc>
          <w:tcPr>
            <w:tcW w:w="117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5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477"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因公出国(境)费用</w:t>
            </w:r>
          </w:p>
        </w:tc>
        <w:tc>
          <w:tcPr>
            <w:tcW w:w="117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5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477"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7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5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477"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本年度没有三公经费支出。</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（三）专项支出管理</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本年度没有专项资金预算支出。</w:t>
      </w:r>
    </w:p>
    <w:p>
      <w:pPr>
        <w:pStyle w:val="2"/>
        <w:widowControl/>
        <w:spacing w:before="0" w:beforeAutospacing="0" w:after="0" w:afterAutospacing="0" w:line="600" w:lineRule="exact"/>
        <w:jc w:val="both"/>
        <w:rPr>
          <w:rFonts w:hint="default" w:ascii="黑体" w:hAnsi="黑体" w:eastAsia="黑体" w:cs="黑体"/>
          <w:bCs/>
          <w:sz w:val="30"/>
          <w:szCs w:val="30"/>
        </w:rPr>
      </w:pPr>
      <w:r>
        <w:rPr>
          <w:rFonts w:ascii="仿宋" w:hAnsi="仿宋" w:eastAsia="仿宋" w:cs="黑体"/>
          <w:bCs/>
          <w:sz w:val="32"/>
          <w:szCs w:val="32"/>
        </w:rPr>
        <w:t>四、部门整体支出绩效评价</w:t>
      </w:r>
    </w:p>
    <w:p>
      <w:pPr>
        <w:snapToGrid w:val="0"/>
        <w:spacing w:line="360" w:lineRule="auto"/>
        <w:ind w:left="450" w:hanging="450"/>
        <w:rPr>
          <w:rFonts w:ascii="仿宋" w:hAnsi="仿宋" w:eastAsia="黑体" w:cs="仿宋"/>
          <w:sz w:val="30"/>
          <w:szCs w:val="30"/>
        </w:rPr>
      </w:pPr>
      <w:r>
        <w:rPr>
          <w:rFonts w:hint="eastAsia" w:ascii="黑体" w:hAnsi="黑体" w:eastAsia="黑体" w:cs="黑体"/>
          <w:sz w:val="30"/>
          <w:szCs w:val="30"/>
        </w:rPr>
        <w:t>（一）绩效分析</w:t>
      </w:r>
    </w:p>
    <w:p>
      <w:pPr>
        <w:autoSpaceDE w:val="0"/>
        <w:autoSpaceDN w:val="0"/>
        <w:adjustRightInd w:val="0"/>
        <w:snapToGrid w:val="0"/>
        <w:spacing w:line="360" w:lineRule="auto"/>
        <w:ind w:left="450" w:hanging="450"/>
        <w:jc w:val="left"/>
        <w:textAlignment w:val="baseline"/>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1、投入分析</w:t>
      </w:r>
    </w:p>
    <w:p>
      <w:pPr>
        <w:autoSpaceDE w:val="0"/>
        <w:autoSpaceDN w:val="0"/>
        <w:adjustRightInd w:val="0"/>
        <w:snapToGrid w:val="0"/>
        <w:spacing w:line="360" w:lineRule="auto"/>
        <w:ind w:left="0" w:firstLine="602" w:firstLineChars="200"/>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b/>
          <w:bCs/>
          <w:sz w:val="30"/>
          <w:szCs w:val="30"/>
        </w:rPr>
        <w:t>(1)绩效目标合理性：</w:t>
      </w:r>
      <w:r>
        <w:rPr>
          <w:rFonts w:hint="eastAsia" w:ascii="仿宋_GB2312" w:hAnsi="仿宋_GB2312" w:eastAsia="仿宋_GB2312" w:cs="仿宋_GB2312"/>
          <w:sz w:val="30"/>
          <w:szCs w:val="30"/>
        </w:rPr>
        <w:t>新邵县寸石镇督管办部门整体支出绩效目标符合国家法律法规、国民经济和社会发展总体规划，符合部门“三定”方案确定的职责，符合部门制定的中长期实施规划。本指标分值2分，评价得分2分。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(2)绩效指标明确性：</w:t>
      </w:r>
      <w:r>
        <w:rPr>
          <w:rFonts w:hint="eastAsia" w:ascii="仿宋_GB2312" w:hAnsi="仿宋_GB2312" w:eastAsia="仿宋_GB2312" w:cs="仿宋_GB2312"/>
          <w:sz w:val="30"/>
          <w:szCs w:val="30"/>
        </w:rPr>
        <w:t>新邵县寸石镇督管办在部门整体支出绩效指标设置时，根据部门工作职能和发展规划，结合年度工作计划，充分考虑了部门整体支出绩效指标的重要性和综合性，绩效指标设定清晰、细化、可衡量。本指标分值3分，评价得分3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(3)在职人员控制率：</w:t>
      </w:r>
      <w:r>
        <w:rPr>
          <w:rFonts w:hint="eastAsia" w:ascii="仿宋_GB2312" w:hAnsi="仿宋_GB2312" w:eastAsia="仿宋_GB2312" w:cs="仿宋_GB2312"/>
          <w:sz w:val="30"/>
          <w:szCs w:val="30"/>
        </w:rPr>
        <w:t>新邵县寸石镇督管办编制人数398人，实有在职人员</w:t>
      </w:r>
      <w:r>
        <w:rPr>
          <w:rFonts w:ascii="仿宋_GB2312" w:hAnsi="仿宋_GB2312" w:eastAsia="仿宋_GB2312" w:cs="仿宋_GB2312"/>
          <w:sz w:val="30"/>
          <w:szCs w:val="30"/>
        </w:rPr>
        <w:t>232</w:t>
      </w:r>
      <w:r>
        <w:rPr>
          <w:rFonts w:hint="eastAsia" w:ascii="仿宋_GB2312" w:hAnsi="仿宋_GB2312" w:eastAsia="仿宋_GB2312" w:cs="仿宋_GB2312"/>
          <w:sz w:val="30"/>
          <w:szCs w:val="30"/>
        </w:rPr>
        <w:t>人，离退休156人</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在职人员控制率为100%。本指标分值5分，评价得分5分。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(4)“三公经费”变动率：</w:t>
      </w:r>
      <w:r>
        <w:rPr>
          <w:rFonts w:hint="eastAsia" w:ascii="仿宋_GB2312" w:hAnsi="仿宋_GB2312" w:eastAsia="仿宋_GB2312" w:cs="仿宋_GB2312"/>
          <w:sz w:val="30"/>
          <w:szCs w:val="30"/>
        </w:rPr>
        <w:t>通过查阅2019年和2020年的决算资料，2019年“三公经费”总额</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万元，2020年“三公经费”总额</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元，本指标分值5分，评价得分5分。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(5)重点支出安排率：</w:t>
      </w:r>
      <w:r>
        <w:rPr>
          <w:rFonts w:hint="eastAsia" w:ascii="仿宋_GB2312" w:hAnsi="仿宋_GB2312" w:eastAsia="仿宋_GB2312" w:cs="仿宋_GB2312"/>
          <w:sz w:val="30"/>
          <w:szCs w:val="30"/>
        </w:rPr>
        <w:t>本年度无重点支出。本指标分值5分，评价得分5分。</w:t>
      </w:r>
    </w:p>
    <w:p>
      <w:pPr>
        <w:autoSpaceDE w:val="0"/>
        <w:autoSpaceDN w:val="0"/>
        <w:adjustRightInd w:val="0"/>
        <w:snapToGrid w:val="0"/>
        <w:spacing w:line="360" w:lineRule="auto"/>
        <w:ind w:left="450" w:hanging="450"/>
        <w:jc w:val="left"/>
        <w:textAlignment w:val="baseline"/>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2、行政效能评价</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(1)预算完成率：</w:t>
      </w:r>
      <w:r>
        <w:rPr>
          <w:rFonts w:hint="eastAsia" w:ascii="仿宋_GB2312" w:hAnsi="仿宋_GB2312" w:eastAsia="仿宋_GB2312" w:cs="仿宋_GB2312"/>
          <w:sz w:val="30"/>
          <w:szCs w:val="30"/>
        </w:rPr>
        <w:t>通过查阅预决算资料，年初批复部门预算2968.4万元，实际执行4435.4万元。完成年初预算。本指标分值</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分，评价得分</w:t>
      </w:r>
      <w:r>
        <w:rPr>
          <w:rFonts w:ascii="仿宋_GB2312" w:hAnsi="仿宋_GB2312" w:eastAsia="仿宋_GB2312" w:cs="仿宋_GB2312"/>
          <w:sz w:val="30"/>
          <w:szCs w:val="30"/>
        </w:rPr>
        <w:t>3.6</w:t>
      </w:r>
      <w:r>
        <w:rPr>
          <w:rFonts w:hint="eastAsia" w:ascii="仿宋_GB2312" w:hAnsi="仿宋_GB2312" w:eastAsia="仿宋_GB2312" w:cs="仿宋_GB2312"/>
          <w:sz w:val="30"/>
          <w:szCs w:val="30"/>
        </w:rPr>
        <w:t>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(2)预算调整率：</w:t>
      </w:r>
      <w:r>
        <w:rPr>
          <w:rFonts w:hint="eastAsia" w:ascii="仿宋_GB2312" w:hAnsi="仿宋_GB2312" w:eastAsia="仿宋_GB2312" w:cs="仿宋_GB2312"/>
          <w:sz w:val="30"/>
          <w:szCs w:val="30"/>
        </w:rPr>
        <w:t>年初批复部门预算2968.4万元，调整后预算金额4435.4万元，调整金额</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467元。本指标分值2分，评价得分2分。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(3)支付进度率：</w:t>
      </w:r>
      <w:r>
        <w:rPr>
          <w:rFonts w:hint="eastAsia" w:ascii="仿宋_GB2312" w:hAnsi="仿宋_GB2312" w:eastAsia="仿宋_GB2312" w:cs="仿宋_GB2312"/>
          <w:sz w:val="30"/>
          <w:szCs w:val="30"/>
        </w:rPr>
        <w:t>部门预算执行较及时，实际支付进度与既定支付进度一致。本指标分值2分，评价得分2分。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(4)结转结余控制率：</w:t>
      </w:r>
      <w:r>
        <w:rPr>
          <w:rFonts w:hint="eastAsia" w:ascii="仿宋_GB2312" w:hAnsi="仿宋_GB2312" w:eastAsia="仿宋_GB2312" w:cs="仿宋_GB2312"/>
          <w:sz w:val="30"/>
          <w:szCs w:val="30"/>
        </w:rPr>
        <w:t>本年结余0万元，上年结转0万元。本指标分值4分，评价得分4分。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(5)公用经费控制率：</w:t>
      </w:r>
      <w:r>
        <w:rPr>
          <w:rFonts w:hint="eastAsia" w:ascii="仿宋_GB2312" w:hAnsi="仿宋_GB2312" w:eastAsia="仿宋_GB2312" w:cs="仿宋_GB2312"/>
          <w:sz w:val="30"/>
          <w:szCs w:val="30"/>
        </w:rPr>
        <w:t>实际支出公用经费总额628.3万元，预算安排公用经费为328.3万元。本指标分值4分，评价得分3.7分。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(6)“三公经费”控制率：</w:t>
      </w:r>
      <w:r>
        <w:rPr>
          <w:rFonts w:hint="eastAsia" w:ascii="仿宋_GB2312" w:hAnsi="仿宋_GB2312" w:eastAsia="仿宋_GB2312" w:cs="仿宋_GB2312"/>
          <w:sz w:val="30"/>
          <w:szCs w:val="30"/>
        </w:rPr>
        <w:t>部门本年度“三公经费”实际支出</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万元，预算数为</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万元，三公经费控制率为</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%。本指标分值3分，评价得分3分。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(7)政府采购执行率：</w:t>
      </w:r>
      <w:r>
        <w:rPr>
          <w:rFonts w:hint="eastAsia" w:ascii="仿宋_GB2312" w:hAnsi="仿宋_GB2312" w:eastAsia="仿宋_GB2312" w:cs="仿宋_GB2312"/>
          <w:sz w:val="30"/>
          <w:szCs w:val="30"/>
        </w:rPr>
        <w:t>严格执行了政府采购制度。本指标分值4分，评价得分3.</w:t>
      </w:r>
      <w:r>
        <w:rPr>
          <w:rFonts w:ascii="仿宋_GB2312" w:hAnsi="仿宋_GB2312" w:eastAsia="仿宋_GB2312" w:cs="仿宋_GB2312"/>
          <w:sz w:val="30"/>
          <w:szCs w:val="30"/>
        </w:rPr>
        <w:t>8</w:t>
      </w:r>
      <w:r>
        <w:rPr>
          <w:rFonts w:hint="eastAsia" w:ascii="仿宋_GB2312" w:hAnsi="仿宋_GB2312" w:eastAsia="仿宋_GB2312" w:cs="仿宋_GB2312"/>
          <w:sz w:val="30"/>
          <w:szCs w:val="30"/>
        </w:rPr>
        <w:t>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(8)管理制度健全性：</w:t>
      </w:r>
      <w:r>
        <w:rPr>
          <w:rFonts w:hint="eastAsia" w:ascii="仿宋_GB2312" w:hAnsi="仿宋_GB2312" w:eastAsia="仿宋_GB2312" w:cs="仿宋_GB2312"/>
          <w:sz w:val="30"/>
          <w:szCs w:val="30"/>
        </w:rPr>
        <w:t>制定相关管理制度，但不够完整，部分管理制度未得到有效执行。本指标分值2分，评价得分1分。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(9)资金使用合规性：</w:t>
      </w:r>
      <w:r>
        <w:rPr>
          <w:rFonts w:hint="eastAsia" w:ascii="仿宋_GB2312" w:hAnsi="仿宋_GB2312" w:eastAsia="仿宋_GB2312" w:cs="仿宋_GB2312"/>
          <w:sz w:val="30"/>
          <w:szCs w:val="30"/>
        </w:rPr>
        <w:t>严格执行了政府采购、国库集中支付等制度，经查阅相关凭证，部门支出有完整的审批程序，符合部门预算批复的用途，不存在截留、挤占、挪用、虚列支出等情况。本指标分值5分，评价得分5分。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(10)预决算信息公开性：</w:t>
      </w:r>
      <w:r>
        <w:rPr>
          <w:rFonts w:hint="eastAsia" w:ascii="仿宋_GB2312" w:hAnsi="仿宋_GB2312" w:eastAsia="仿宋_GB2312" w:cs="仿宋_GB2312"/>
          <w:sz w:val="30"/>
          <w:szCs w:val="30"/>
        </w:rPr>
        <w:t>按规定内容和时限公开了预决算信息。本指标分值2分，评价得分2分。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(11)基础信息完整性：</w:t>
      </w:r>
      <w:r>
        <w:rPr>
          <w:rFonts w:hint="eastAsia" w:ascii="仿宋_GB2312" w:hAnsi="仿宋_GB2312" w:eastAsia="仿宋_GB2312" w:cs="仿宋_GB2312"/>
          <w:sz w:val="30"/>
          <w:szCs w:val="30"/>
        </w:rPr>
        <w:t>部门基础数据信息和会计资料真实、完整，但部分会计资料不够准确。本指标分值3分，评价得分2分。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(12)管理制度健全性：</w:t>
      </w:r>
      <w:r>
        <w:rPr>
          <w:rFonts w:hint="eastAsia" w:ascii="仿宋_GB2312" w:hAnsi="仿宋_GB2312" w:eastAsia="仿宋_GB2312" w:cs="仿宋_GB2312"/>
          <w:sz w:val="30"/>
          <w:szCs w:val="30"/>
        </w:rPr>
        <w:t>制定有资产管理制度，但未得到有效执行。本指标分值2分，评价得分1</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(13)资产管理安全性：</w:t>
      </w:r>
      <w:r>
        <w:rPr>
          <w:rFonts w:hint="eastAsia" w:ascii="仿宋_GB2312" w:hAnsi="仿宋_GB2312" w:eastAsia="仿宋_GB2312" w:cs="仿宋_GB2312"/>
          <w:sz w:val="30"/>
          <w:szCs w:val="30"/>
        </w:rPr>
        <w:t>部门的资产保存完整、使用合规、配置合理、处置规范，但账务管理不合规，存在账实不相符现象。本指标分值2分，评价得分1.5分。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(14)固定资产利用率：</w:t>
      </w:r>
      <w:r>
        <w:rPr>
          <w:rFonts w:hint="eastAsia" w:ascii="仿宋_GB2312" w:hAnsi="仿宋_GB2312" w:eastAsia="仿宋_GB2312" w:cs="仿宋_GB2312"/>
          <w:sz w:val="30"/>
          <w:szCs w:val="30"/>
        </w:rPr>
        <w:t>部门实际在用固定资产总额与所有固定资产总额的比率为100%。本指标分值1分，评价得分1分。</w:t>
      </w:r>
    </w:p>
    <w:p>
      <w:pPr>
        <w:autoSpaceDE w:val="0"/>
        <w:autoSpaceDN w:val="0"/>
        <w:adjustRightInd w:val="0"/>
        <w:snapToGrid w:val="0"/>
        <w:spacing w:line="360" w:lineRule="auto"/>
        <w:ind w:left="450" w:hanging="450"/>
        <w:jc w:val="left"/>
        <w:textAlignment w:val="baseline"/>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3、产出分析</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(1)实际完成率：</w:t>
      </w:r>
      <w:r>
        <w:rPr>
          <w:rFonts w:hint="eastAsia" w:ascii="仿宋_GB2312" w:hAnsi="仿宋_GB2312" w:eastAsia="仿宋_GB2312" w:cs="仿宋_GB2312"/>
          <w:sz w:val="30"/>
          <w:szCs w:val="30"/>
        </w:rPr>
        <w:t>部门履行工作任务目标的实际完成率为80%。本指标分值5分，评价得分4分。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(2)完成及时率：</w:t>
      </w:r>
      <w:r>
        <w:rPr>
          <w:rFonts w:hint="eastAsia" w:ascii="仿宋_GB2312" w:hAnsi="仿宋_GB2312" w:eastAsia="仿宋_GB2312" w:cs="仿宋_GB2312"/>
          <w:sz w:val="30"/>
          <w:szCs w:val="30"/>
        </w:rPr>
        <w:t>部门履职时效目标的完成及时率为100%。本指标分值4分，评价得分4分。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(3)质量达标率：</w:t>
      </w:r>
      <w:r>
        <w:rPr>
          <w:rFonts w:hint="eastAsia" w:ascii="仿宋_GB2312" w:hAnsi="仿宋_GB2312" w:eastAsia="仿宋_GB2312" w:cs="仿宋_GB2312"/>
          <w:sz w:val="30"/>
          <w:szCs w:val="30"/>
        </w:rPr>
        <w:t>部门履职质量目标的质量达标率为100%。本指标分值5分，评价得分5分。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(4)重点工作办结率：</w:t>
      </w:r>
      <w:r>
        <w:rPr>
          <w:rFonts w:hint="eastAsia" w:ascii="仿宋_GB2312" w:hAnsi="仿宋_GB2312" w:eastAsia="仿宋_GB2312" w:cs="仿宋_GB2312"/>
          <w:sz w:val="30"/>
          <w:szCs w:val="30"/>
        </w:rPr>
        <w:t>部门对重点工作的办结率为88%。本指标分值6分，评价得分5.2分。</w:t>
      </w:r>
    </w:p>
    <w:p>
      <w:pPr>
        <w:autoSpaceDE w:val="0"/>
        <w:autoSpaceDN w:val="0"/>
        <w:adjustRightInd w:val="0"/>
        <w:snapToGrid w:val="0"/>
        <w:spacing w:line="360" w:lineRule="auto"/>
        <w:ind w:left="450" w:hanging="450"/>
        <w:jc w:val="left"/>
        <w:textAlignment w:val="baseline"/>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4、效果分析</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(1)经济效益、社会效益：</w:t>
      </w:r>
      <w:r>
        <w:rPr>
          <w:rFonts w:hint="eastAsia" w:ascii="仿宋_GB2312" w:hAnsi="仿宋_GB2312" w:eastAsia="仿宋_GB2312" w:cs="仿宋_GB2312"/>
          <w:sz w:val="30"/>
          <w:szCs w:val="30"/>
        </w:rPr>
        <w:t>2020年举办了一系列教师体育艺术节、学生文艺展示、书画比赛、演讲比赛等活动，展示了师生风采，丰富了文化生活，增强了师生之间的友谊，提高师生的综合素质，促进了巨口铺镇教育教学发展，得到了社会一致好评。两项指标分值10分，评价得分8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(2)行政效能：</w:t>
      </w:r>
      <w:r>
        <w:rPr>
          <w:rFonts w:hint="eastAsia" w:ascii="仿宋_GB2312" w:hAnsi="仿宋_GB2312" w:eastAsia="仿宋_GB2312" w:cs="仿宋_GB2312"/>
          <w:sz w:val="30"/>
          <w:szCs w:val="30"/>
        </w:rPr>
        <w:t>在改进文风会风，加强经费及资产管理，推动教育发展，提高教育教学效果等方面效果良好。本指标分值5分，评价得分4分。</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(3)社会公众或服务对象满意度：</w:t>
      </w:r>
      <w:r>
        <w:rPr>
          <w:rFonts w:hint="eastAsia" w:ascii="仿宋_GB2312" w:hAnsi="仿宋_GB2312" w:eastAsia="仿宋_GB2312" w:cs="仿宋_GB2312"/>
          <w:sz w:val="30"/>
          <w:szCs w:val="30"/>
        </w:rPr>
        <w:t>合格问卷调查样本量中，对部门履职效果满意的样本量为86.6%。本指标分值5分，评价得分4分。</w:t>
      </w:r>
    </w:p>
    <w:p>
      <w:pPr>
        <w:snapToGrid w:val="0"/>
        <w:spacing w:line="360" w:lineRule="auto"/>
        <w:ind w:left="450" w:hanging="450"/>
        <w:rPr>
          <w:rFonts w:ascii="黑体" w:hAnsi="黑体" w:eastAsia="黑体" w:cs="黑体"/>
          <w:sz w:val="30"/>
          <w:szCs w:val="30"/>
        </w:rPr>
      </w:pPr>
      <w:r>
        <w:rPr>
          <w:rFonts w:hint="eastAsia" w:ascii="黑体" w:hAnsi="黑体" w:eastAsia="黑体" w:cs="黑体"/>
          <w:sz w:val="30"/>
          <w:szCs w:val="30"/>
        </w:rPr>
        <w:t>（二)评价结论</w:t>
      </w:r>
    </w:p>
    <w:p>
      <w:pPr>
        <w:snapToGrid w:val="0"/>
        <w:spacing w:line="360" w:lineRule="auto"/>
        <w:ind w:left="450" w:hanging="45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1、评分结果</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根据部门整体支出绩效评价指标体系打分，评价人员得出本次绩效指标评分为：投入20分；过程</w:t>
      </w:r>
      <w:r>
        <w:rPr>
          <w:rFonts w:ascii="仿宋_GB2312" w:hAnsi="仿宋_GB2312" w:eastAsia="仿宋_GB2312" w:cs="仿宋_GB2312"/>
          <w:sz w:val="30"/>
          <w:szCs w:val="30"/>
        </w:rPr>
        <w:t>36</w:t>
      </w:r>
      <w:r>
        <w:rPr>
          <w:rFonts w:hint="eastAsia" w:ascii="仿宋_GB2312" w:hAnsi="仿宋_GB2312" w:eastAsia="仿宋_GB2312" w:cs="仿宋_GB2312"/>
          <w:sz w:val="30"/>
          <w:szCs w:val="30"/>
        </w:rPr>
        <w:t>分；产出18.</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分；效果16分，具体得分情况详见附件1。合计绩效评价得分为</w:t>
      </w:r>
      <w:r>
        <w:rPr>
          <w:rFonts w:ascii="仿宋_GB2312" w:hAnsi="仿宋_GB2312" w:eastAsia="仿宋_GB2312" w:cs="仿宋_GB2312"/>
          <w:sz w:val="30"/>
          <w:szCs w:val="30"/>
        </w:rPr>
        <w:t>90.</w:t>
      </w:r>
      <w:r>
        <w:rPr>
          <w:rFonts w:hint="eastAsia" w:ascii="仿宋_GB2312" w:hAnsi="仿宋_GB2312" w:eastAsia="仿宋_GB2312" w:cs="仿宋_GB2312"/>
          <w:sz w:val="30"/>
          <w:szCs w:val="30"/>
        </w:rPr>
        <w:t>3分，财政支出绩效为“良”。</w:t>
      </w:r>
    </w:p>
    <w:p>
      <w:pPr>
        <w:autoSpaceDE w:val="0"/>
        <w:autoSpaceDN w:val="0"/>
        <w:adjustRightInd w:val="0"/>
        <w:snapToGrid w:val="0"/>
        <w:spacing w:line="360" w:lineRule="auto"/>
        <w:ind w:left="450" w:hanging="450"/>
        <w:jc w:val="left"/>
        <w:textAlignment w:val="baseline"/>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2、综合评价结论</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过资料收集、现场勘查、访谈以及评价分析等评价程序，我们认为我单位2020年度部门整体支出符合国家及省市相关规划的要求，在决策依据及决策程序上符合相关规定，设立了明确、细化、可衡量的绩效目标。财政资金使用符合国家财经法规和财务管理制度规定，未发现截留、挤占、挪用、虚列等情况。相关管理制度基本完备，资金到位及时，事中监控有效，基本完成了预定的绩效目标。</w:t>
      </w:r>
    </w:p>
    <w:p>
      <w:pPr>
        <w:snapToGrid w:val="0"/>
        <w:spacing w:line="360" w:lineRule="auto"/>
        <w:ind w:left="450" w:hanging="450"/>
        <w:rPr>
          <w:rFonts w:ascii="黑体" w:hAnsi="黑体" w:eastAsia="黑体" w:cs="黑体"/>
          <w:sz w:val="30"/>
          <w:szCs w:val="30"/>
        </w:rPr>
      </w:pPr>
      <w:r>
        <w:rPr>
          <w:rFonts w:hint="eastAsia" w:ascii="黑体" w:hAnsi="黑体" w:eastAsia="黑体" w:cs="黑体"/>
          <w:sz w:val="30"/>
          <w:szCs w:val="30"/>
        </w:rPr>
        <w:t>五、存在的问题</w:t>
      </w:r>
    </w:p>
    <w:p>
      <w:pPr>
        <w:snapToGrid w:val="0"/>
        <w:spacing w:line="360" w:lineRule="auto"/>
        <w:ind w:left="450" w:hanging="450"/>
        <w:rPr>
          <w:rFonts w:ascii="黑体" w:hAnsi="黑体" w:eastAsia="黑体" w:cs="黑体"/>
          <w:sz w:val="30"/>
          <w:szCs w:val="30"/>
        </w:rPr>
      </w:pPr>
      <w:r>
        <w:rPr>
          <w:rFonts w:hint="eastAsia" w:ascii="黑体" w:hAnsi="黑体" w:eastAsia="黑体" w:cs="黑体"/>
          <w:sz w:val="30"/>
          <w:szCs w:val="30"/>
        </w:rPr>
        <w:t>（一)预算编制方面存在的问题</w:t>
      </w:r>
    </w:p>
    <w:p>
      <w:pPr>
        <w:snapToGrid w:val="0"/>
        <w:spacing w:line="360" w:lineRule="auto"/>
        <w:ind w:left="450" w:hanging="45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1、预算编制不严谨。</w:t>
      </w:r>
    </w:p>
    <w:p>
      <w:pPr>
        <w:snapToGrid w:val="0"/>
        <w:spacing w:line="360" w:lineRule="auto"/>
        <w:ind w:left="0"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在预算编制的过程中，总是凭借历年的经验，缺乏对现有政策或文件精神的钻研，导致部分科目性质发生了变化没有及时调整。</w:t>
      </w:r>
    </w:p>
    <w:p>
      <w:pPr>
        <w:numPr>
          <w:ilvl w:val="0"/>
          <w:numId w:val="1"/>
        </w:numPr>
        <w:snapToGrid w:val="0"/>
        <w:spacing w:line="360" w:lineRule="auto"/>
        <w:ind w:left="450" w:hanging="45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对预决算的重视程度不够。</w:t>
      </w:r>
    </w:p>
    <w:p>
      <w:pPr>
        <w:snapToGrid w:val="0"/>
        <w:spacing w:line="360" w:lineRule="auto"/>
        <w:ind w:left="-315" w:leftChars="-150"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一是在预算编制中欠缺分析和认证，导致预算流于形式；二是未对财务报表及预算完成情况做分析，使存在于预算管理中的问题无法及时被发现，在下一年的预算编制中这些问题依旧存在，严重阻碍了单位工作顺利的开展。</w:t>
      </w:r>
    </w:p>
    <w:p>
      <w:pPr>
        <w:snapToGrid w:val="0"/>
        <w:spacing w:line="360" w:lineRule="auto"/>
        <w:ind w:left="450" w:hanging="450"/>
        <w:rPr>
          <w:rFonts w:ascii="黑体" w:hAnsi="黑体" w:eastAsia="黑体" w:cs="黑体"/>
          <w:sz w:val="30"/>
          <w:szCs w:val="30"/>
        </w:rPr>
      </w:pPr>
      <w:r>
        <w:rPr>
          <w:rFonts w:hint="eastAsia" w:ascii="黑体" w:hAnsi="黑体" w:eastAsia="黑体" w:cs="黑体"/>
          <w:sz w:val="30"/>
          <w:szCs w:val="30"/>
        </w:rPr>
        <w:t>（二）预算执行方面存在的问题</w:t>
      </w:r>
    </w:p>
    <w:p>
      <w:pPr>
        <w:snapToGrid w:val="0"/>
        <w:spacing w:line="360" w:lineRule="auto"/>
        <w:ind w:left="450" w:hanging="45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1、预算执行约束性不强。</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是预算安排的随意性带来预算执行方面的约束性不强，导致经费支出不能有效对应，资金使用不太规范；二是部分预算指标下达较晚，存在一定滞后性，当单位出现紧急用款时，就会挪用其他项目的资金，导致单位原有预算与实际用途之间出现分歧。</w:t>
      </w:r>
    </w:p>
    <w:p>
      <w:pPr>
        <w:numPr>
          <w:ilvl w:val="0"/>
          <w:numId w:val="1"/>
        </w:numPr>
        <w:snapToGrid w:val="0"/>
        <w:spacing w:line="360" w:lineRule="auto"/>
        <w:ind w:left="450" w:hanging="45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预算执行监督滞后。</w:t>
      </w:r>
    </w:p>
    <w:p>
      <w:pPr>
        <w:snapToGrid w:val="0"/>
        <w:spacing w:line="360" w:lineRule="auto"/>
        <w:ind w:left="-315" w:leftChars="-150"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一是预算执行约束力不够，受政策非连续性与预算执行等不协调的因素影响，预算在执行过程中缺乏有效的监督机制；二是预算执行审核缺乏常态性，由于部门专业监督人员缺乏，很难做到对财政预算资金进行全覆盖跟踪监督，同时，审核监督独立性不够充分也限制了监督职责的发挥。</w:t>
      </w:r>
    </w:p>
    <w:p>
      <w:pPr>
        <w:snapToGrid w:val="0"/>
        <w:spacing w:line="360" w:lineRule="auto"/>
        <w:ind w:left="450" w:hanging="450"/>
        <w:rPr>
          <w:rFonts w:ascii="黑体" w:hAnsi="黑体" w:eastAsia="黑体" w:cs="黑体"/>
          <w:sz w:val="30"/>
          <w:szCs w:val="30"/>
        </w:rPr>
      </w:pPr>
      <w:r>
        <w:rPr>
          <w:rFonts w:hint="eastAsia" w:ascii="黑体" w:hAnsi="黑体" w:eastAsia="黑体" w:cs="黑体"/>
          <w:sz w:val="30"/>
          <w:szCs w:val="30"/>
        </w:rPr>
        <w:t>六、建议和改进举措</w:t>
      </w:r>
    </w:p>
    <w:p>
      <w:pPr>
        <w:snapToGrid w:val="0"/>
        <w:spacing w:line="360" w:lineRule="auto"/>
        <w:ind w:left="450" w:hanging="450"/>
        <w:rPr>
          <w:rFonts w:ascii="黑体" w:hAnsi="黑体" w:eastAsia="黑体" w:cs="黑体"/>
          <w:sz w:val="30"/>
          <w:szCs w:val="30"/>
        </w:rPr>
      </w:pPr>
      <w:r>
        <w:rPr>
          <w:rFonts w:hint="eastAsia" w:ascii="黑体" w:hAnsi="黑体" w:eastAsia="黑体" w:cs="黑体"/>
          <w:sz w:val="30"/>
          <w:szCs w:val="30"/>
        </w:rPr>
        <w:t>（一)预算编制方面</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一是加强政策学习，组织单位人员认真学习《预算法》等相关法规、制度，提高单位领导对全面预算管理的重视程度，增强财务人员的预算意识，科学编制部门预算。</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二是细化预算指标，提高预算科学性，预算编制前根据年度内单位可预见的工作任务，确定单位年度预算目标，细化预算指标，科学合理编制部门预算，推进预算编制科学化、准确化。</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三是年度预算编制后，根据实际情况，定期做好预算执行分析，掌握预算执行进度，及时找出预算实际执行情况与预算目标之间存在的差距，纠正偏差，为科学、准确地编制部门预算积累经验。</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四是按照预算规定的项目和用途严格财务审计，经费支出严格按预算规定项目的财务支出内容进行财务预算，在预算金额内严格控制费用的支出。</w:t>
      </w:r>
    </w:p>
    <w:p>
      <w:pPr>
        <w:snapToGrid w:val="0"/>
        <w:spacing w:line="360" w:lineRule="auto"/>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五是预算财务分析常态化，定期做好预算支出财务分析，做好部门整体支出预算评价工作。</w:t>
      </w:r>
    </w:p>
    <w:p>
      <w:pPr>
        <w:numPr>
          <w:ilvl w:val="0"/>
          <w:numId w:val="2"/>
        </w:numPr>
        <w:snapToGrid w:val="0"/>
        <w:spacing w:line="360" w:lineRule="auto"/>
        <w:ind w:left="450" w:hanging="450"/>
        <w:rPr>
          <w:rFonts w:ascii="黑体" w:hAnsi="黑体" w:eastAsia="黑体" w:cs="黑体"/>
          <w:sz w:val="30"/>
          <w:szCs w:val="30"/>
        </w:rPr>
      </w:pPr>
      <w:r>
        <w:rPr>
          <w:rFonts w:hint="eastAsia" w:ascii="黑体" w:hAnsi="黑体" w:eastAsia="黑体" w:cs="黑体"/>
          <w:sz w:val="30"/>
          <w:szCs w:val="30"/>
        </w:rPr>
        <w:t>预算执行方面</w:t>
      </w:r>
    </w:p>
    <w:p>
      <w:pPr>
        <w:snapToGrid w:val="0"/>
        <w:spacing w:line="360" w:lineRule="auto"/>
        <w:ind w:left="0" w:firstLine="301" w:firstLineChars="10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1、加快预算执行进度。</w:t>
      </w:r>
      <w:r>
        <w:rPr>
          <w:rFonts w:hint="eastAsia" w:ascii="仿宋_GB2312" w:hAnsi="仿宋_GB2312" w:eastAsia="仿宋_GB2312" w:cs="仿宋_GB2312"/>
          <w:sz w:val="30"/>
          <w:szCs w:val="30"/>
        </w:rPr>
        <w:t>部门预算批复后，应结合单位实际情况进行预算执行进度分析，科学合理安排支出，降低预算支出的波动幅度。严格执行项目支出预算，积极组织项目的实施，通过加强对项目支出预算执行的管理，杜绝单位虚报项目支出或不进行充分科学论证导致项目支出无法实施的现象，提高财政资金使用绩效。</w:t>
      </w:r>
      <w:r>
        <w:rPr>
          <w:rFonts w:ascii="仿宋_GB2312" w:hAnsi="仿宋_GB2312" w:eastAsia="仿宋_GB2312" w:cs="仿宋_GB2312"/>
          <w:sz w:val="30"/>
          <w:szCs w:val="30"/>
        </w:rPr>
        <w:t> </w:t>
      </w:r>
    </w:p>
    <w:p>
      <w:pPr>
        <w:snapToGrid w:val="0"/>
        <w:spacing w:line="360" w:lineRule="auto"/>
        <w:ind w:left="0" w:firstLine="300" w:firstLineChars="100"/>
        <w:rPr>
          <w:rFonts w:ascii="仿宋_GB2312" w:hAnsi="仿宋_GB2312" w:eastAsia="仿宋_GB2312" w:cs="仿宋_GB2312"/>
          <w:sz w:val="30"/>
          <w:szCs w:val="30"/>
        </w:rPr>
      </w:pPr>
      <w:r>
        <w:rPr>
          <w:rFonts w:ascii="仿宋_GB2312" w:hAnsi="仿宋_GB2312" w:eastAsia="仿宋_GB2312" w:cs="仿宋_GB2312"/>
          <w:sz w:val="30"/>
          <w:szCs w:val="30"/>
        </w:rPr>
        <w:t>　</w:t>
      </w:r>
      <w:r>
        <w:rPr>
          <w:rFonts w:ascii="仿宋_GB2312" w:hAnsi="仿宋_GB2312" w:eastAsia="仿宋_GB2312" w:cs="仿宋_GB2312"/>
          <w:b/>
          <w:bCs/>
          <w:sz w:val="30"/>
          <w:szCs w:val="30"/>
        </w:rPr>
        <w:t>　</w:t>
      </w:r>
      <w:r>
        <w:rPr>
          <w:rFonts w:hint="eastAsia" w:ascii="仿宋_GB2312" w:hAnsi="仿宋_GB2312" w:eastAsia="仿宋_GB2312" w:cs="仿宋_GB2312"/>
          <w:b/>
          <w:bCs/>
          <w:sz w:val="30"/>
          <w:szCs w:val="30"/>
        </w:rPr>
        <w:t>2、</w:t>
      </w:r>
      <w:r>
        <w:rPr>
          <w:rFonts w:ascii="仿宋_GB2312" w:hAnsi="仿宋_GB2312" w:eastAsia="仿宋_GB2312" w:cs="仿宋_GB2312"/>
          <w:b/>
          <w:bCs/>
          <w:sz w:val="30"/>
          <w:szCs w:val="30"/>
        </w:rPr>
        <w:t>加强对预算执行过程的控制和结果的反馈。</w:t>
      </w:r>
      <w:r>
        <w:rPr>
          <w:rFonts w:ascii="仿宋_GB2312" w:hAnsi="仿宋_GB2312" w:eastAsia="仿宋_GB2312" w:cs="仿宋_GB2312"/>
          <w:sz w:val="30"/>
          <w:szCs w:val="30"/>
        </w:rPr>
        <w:t>重视预算执行过程的控制，统一部门预算口径与会计核算口径，对预算收入完成情况，预算支出情况，预算调整情况进行监控，采取措施纠正执行偏差，不断完善事前计划、事中控制、事后总结反馈的管理体系。</w:t>
      </w:r>
      <w:r>
        <w:rPr>
          <w:rFonts w:hint="eastAsia" w:ascii="仿宋_GB2312" w:hAnsi="仿宋_GB2312" w:eastAsia="仿宋_GB2312" w:cs="仿宋_GB2312"/>
          <w:sz w:val="30"/>
          <w:szCs w:val="30"/>
        </w:rPr>
        <w:t>同时，</w:t>
      </w:r>
      <w:r>
        <w:rPr>
          <w:rFonts w:ascii="仿宋_GB2312" w:hAnsi="仿宋_GB2312" w:eastAsia="仿宋_GB2312" w:cs="仿宋_GB2312"/>
          <w:sz w:val="30"/>
          <w:szCs w:val="30"/>
        </w:rPr>
        <w:t>单位应当加强决算管理工作，确保决算真实、完整、准确、及时，加强决算分析工作，强化决算分析结果的运用。 </w:t>
      </w:r>
    </w:p>
    <w:p>
      <w:pPr>
        <w:snapToGrid w:val="0"/>
        <w:spacing w:line="360" w:lineRule="auto"/>
        <w:ind w:left="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3、加强财政预算执行的监督。</w:t>
      </w:r>
      <w:r>
        <w:rPr>
          <w:rFonts w:hint="eastAsia" w:ascii="仿宋_GB2312" w:hAnsi="仿宋_GB2312" w:eastAsia="仿宋_GB2312" w:cs="仿宋_GB2312"/>
          <w:sz w:val="30"/>
          <w:szCs w:val="30"/>
        </w:rPr>
        <w:t>应建立财政预算资金使用的跟踪回访、责任追究制度，完善预算项目的调整变更、追加、取消的审批规范制度，用规范、机制和制度全方位、全过程检查监督预算资金的运行，确保预算资金的有效使用，预防避免发生违法违纪行为，严惩预算执行中出现的违法违规问题。</w:t>
      </w:r>
    </w:p>
    <w:p>
      <w:pPr>
        <w:adjustRightInd w:val="0"/>
        <w:snapToGrid w:val="0"/>
        <w:spacing w:line="600" w:lineRule="exact"/>
        <w:ind w:left="480" w:hanging="480"/>
        <w:rPr>
          <w:rFonts w:ascii="仿宋" w:hAnsi="仿宋" w:eastAsia="仿宋"/>
          <w:sz w:val="32"/>
          <w:szCs w:val="32"/>
        </w:rPr>
      </w:pPr>
    </w:p>
    <w:p>
      <w:pPr>
        <w:adjustRightInd w:val="0"/>
        <w:snapToGrid w:val="0"/>
        <w:spacing w:line="600" w:lineRule="exact"/>
        <w:ind w:left="480" w:hanging="480"/>
        <w:rPr>
          <w:rFonts w:ascii="仿宋" w:hAnsi="仿宋" w:eastAsia="仿宋"/>
          <w:sz w:val="32"/>
          <w:szCs w:val="32"/>
        </w:rPr>
      </w:pPr>
    </w:p>
    <w:p>
      <w:pPr>
        <w:adjustRightInd w:val="0"/>
        <w:snapToGrid w:val="0"/>
        <w:spacing w:line="600" w:lineRule="exact"/>
        <w:ind w:left="480" w:hanging="480"/>
        <w:rPr>
          <w:rFonts w:ascii="仿宋" w:hAnsi="仿宋" w:eastAsia="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600" w:lineRule="exact"/>
        <w:ind w:left="540" w:hanging="540"/>
        <w:jc w:val="center"/>
        <w:rPr>
          <w:rFonts w:eastAsia="方正小标宋_GBK"/>
          <w:spacing w:val="-8"/>
          <w:sz w:val="28"/>
          <w:szCs w:val="28"/>
        </w:rPr>
      </w:pPr>
      <w:r>
        <w:rPr>
          <w:rFonts w:eastAsia="方正小标宋_GBK"/>
          <w:sz w:val="36"/>
          <w:szCs w:val="36"/>
        </w:rPr>
        <w:t>20</w:t>
      </w:r>
      <w:r>
        <w:rPr>
          <w:rFonts w:hint="eastAsia" w:eastAsia="方正小标宋_GBK"/>
          <w:sz w:val="36"/>
          <w:szCs w:val="36"/>
        </w:rPr>
        <w:t>20年度部门整体支出</w:t>
      </w:r>
      <w:r>
        <w:rPr>
          <w:rFonts w:eastAsia="方正小标宋_GBK"/>
          <w:spacing w:val="-8"/>
          <w:sz w:val="36"/>
          <w:szCs w:val="36"/>
        </w:rPr>
        <w:t>绩效评价指标评分表</w:t>
      </w:r>
    </w:p>
    <w:p>
      <w:pPr>
        <w:spacing w:line="600" w:lineRule="exact"/>
        <w:ind w:left="396" w:hanging="396"/>
        <w:rPr>
          <w:rFonts w:ascii="楷体_GB2312" w:eastAsia="楷体_GB2312"/>
          <w:spacing w:val="-8"/>
          <w:sz w:val="28"/>
          <w:szCs w:val="28"/>
        </w:rPr>
      </w:pPr>
      <w:r>
        <w:rPr>
          <w:rFonts w:hint="eastAsia" w:ascii="楷体_GB2312" w:eastAsia="楷体_GB2312"/>
          <w:spacing w:val="-8"/>
          <w:sz w:val="28"/>
          <w:szCs w:val="28"/>
        </w:rPr>
        <w:t>填报单位（盖章）：</w:t>
      </w:r>
    </w:p>
    <w:tbl>
      <w:tblPr>
        <w:tblStyle w:val="8"/>
        <w:tblW w:w="14287" w:type="dxa"/>
        <w:jc w:val="center"/>
        <w:tblLayout w:type="fixed"/>
        <w:tblCellMar>
          <w:top w:w="0" w:type="dxa"/>
          <w:left w:w="0" w:type="dxa"/>
          <w:bottom w:w="0" w:type="dxa"/>
          <w:right w:w="0" w:type="dxa"/>
        </w:tblCellMar>
      </w:tblPr>
      <w:tblGrid>
        <w:gridCol w:w="690"/>
        <w:gridCol w:w="704"/>
        <w:gridCol w:w="960"/>
        <w:gridCol w:w="5340"/>
        <w:gridCol w:w="5825"/>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一级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w:t>
            </w:r>
          </w:p>
        </w:tc>
        <w:tc>
          <w:tcPr>
            <w:tcW w:w="704"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二级指标</w:t>
            </w:r>
          </w:p>
        </w:tc>
        <w:tc>
          <w:tcPr>
            <w:tcW w:w="96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三级指标</w:t>
            </w:r>
          </w:p>
        </w:tc>
        <w:tc>
          <w:tcPr>
            <w:tcW w:w="534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指标解释</w:t>
            </w:r>
          </w:p>
        </w:tc>
        <w:tc>
          <w:tcPr>
            <w:tcW w:w="5825"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指标说明</w:t>
            </w:r>
          </w:p>
        </w:tc>
        <w:tc>
          <w:tcPr>
            <w:tcW w:w="768" w:type="dxa"/>
            <w:tcBorders>
              <w:top w:val="single" w:color="auto" w:sz="4" w:space="0"/>
              <w:left w:val="nil"/>
              <w:bottom w:val="single" w:color="auto" w:sz="8" w:space="0"/>
              <w:right w:val="single" w:color="auto" w:sz="8" w:space="0"/>
            </w:tcBorders>
            <w:vAlign w:val="center"/>
          </w:tcPr>
          <w:p>
            <w:pPr>
              <w:pStyle w:val="7"/>
              <w:widowControl/>
              <w:spacing w:before="0" w:beforeAutospacing="0" w:after="0" w:afterAutospacing="0" w:line="600" w:lineRule="exact"/>
              <w:jc w:val="cente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投入(20分)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目标</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设定</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绩效目标合理性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绩效指标明确性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配置（15分）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在职人员控制率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“三公经费”变动率（5分）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5</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重点支出安排率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过程</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执行</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(23分)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完成率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line="600" w:lineRule="exact"/>
              <w:ind w:left="360" w:hanging="360"/>
              <w:jc w:val="center"/>
            </w:pPr>
            <w:r>
              <w:rPr>
                <w:rFonts w:hint="eastAsia"/>
              </w:rPr>
              <w:t>3</w:t>
            </w:r>
            <w:r>
              <w:t>.</w:t>
            </w:r>
            <w:r>
              <w:rPr>
                <w:rFonts w:hint="eastAsia"/>
              </w:rPr>
              <w:t>6</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调整率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支付</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进度率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结转结余控制率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公用经费</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控制率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3.7</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“三公经费”控制率（3分）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政府采购</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执行率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3.8</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预算</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(12分)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1</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资金使用</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合规性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④符合部门预算批复的用途计1分；</w:t>
            </w:r>
          </w:p>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预决算信</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息公开性（2分）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①按规定内容公开预决算信息计1分；</w:t>
            </w:r>
          </w:p>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基础信息</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完善性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2</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资产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①制定或具有资产管理制度计1分；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1</w:t>
            </w:r>
            <w:r>
              <w:t>.5</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资产管理</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安全性</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761"/>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①资产保存完整计0.4分；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②资产配置合理计0.4分；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③资产处置规范计0.4分；</w:t>
            </w:r>
          </w:p>
          <w:p>
            <w:pPr>
              <w:pStyle w:val="7"/>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④资产账务管理合规、</w:t>
            </w:r>
            <w:r>
              <w:rPr>
                <w:rFonts w:hint="eastAsia" w:ascii="宋体" w:hAnsi="宋体" w:cs="宋体"/>
                <w:color w:val="000000"/>
                <w:sz w:val="21"/>
                <w:szCs w:val="21"/>
                <w:lang w:eastAsia="zh-CN"/>
              </w:rPr>
              <w:t>账实相符</w:t>
            </w:r>
            <w:r>
              <w:rPr>
                <w:rFonts w:hint="eastAsia" w:ascii="宋体" w:hAnsi="宋体" w:cs="宋体"/>
                <w:color w:val="000000"/>
                <w:sz w:val="21"/>
                <w:szCs w:val="21"/>
              </w:rPr>
              <w:t>计0.4分；</w:t>
            </w:r>
          </w:p>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1.5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固定资产</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利用率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after="0" w:line="600" w:lineRule="exact"/>
              <w:ind w:left="360" w:hanging="360"/>
              <w:jc w:val="center"/>
            </w:pPr>
            <w:r>
              <w:rPr>
                <w:rFonts w:hint="eastAsia"/>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产出</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职责</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履行</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实际完成率（5分）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完成及时率（4分）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210" w:afterAutospacing="0" w:line="600" w:lineRule="exact"/>
              <w:jc w:val="both"/>
              <w:rPr>
                <w:rFonts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质量达标率（5分）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重点工作</w:t>
            </w:r>
          </w:p>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办结率</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（6分）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5.2</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效果</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履职</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效益(20分)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经济效益（5分）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5825" w:type="dxa"/>
            <w:tcBorders>
              <w:top w:val="nil"/>
              <w:left w:val="nil"/>
              <w:bottom w:val="single" w:color="auto" w:sz="4"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5825" w:type="dxa"/>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600" w:lineRule="exact"/>
              <w:ind w:left="315" w:hanging="315"/>
              <w:rPr>
                <w:rFonts w:ascii="宋体" w:hAnsi="宋体" w:cs="宋体"/>
                <w:color w:val="000000"/>
                <w:sz w:val="15"/>
                <w:szCs w:val="15"/>
              </w:rPr>
            </w:pPr>
            <w:r>
              <w:rPr>
                <w:rFonts w:hint="eastAsia" w:ascii="宋体" w:hAnsi="宋体" w:cs="宋体"/>
                <w:color w:val="000000"/>
                <w:szCs w:val="21"/>
              </w:rPr>
              <w:t>按社会效益实现程度计算得分（5分）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315" w:hanging="315"/>
              <w:jc w:val="center"/>
              <w:rPr>
                <w:rFonts w:ascii="宋体" w:hAnsi="宋体" w:cs="宋体"/>
                <w:color w:val="000000"/>
                <w:kern w:val="0"/>
                <w:szCs w:val="21"/>
              </w:rPr>
            </w:pPr>
            <w:r>
              <w:rPr>
                <w:rFonts w:hint="eastAsia" w:ascii="宋体" w:hAnsi="宋体" w:cs="宋体"/>
                <w:color w:val="000000"/>
                <w:kern w:val="0"/>
                <w:szCs w:val="21"/>
              </w:rPr>
              <w:t>行政效能</w:t>
            </w:r>
          </w:p>
          <w:p>
            <w:pPr>
              <w:spacing w:line="600" w:lineRule="exact"/>
              <w:ind w:left="315" w:hanging="315"/>
              <w:jc w:val="center"/>
              <w:rPr>
                <w:rFonts w:ascii="宋体" w:hAnsi="宋体" w:cs="宋体"/>
                <w:color w:val="000000"/>
                <w:kern w:val="0"/>
                <w:szCs w:val="21"/>
              </w:rPr>
            </w:pPr>
            <w:r>
              <w:rPr>
                <w:rFonts w:hint="eastAsia" w:ascii="宋体" w:hAnsi="宋体" w:cs="宋体"/>
                <w:color w:val="000000"/>
                <w:kern w:val="0"/>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促进部门改进文风会风，加强经费及资产管理，推动网上办事，提高行政效率。</w:t>
            </w:r>
          </w:p>
        </w:tc>
        <w:tc>
          <w:tcPr>
            <w:tcW w:w="5825"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社会公众</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或服务对</w:t>
            </w:r>
          </w:p>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象满意度（5分）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总分</w:t>
            </w:r>
          </w:p>
        </w:tc>
        <w:tc>
          <w:tcPr>
            <w:tcW w:w="704" w:type="dxa"/>
            <w:tcBorders>
              <w:top w:val="nil"/>
              <w:left w:val="nil"/>
              <w:bottom w:val="nil"/>
              <w:right w:val="single" w:color="auto" w:sz="8" w:space="0"/>
            </w:tcBorders>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w:t>
            </w:r>
          </w:p>
        </w:tc>
        <w:tc>
          <w:tcPr>
            <w:tcW w:w="960" w:type="dxa"/>
            <w:tcBorders>
              <w:top w:val="nil"/>
              <w:left w:val="nil"/>
              <w:bottom w:val="nil"/>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w:t>
            </w:r>
          </w:p>
        </w:tc>
        <w:tc>
          <w:tcPr>
            <w:tcW w:w="5340" w:type="dxa"/>
            <w:tcBorders>
              <w:top w:val="nil"/>
              <w:left w:val="nil"/>
              <w:bottom w:val="nil"/>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5825" w:type="dxa"/>
            <w:tcBorders>
              <w:top w:val="nil"/>
              <w:left w:val="nil"/>
              <w:bottom w:val="nil"/>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768" w:type="dxa"/>
            <w:tcBorders>
              <w:top w:val="nil"/>
              <w:left w:val="nil"/>
              <w:bottom w:val="nil"/>
              <w:right w:val="single" w:color="auto" w:sz="8" w:space="0"/>
            </w:tcBorders>
            <w:vAlign w:val="center"/>
          </w:tcPr>
          <w:p>
            <w:pPr>
              <w:pStyle w:val="7"/>
              <w:widowControl/>
              <w:tabs>
                <w:tab w:val="left" w:pos="2604"/>
              </w:tabs>
              <w:spacing w:before="0" w:beforeAutospacing="0" w:after="0" w:afterAutospacing="0" w:line="600" w:lineRule="exact"/>
              <w:jc w:val="center"/>
            </w:pPr>
            <w:r>
              <w:t>90.</w:t>
            </w:r>
            <w:r>
              <w:rPr>
                <w:rFonts w:hint="eastAsia"/>
              </w:rPr>
              <w:t>3</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vAlign w:val="center"/>
          </w:tcPr>
          <w:p>
            <w:pPr>
              <w:pStyle w:val="7"/>
              <w:widowControl/>
              <w:spacing w:before="0" w:beforeAutospacing="0" w:after="0" w:afterAutospacing="0" w:line="600" w:lineRule="exact"/>
              <w:rPr>
                <w:rFonts w:ascii="宋体" w:hAnsi="宋体" w:cs="宋体"/>
                <w:color w:val="000000"/>
                <w:sz w:val="21"/>
                <w:szCs w:val="21"/>
              </w:rPr>
            </w:pPr>
          </w:p>
        </w:tc>
        <w:tc>
          <w:tcPr>
            <w:tcW w:w="704" w:type="dxa"/>
            <w:tcBorders>
              <w:top w:val="nil"/>
              <w:left w:val="nil"/>
              <w:bottom w:val="single" w:color="auto" w:sz="8" w:space="0"/>
              <w:right w:val="single" w:color="auto" w:sz="8" w:space="0"/>
            </w:tcBorders>
            <w:vAlign w:val="center"/>
          </w:tcPr>
          <w:p>
            <w:pPr>
              <w:pStyle w:val="7"/>
              <w:widowControl/>
              <w:spacing w:before="0" w:beforeAutospacing="0" w:after="0" w:afterAutospacing="0" w:line="600" w:lineRule="exact"/>
              <w:rPr>
                <w:rFonts w:ascii="宋体" w:hAnsi="宋体" w:cs="宋体"/>
                <w:color w:val="000000"/>
                <w:sz w:val="21"/>
                <w:szCs w:val="21"/>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rPr>
                <w:rFonts w:ascii="宋体" w:hAnsi="宋体" w:cs="宋体"/>
                <w:color w:val="000000"/>
                <w:sz w:val="21"/>
                <w:szCs w:val="21"/>
              </w:rPr>
            </w:pP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ascii="宋体" w:hAnsi="宋体" w:cs="宋体"/>
                <w:color w:val="000000"/>
                <w:sz w:val="21"/>
                <w:szCs w:val="21"/>
              </w:rPr>
            </w:pP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7"/>
              <w:widowControl/>
              <w:spacing w:before="0" w:beforeAutospacing="0" w:after="0" w:afterAutospacing="0" w:line="600" w:lineRule="exact"/>
              <w:jc w:val="both"/>
              <w:rPr>
                <w:rFonts w:ascii="宋体" w:hAnsi="宋体" w:cs="宋体"/>
                <w:color w:val="000000"/>
                <w:sz w:val="21"/>
                <w:szCs w:val="21"/>
              </w:rPr>
            </w:pPr>
          </w:p>
        </w:tc>
        <w:tc>
          <w:tcPr>
            <w:tcW w:w="768" w:type="dxa"/>
            <w:tcBorders>
              <w:top w:val="nil"/>
              <w:left w:val="nil"/>
              <w:bottom w:val="single" w:color="auto" w:sz="8" w:space="0"/>
              <w:right w:val="single" w:color="auto" w:sz="8" w:space="0"/>
            </w:tcBorders>
            <w:vAlign w:val="center"/>
          </w:tcPr>
          <w:p>
            <w:pPr>
              <w:pStyle w:val="7"/>
              <w:widowControl/>
              <w:tabs>
                <w:tab w:val="left" w:pos="2604"/>
              </w:tabs>
              <w:spacing w:before="0" w:beforeAutospacing="0" w:after="0" w:afterAutospacing="0" w:line="600" w:lineRule="exact"/>
            </w:pPr>
          </w:p>
        </w:tc>
      </w:tr>
    </w:tbl>
    <w:p>
      <w:pPr>
        <w:widowControl/>
        <w:spacing w:line="600" w:lineRule="exact"/>
        <w:ind w:left="147" w:hanging="147" w:hangingChars="46"/>
        <w:rPr>
          <w:rFonts w:ascii="仿宋" w:hAnsi="仿宋" w:eastAsia="仿宋"/>
          <w:sz w:val="32"/>
          <w:szCs w:val="32"/>
        </w:rPr>
      </w:pPr>
    </w:p>
    <w:p>
      <w:pPr>
        <w:ind w:left="315" w:hanging="315"/>
      </w:pP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70"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6ABAD"/>
    <w:multiLevelType w:val="singleLevel"/>
    <w:tmpl w:val="1C36ABAD"/>
    <w:lvl w:ilvl="0" w:tentative="0">
      <w:start w:val="2"/>
      <w:numFmt w:val="decimal"/>
      <w:suff w:val="nothing"/>
      <w:lvlText w:val="%1、"/>
      <w:lvlJc w:val="left"/>
    </w:lvl>
  </w:abstractNum>
  <w:abstractNum w:abstractNumId="1">
    <w:nsid w:val="5A176F9C"/>
    <w:multiLevelType w:val="singleLevel"/>
    <w:tmpl w:val="5A176F9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NjRjZGViZWVhMzdmNzhlYmU5MTM3MGM4YjYwNWMifQ=="/>
  </w:docVars>
  <w:rsids>
    <w:rsidRoot w:val="00513186"/>
    <w:rsid w:val="00021D97"/>
    <w:rsid w:val="00041667"/>
    <w:rsid w:val="00071987"/>
    <w:rsid w:val="00073DBD"/>
    <w:rsid w:val="000C7A66"/>
    <w:rsid w:val="000D38A9"/>
    <w:rsid w:val="0011397D"/>
    <w:rsid w:val="00130D88"/>
    <w:rsid w:val="00164312"/>
    <w:rsid w:val="001E5223"/>
    <w:rsid w:val="002D1AB5"/>
    <w:rsid w:val="002E3BAA"/>
    <w:rsid w:val="002E5973"/>
    <w:rsid w:val="00364ED3"/>
    <w:rsid w:val="00392A0C"/>
    <w:rsid w:val="003A217A"/>
    <w:rsid w:val="00431E6F"/>
    <w:rsid w:val="004628FD"/>
    <w:rsid w:val="004A3449"/>
    <w:rsid w:val="004F27EB"/>
    <w:rsid w:val="00513186"/>
    <w:rsid w:val="00525A83"/>
    <w:rsid w:val="005322BF"/>
    <w:rsid w:val="0054041B"/>
    <w:rsid w:val="005522AD"/>
    <w:rsid w:val="005B7D91"/>
    <w:rsid w:val="0063384A"/>
    <w:rsid w:val="00644B5E"/>
    <w:rsid w:val="00664800"/>
    <w:rsid w:val="007404C4"/>
    <w:rsid w:val="007E3682"/>
    <w:rsid w:val="00824E38"/>
    <w:rsid w:val="008835F7"/>
    <w:rsid w:val="008B73C0"/>
    <w:rsid w:val="008E6CAC"/>
    <w:rsid w:val="00981177"/>
    <w:rsid w:val="00984A7A"/>
    <w:rsid w:val="009970C2"/>
    <w:rsid w:val="009B6EA1"/>
    <w:rsid w:val="00A10C21"/>
    <w:rsid w:val="00A54176"/>
    <w:rsid w:val="00AA3580"/>
    <w:rsid w:val="00AD647F"/>
    <w:rsid w:val="00AE1FD3"/>
    <w:rsid w:val="00AE6F95"/>
    <w:rsid w:val="00B432E5"/>
    <w:rsid w:val="00BD5943"/>
    <w:rsid w:val="00C437DF"/>
    <w:rsid w:val="00D70246"/>
    <w:rsid w:val="00D7109B"/>
    <w:rsid w:val="00E7788A"/>
    <w:rsid w:val="00ED53B1"/>
    <w:rsid w:val="00F11C64"/>
    <w:rsid w:val="00F73C3A"/>
    <w:rsid w:val="00F94E95"/>
    <w:rsid w:val="00FB30A8"/>
    <w:rsid w:val="39F86D63"/>
    <w:rsid w:val="3B991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paragraph" w:styleId="3">
    <w:name w:val="heading 2"/>
    <w:basedOn w:val="1"/>
    <w:next w:val="1"/>
    <w:link w:val="11"/>
    <w:qFormat/>
    <w:uiPriority w:val="0"/>
    <w:pPr>
      <w:spacing w:before="100" w:beforeAutospacing="1" w:after="100" w:afterAutospacing="1" w:line="240" w:lineRule="auto"/>
      <w:ind w:left="0" w:firstLine="0" w:firstLineChars="0"/>
      <w:jc w:val="left"/>
      <w:outlineLvl w:val="1"/>
    </w:pPr>
    <w:rPr>
      <w:rFonts w:hint="eastAsia" w:ascii="宋体" w:hAnsi="宋体"/>
      <w:b/>
      <w:kern w:val="0"/>
      <w:sz w:val="36"/>
      <w:szCs w:val="36"/>
    </w:rPr>
  </w:style>
  <w:style w:type="paragraph" w:styleId="4">
    <w:name w:val="heading 3"/>
    <w:basedOn w:val="1"/>
    <w:next w:val="1"/>
    <w:link w:val="12"/>
    <w:qFormat/>
    <w:uiPriority w:val="0"/>
    <w:pPr>
      <w:spacing w:before="100" w:beforeAutospacing="1" w:after="100" w:afterAutospacing="1" w:line="240" w:lineRule="auto"/>
      <w:ind w:left="0" w:firstLine="0" w:firstLineChars="0"/>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character" w:customStyle="1" w:styleId="10">
    <w:name w:val="标题 1 Char"/>
    <w:basedOn w:val="9"/>
    <w:link w:val="2"/>
    <w:qFormat/>
    <w:uiPriority w:val="0"/>
    <w:rPr>
      <w:rFonts w:ascii="宋体" w:hAnsi="宋体" w:eastAsia="宋体" w:cs="Times New Roman"/>
      <w:b/>
      <w:kern w:val="44"/>
      <w:sz w:val="48"/>
      <w:szCs w:val="48"/>
    </w:rPr>
  </w:style>
  <w:style w:type="character" w:customStyle="1" w:styleId="11">
    <w:name w:val="标题 2 Char"/>
    <w:basedOn w:val="9"/>
    <w:link w:val="3"/>
    <w:qFormat/>
    <w:uiPriority w:val="0"/>
    <w:rPr>
      <w:rFonts w:ascii="宋体" w:hAnsi="宋体" w:eastAsia="宋体" w:cs="Times New Roman"/>
      <w:b/>
      <w:kern w:val="0"/>
      <w:sz w:val="36"/>
      <w:szCs w:val="36"/>
    </w:rPr>
  </w:style>
  <w:style w:type="character" w:customStyle="1" w:styleId="12">
    <w:name w:val="标题 3 Char"/>
    <w:basedOn w:val="9"/>
    <w:link w:val="4"/>
    <w:qFormat/>
    <w:uiPriority w:val="0"/>
    <w:rPr>
      <w:rFonts w:ascii="宋体" w:hAnsi="宋体" w:eastAsia="宋体" w:cs="Times New Roman"/>
      <w:b/>
      <w:kern w:val="0"/>
      <w:sz w:val="27"/>
      <w:szCs w:val="27"/>
    </w:rPr>
  </w:style>
  <w:style w:type="character" w:customStyle="1" w:styleId="13">
    <w:name w:val="页眉 Char"/>
    <w:basedOn w:val="9"/>
    <w:link w:val="6"/>
    <w:qFormat/>
    <w:uiPriority w:val="0"/>
    <w:rPr>
      <w:rFonts w:ascii="Calibri" w:hAnsi="Calibri" w:eastAsia="宋体" w:cs="Times New Roman"/>
      <w:sz w:val="18"/>
      <w:szCs w:val="18"/>
    </w:rPr>
  </w:style>
  <w:style w:type="character" w:customStyle="1" w:styleId="14">
    <w:name w:val="页脚 Char"/>
    <w:basedOn w:val="9"/>
    <w:link w:val="5"/>
    <w:semiHidden/>
    <w:uiPriority w:val="99"/>
    <w:rPr>
      <w:rFonts w:ascii="Calibri" w:hAnsi="Calibri" w:eastAsia="宋体" w:cs="Times New Roman"/>
      <w:sz w:val="18"/>
      <w:szCs w:val="18"/>
    </w:rPr>
  </w:style>
  <w:style w:type="paragraph" w:styleId="15">
    <w:name w:val="No Spacing"/>
    <w:qFormat/>
    <w:uiPriority w:val="1"/>
    <w:pPr>
      <w:widowControl w:val="0"/>
      <w:ind w:left="150" w:hanging="150" w:hangingChars="15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9483</Words>
  <Characters>10408</Characters>
  <Lines>80</Lines>
  <Paragraphs>22</Paragraphs>
  <TotalTime>2</TotalTime>
  <ScaleCrop>false</ScaleCrop>
  <LinksUpToDate>false</LinksUpToDate>
  <CharactersWithSpaces>10417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2021-11-02T06:03:00Z</dcterms:created>
  <dc:creator>china</dc:creator>
  <cp:lastModifiedBy>朱亚林</cp:lastModifiedBy>
  <dcterms:modified xsi:type="dcterms:W3CDTF">2022-10-17T13:08:35Z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55A6F6A7D2A049E0A79BCD854F8A30C6</vt:lpwstr>
  </property>
</Properties>
</file>