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firstLine="883" w:firstLineChars="200"/>
        <w:jc w:val="center"/>
        <w:rPr>
          <w:rFonts w:ascii="仿宋" w:hAnsi="仿宋" w:eastAsia="仿宋" w:cs="黑体"/>
          <w:b/>
          <w:bCs/>
          <w:sz w:val="44"/>
          <w:szCs w:val="44"/>
        </w:rPr>
      </w:pPr>
    </w:p>
    <w:p>
      <w:pPr>
        <w:spacing w:line="360" w:lineRule="auto"/>
        <w:ind w:left="0" w:firstLine="883" w:firstLineChars="200"/>
        <w:jc w:val="center"/>
        <w:rPr>
          <w:rFonts w:ascii="仿宋" w:hAnsi="仿宋" w:eastAsia="仿宋" w:cs="黑体"/>
          <w:b/>
          <w:bCs/>
          <w:sz w:val="44"/>
          <w:szCs w:val="44"/>
        </w:rPr>
      </w:pPr>
      <w:r>
        <w:rPr>
          <w:rFonts w:hint="eastAsia" w:ascii="仿宋" w:hAnsi="仿宋" w:eastAsia="仿宋" w:cs="黑体"/>
          <w:b/>
          <w:bCs/>
          <w:sz w:val="44"/>
          <w:szCs w:val="44"/>
        </w:rPr>
        <w:t>新邵县科学技术协会</w:t>
      </w:r>
    </w:p>
    <w:p>
      <w:pPr>
        <w:spacing w:line="360" w:lineRule="auto"/>
        <w:ind w:left="0" w:firstLine="883" w:firstLineChars="200"/>
        <w:jc w:val="center"/>
        <w:rPr>
          <w:rFonts w:ascii="仿宋" w:hAnsi="仿宋" w:eastAsia="仿宋" w:cs="黑体"/>
          <w:b/>
          <w:bCs/>
          <w:sz w:val="44"/>
          <w:szCs w:val="44"/>
        </w:rPr>
      </w:pPr>
      <w:r>
        <w:rPr>
          <w:rFonts w:hint="eastAsia" w:ascii="仿宋" w:hAnsi="仿宋" w:eastAsia="仿宋" w:cs="黑体"/>
          <w:b/>
          <w:bCs/>
          <w:sz w:val="44"/>
          <w:szCs w:val="44"/>
        </w:rPr>
        <w:t>2020年度部门整体支出绩效自评报告</w:t>
      </w:r>
    </w:p>
    <w:p>
      <w:pPr>
        <w:adjustRightInd w:val="0"/>
        <w:snapToGrid w:val="0"/>
        <w:spacing w:line="360" w:lineRule="auto"/>
        <w:ind w:left="0" w:firstLine="640" w:firstLineChars="200"/>
        <w:outlineLvl w:val="0"/>
        <w:rPr>
          <w:rFonts w:ascii="宋体" w:hAnsi="宋体" w:cs="仿宋"/>
          <w:sz w:val="32"/>
          <w:szCs w:val="32"/>
        </w:rPr>
      </w:pPr>
    </w:p>
    <w:p>
      <w:pPr>
        <w:adjustRightInd w:val="0"/>
        <w:snapToGrid w:val="0"/>
        <w:spacing w:line="360" w:lineRule="auto"/>
        <w:ind w:left="0" w:firstLine="643" w:firstLineChars="200"/>
        <w:outlineLvl w:val="0"/>
        <w:rPr>
          <w:rFonts w:ascii="宋体" w:hAnsi="宋体" w:cs="仿宋"/>
          <w:b/>
          <w:bCs/>
          <w:sz w:val="32"/>
          <w:szCs w:val="32"/>
        </w:rPr>
      </w:pPr>
      <w:r>
        <w:rPr>
          <w:rFonts w:hint="eastAsia" w:ascii="宋体" w:hAnsi="宋体" w:cs="仿宋"/>
          <w:b/>
          <w:bCs/>
          <w:sz w:val="32"/>
          <w:szCs w:val="32"/>
        </w:rPr>
        <w:t>一、部门概况</w:t>
      </w:r>
    </w:p>
    <w:p>
      <w:pPr>
        <w:pStyle w:val="11"/>
        <w:widowControl/>
        <w:numPr>
          <w:ilvl w:val="0"/>
          <w:numId w:val="1"/>
        </w:numPr>
        <w:spacing w:before="0" w:beforeAutospacing="0" w:after="0" w:afterAutospacing="0" w:line="360" w:lineRule="auto"/>
        <w:ind w:left="0" w:firstLine="643" w:firstLineChars="200"/>
        <w:rPr>
          <w:rFonts w:ascii="宋体" w:hAnsi="宋体" w:cs="仿宋"/>
          <w:b/>
          <w:bCs/>
          <w:color w:val="555555"/>
          <w:sz w:val="32"/>
          <w:szCs w:val="32"/>
        </w:rPr>
      </w:pPr>
      <w:r>
        <w:rPr>
          <w:rFonts w:hint="eastAsia" w:ascii="宋体" w:hAnsi="宋体" w:cs="仿宋"/>
          <w:b/>
          <w:bCs/>
          <w:sz w:val="32"/>
          <w:szCs w:val="32"/>
        </w:rPr>
        <w:t>部门基本情况</w:t>
      </w:r>
    </w:p>
    <w:p>
      <w:pPr>
        <w:pStyle w:val="14"/>
        <w:widowControl/>
        <w:spacing w:line="360" w:lineRule="auto"/>
        <w:ind w:left="0" w:firstLine="640"/>
        <w:jc w:val="left"/>
        <w:rPr>
          <w:rFonts w:ascii="宋体" w:hAnsi="宋体" w:cs="宋体"/>
          <w:kern w:val="0"/>
          <w:sz w:val="32"/>
          <w:szCs w:val="32"/>
        </w:rPr>
      </w:pPr>
      <w:r>
        <w:rPr>
          <w:rFonts w:hint="eastAsia" w:ascii="宋体" w:hAnsi="宋体" w:cs="宋体"/>
          <w:kern w:val="0"/>
          <w:sz w:val="32"/>
          <w:szCs w:val="32"/>
        </w:rPr>
        <w:t>根据编办核定，2020年我单位编制3人，实有在职人数5人，无离退休人员，无内设机构和下属单位，劳务派遣1人。</w:t>
      </w:r>
    </w:p>
    <w:p>
      <w:pPr>
        <w:numPr>
          <w:ilvl w:val="0"/>
          <w:numId w:val="2"/>
        </w:numPr>
        <w:adjustRightInd w:val="0"/>
        <w:snapToGrid w:val="0"/>
        <w:spacing w:line="360" w:lineRule="auto"/>
        <w:ind w:left="0" w:firstLine="643" w:firstLineChars="200"/>
        <w:jc w:val="left"/>
        <w:rPr>
          <w:rFonts w:ascii="宋体" w:hAnsi="宋体" w:cs="仿宋"/>
          <w:b/>
          <w:bCs/>
          <w:sz w:val="32"/>
          <w:szCs w:val="32"/>
        </w:rPr>
      </w:pPr>
      <w:r>
        <w:rPr>
          <w:rFonts w:hint="eastAsia" w:ascii="宋体" w:hAnsi="宋体" w:cs="仿宋"/>
          <w:b/>
          <w:bCs/>
          <w:sz w:val="32"/>
          <w:szCs w:val="32"/>
        </w:rPr>
        <w:t>主要工作职责</w:t>
      </w:r>
    </w:p>
    <w:p>
      <w:pPr>
        <w:widowControl/>
        <w:shd w:val="clear" w:color="auto" w:fill="FFFFFF"/>
        <w:spacing w:line="360" w:lineRule="auto"/>
        <w:ind w:left="0" w:firstLine="640" w:firstLineChars="200"/>
        <w:jc w:val="left"/>
        <w:rPr>
          <w:rFonts w:ascii="宋体" w:hAnsi="宋体" w:cs="宋体"/>
          <w:kern w:val="0"/>
          <w:sz w:val="32"/>
          <w:szCs w:val="32"/>
        </w:rPr>
      </w:pPr>
      <w:r>
        <w:rPr>
          <w:rFonts w:hint="eastAsia" w:ascii="宋体" w:hAnsi="宋体"/>
          <w:sz w:val="32"/>
          <w:szCs w:val="32"/>
        </w:rPr>
        <w:t>新邵县科学技术协会（简称新邵科协）是新邵县科技工作者的群众组织，是在中共新邵县委领导下的人民团体，是县委和县人民政府联系科技工作者的桥梁和纽带，是我县发展科学技术事业的重要力量。</w:t>
      </w:r>
      <w:r>
        <w:rPr>
          <w:rFonts w:ascii="宋体" w:hAnsi="宋体"/>
          <w:sz w:val="32"/>
          <w:szCs w:val="32"/>
        </w:rPr>
        <w:br w:type="textWrapping"/>
      </w:r>
      <w:r>
        <w:rPr>
          <w:rFonts w:hint="eastAsia" w:ascii="宋体" w:hAnsi="宋体"/>
          <w:sz w:val="32"/>
          <w:szCs w:val="32"/>
        </w:rPr>
        <w:t>　　新邵科协的主要任务是：</w:t>
      </w:r>
      <w:r>
        <w:rPr>
          <w:rFonts w:ascii="宋体" w:hAnsi="宋体"/>
          <w:sz w:val="32"/>
          <w:szCs w:val="32"/>
        </w:rPr>
        <w:br w:type="textWrapping"/>
      </w:r>
      <w:r>
        <w:rPr>
          <w:rFonts w:hint="eastAsia" w:ascii="宋体" w:hAnsi="宋体"/>
          <w:sz w:val="32"/>
          <w:szCs w:val="32"/>
        </w:rPr>
        <w:t>　　</w:t>
      </w:r>
      <w:r>
        <w:rPr>
          <w:rFonts w:ascii="宋体" w:hAnsi="宋体"/>
          <w:sz w:val="32"/>
          <w:szCs w:val="32"/>
        </w:rPr>
        <w:t>1</w:t>
      </w:r>
      <w:r>
        <w:rPr>
          <w:rFonts w:hint="eastAsia" w:ascii="宋体" w:hAnsi="宋体"/>
          <w:sz w:val="32"/>
          <w:szCs w:val="32"/>
        </w:rPr>
        <w:t>、开展学术交流，活跃学术思想，促进学科发展。</w:t>
      </w:r>
      <w:r>
        <w:rPr>
          <w:rFonts w:ascii="宋体" w:hAnsi="宋体"/>
          <w:sz w:val="32"/>
          <w:szCs w:val="32"/>
        </w:rPr>
        <w:br w:type="textWrapping"/>
      </w:r>
      <w:r>
        <w:rPr>
          <w:rFonts w:hint="eastAsia" w:ascii="宋体" w:hAnsi="宋体"/>
          <w:sz w:val="32"/>
          <w:szCs w:val="32"/>
        </w:rPr>
        <w:t>　　</w:t>
      </w:r>
      <w:r>
        <w:rPr>
          <w:rFonts w:ascii="宋体" w:hAnsi="宋体"/>
          <w:sz w:val="32"/>
          <w:szCs w:val="32"/>
        </w:rPr>
        <w:t>2</w:t>
      </w:r>
      <w:r>
        <w:rPr>
          <w:rFonts w:hint="eastAsia" w:ascii="宋体" w:hAnsi="宋体"/>
          <w:sz w:val="32"/>
          <w:szCs w:val="32"/>
        </w:rPr>
        <w:t>、弘扬科学精神，普及科学知识，传播科学思想和方法。捍卫科学尊严，推广先进技术，开展青少年科学教育活动，提高全民族科学文化素质。</w:t>
      </w:r>
      <w:r>
        <w:rPr>
          <w:rFonts w:ascii="宋体" w:hAnsi="宋体"/>
          <w:sz w:val="32"/>
          <w:szCs w:val="32"/>
        </w:rPr>
        <w:br w:type="textWrapping"/>
      </w:r>
      <w:r>
        <w:rPr>
          <w:rFonts w:hint="eastAsia" w:ascii="宋体" w:hAnsi="宋体"/>
          <w:sz w:val="32"/>
          <w:szCs w:val="32"/>
        </w:rPr>
        <w:t>　　</w:t>
      </w:r>
      <w:r>
        <w:rPr>
          <w:rFonts w:ascii="宋体" w:hAnsi="宋体"/>
          <w:sz w:val="32"/>
          <w:szCs w:val="32"/>
        </w:rPr>
        <w:t>3</w:t>
      </w:r>
      <w:r>
        <w:rPr>
          <w:rFonts w:hint="eastAsia" w:ascii="宋体" w:hAnsi="宋体"/>
          <w:sz w:val="32"/>
          <w:szCs w:val="32"/>
        </w:rPr>
        <w:t>、反映科学技术工作者的意见和要求，维护科学技术工作者的合法权益。组织科学技术工作者参与县委政府科学技术政策、法规制定和政治协商以及科学决策、民主监督工作。</w:t>
      </w:r>
      <w:r>
        <w:rPr>
          <w:rFonts w:ascii="宋体" w:hAnsi="宋体"/>
          <w:sz w:val="32"/>
          <w:szCs w:val="32"/>
        </w:rPr>
        <w:br w:type="textWrapping"/>
      </w:r>
      <w:r>
        <w:rPr>
          <w:rFonts w:hint="eastAsia" w:ascii="宋体" w:hAnsi="宋体"/>
          <w:sz w:val="32"/>
          <w:szCs w:val="32"/>
        </w:rPr>
        <w:t>　　</w:t>
      </w:r>
      <w:r>
        <w:rPr>
          <w:rFonts w:ascii="宋体" w:hAnsi="宋体"/>
          <w:sz w:val="32"/>
          <w:szCs w:val="32"/>
        </w:rPr>
        <w:t>4</w:t>
      </w:r>
      <w:r>
        <w:rPr>
          <w:rFonts w:hint="eastAsia" w:ascii="宋体" w:hAnsi="宋体"/>
          <w:sz w:val="32"/>
          <w:szCs w:val="32"/>
        </w:rPr>
        <w:t>、表彰奖励优秀科技工作者，向有关部门举荐人才。</w:t>
      </w:r>
      <w:r>
        <w:rPr>
          <w:rFonts w:ascii="宋体" w:hAnsi="宋体"/>
          <w:sz w:val="32"/>
          <w:szCs w:val="32"/>
        </w:rPr>
        <w:br w:type="textWrapping"/>
      </w:r>
      <w:r>
        <w:rPr>
          <w:rFonts w:hint="eastAsia" w:ascii="宋体" w:hAnsi="宋体"/>
          <w:sz w:val="32"/>
          <w:szCs w:val="32"/>
        </w:rPr>
        <w:t>　　</w:t>
      </w:r>
      <w:r>
        <w:rPr>
          <w:rFonts w:ascii="宋体" w:hAnsi="宋体"/>
          <w:sz w:val="32"/>
          <w:szCs w:val="32"/>
        </w:rPr>
        <w:t>5</w:t>
      </w:r>
      <w:r>
        <w:rPr>
          <w:rFonts w:hint="eastAsia" w:ascii="宋体" w:hAnsi="宋体"/>
          <w:sz w:val="32"/>
          <w:szCs w:val="32"/>
        </w:rPr>
        <w:t>、开展科学论证、咨询服务，提出政策建议，促进科学技术成果的转化，接受委托承担项目评估、成果鉴定、专业技术职务资格评审等任务。</w:t>
      </w:r>
      <w:r>
        <w:rPr>
          <w:rFonts w:ascii="宋体" w:hAnsi="宋体"/>
          <w:sz w:val="32"/>
          <w:szCs w:val="32"/>
        </w:rPr>
        <w:br w:type="textWrapping"/>
      </w:r>
      <w:r>
        <w:rPr>
          <w:rFonts w:hint="eastAsia" w:ascii="宋体" w:hAnsi="宋体"/>
          <w:sz w:val="32"/>
          <w:szCs w:val="32"/>
        </w:rPr>
        <w:t>　　</w:t>
      </w:r>
      <w:r>
        <w:rPr>
          <w:rFonts w:ascii="宋体" w:hAnsi="宋体"/>
          <w:sz w:val="32"/>
          <w:szCs w:val="32"/>
        </w:rPr>
        <w:t>6</w:t>
      </w:r>
      <w:r>
        <w:rPr>
          <w:rFonts w:hint="eastAsia" w:ascii="宋体" w:hAnsi="宋体"/>
          <w:sz w:val="32"/>
          <w:szCs w:val="32"/>
        </w:rPr>
        <w:t>、开展民间科学技术交流活动，发展同国内外的科学技术团体和科学技术工作者的友好交往。</w:t>
      </w:r>
      <w:r>
        <w:rPr>
          <w:rFonts w:ascii="宋体" w:hAnsi="宋体"/>
          <w:sz w:val="32"/>
          <w:szCs w:val="32"/>
        </w:rPr>
        <w:br w:type="textWrapping"/>
      </w:r>
      <w:r>
        <w:rPr>
          <w:rFonts w:hint="eastAsia" w:ascii="宋体" w:hAnsi="宋体"/>
          <w:sz w:val="32"/>
          <w:szCs w:val="32"/>
        </w:rPr>
        <w:t>　　</w:t>
      </w:r>
      <w:r>
        <w:rPr>
          <w:rFonts w:ascii="宋体" w:hAnsi="宋体"/>
          <w:sz w:val="32"/>
          <w:szCs w:val="32"/>
        </w:rPr>
        <w:t>7</w:t>
      </w:r>
      <w:r>
        <w:rPr>
          <w:rFonts w:hint="eastAsia" w:ascii="宋体" w:hAnsi="宋体"/>
          <w:sz w:val="32"/>
          <w:szCs w:val="32"/>
        </w:rPr>
        <w:t>、开展继续教育和培训工作。</w:t>
      </w:r>
      <w:r>
        <w:rPr>
          <w:rFonts w:ascii="宋体" w:hAnsi="宋体"/>
          <w:sz w:val="32"/>
          <w:szCs w:val="32"/>
        </w:rPr>
        <w:br w:type="textWrapping"/>
      </w:r>
      <w:r>
        <w:rPr>
          <w:rFonts w:hint="eastAsia" w:ascii="宋体" w:hAnsi="宋体"/>
          <w:sz w:val="32"/>
          <w:szCs w:val="32"/>
        </w:rPr>
        <w:t>　　</w:t>
      </w:r>
      <w:r>
        <w:rPr>
          <w:rFonts w:ascii="宋体" w:hAnsi="宋体"/>
          <w:sz w:val="32"/>
          <w:szCs w:val="32"/>
        </w:rPr>
        <w:t>8</w:t>
      </w:r>
      <w:r>
        <w:rPr>
          <w:rFonts w:hint="eastAsia" w:ascii="宋体" w:hAnsi="宋体"/>
          <w:sz w:val="32"/>
          <w:szCs w:val="32"/>
        </w:rPr>
        <w:t>、兴办符合新邵县科学技术协会宗旨的社会公益性事业。</w:t>
      </w:r>
      <w:r>
        <w:rPr>
          <w:rFonts w:hint="eastAsia" w:ascii="宋体" w:hAnsi="宋体" w:cs="宋体"/>
          <w:kern w:val="0"/>
          <w:sz w:val="32"/>
          <w:szCs w:val="32"/>
        </w:rPr>
        <w:t>　　</w:t>
      </w:r>
    </w:p>
    <w:p>
      <w:pPr>
        <w:pStyle w:val="11"/>
        <w:widowControl/>
        <w:spacing w:before="0" w:beforeAutospacing="0" w:after="0" w:afterAutospacing="0" w:line="360" w:lineRule="auto"/>
        <w:ind w:firstLine="643" w:firstLineChars="200"/>
        <w:rPr>
          <w:rFonts w:ascii="宋体" w:hAnsi="宋体" w:cs="仿宋"/>
          <w:sz w:val="32"/>
          <w:szCs w:val="32"/>
        </w:rPr>
      </w:pPr>
      <w:r>
        <w:rPr>
          <w:rFonts w:hint="eastAsia" w:ascii="宋体" w:hAnsi="宋体" w:cs="仿宋"/>
          <w:b/>
          <w:bCs/>
          <w:sz w:val="32"/>
          <w:szCs w:val="32"/>
        </w:rPr>
        <w:t>（三）2020年度工作计划</w:t>
      </w:r>
      <w:r>
        <w:rPr>
          <w:rFonts w:hint="eastAsia" w:ascii="宋体" w:hAnsi="宋体" w:cs="仿宋"/>
          <w:sz w:val="32"/>
          <w:szCs w:val="32"/>
        </w:rPr>
        <w:t xml:space="preserve"> </w:t>
      </w:r>
    </w:p>
    <w:p>
      <w:pPr>
        <w:spacing w:line="360" w:lineRule="auto"/>
        <w:ind w:left="0" w:firstLine="640" w:firstLineChars="200"/>
        <w:rPr>
          <w:rFonts w:ascii="宋体" w:hAnsi="宋体"/>
          <w:sz w:val="32"/>
          <w:szCs w:val="32"/>
        </w:rPr>
      </w:pPr>
      <w:r>
        <w:rPr>
          <w:rFonts w:hint="eastAsia" w:ascii="宋体" w:hAnsi="宋体"/>
          <w:sz w:val="32"/>
          <w:szCs w:val="32"/>
        </w:rPr>
        <w:t>1、继续抓好科协系统深化改革工作。一是完善科协机关内设机构，县科协成立时，定编3个，没有内设机构，我们要借本次改革的东风，争取设置3-4个业务股室。二是建立科协领导联系科技工作者制度。每个常委联系一个协会，每个副主席联系一个乡镇或科技工作者较多的企事业单位，经常和有关科技工作者联系沟通，倾听他们的呼声，收集他们的意见，反映他们的心声，更好地关心支持科技工作者，保护科技工作者的合法权益，让科技工作者有更广阔的舞台，发挥他们的聪明才智，引导全县科技工作者，立足本职工作岗位，努力工作，为建设“大美湖南之心”献计献策。</w:t>
      </w:r>
    </w:p>
    <w:p>
      <w:pPr>
        <w:spacing w:line="360" w:lineRule="auto"/>
        <w:ind w:left="0" w:firstLine="640" w:firstLineChars="200"/>
        <w:rPr>
          <w:rFonts w:ascii="宋体" w:hAnsi="宋体"/>
          <w:sz w:val="32"/>
          <w:szCs w:val="32"/>
        </w:rPr>
      </w:pPr>
      <w:r>
        <w:rPr>
          <w:rFonts w:hint="eastAsia" w:ascii="宋体" w:hAnsi="宋体"/>
          <w:sz w:val="32"/>
          <w:szCs w:val="32"/>
        </w:rPr>
        <w:t>2、抓好科普工作。一是力争按市深改委〔2018〕2号会议纪要精神，落实15个乡镇的科普工作经费，督促乡镇一级建立科普橱窗和科普活动室，村（社区）建立科普e站，积极引导他们开展各类形式的科普活动，把科普知识送到老百姓家里。二是积极向省、市科协争取科普大篷车、农家小院和学会服务站捆绑项目落到我县。三是加大对科普示范基地的投入，加强基地的示范带动作用。四是继续做好湖南省第三届科学素质网络大赛的参赛组织工作。</w:t>
      </w:r>
    </w:p>
    <w:p>
      <w:pPr>
        <w:spacing w:line="360" w:lineRule="auto"/>
        <w:ind w:left="0" w:firstLine="640" w:firstLineChars="200"/>
        <w:rPr>
          <w:rFonts w:ascii="宋体" w:hAnsi="宋体"/>
          <w:sz w:val="32"/>
          <w:szCs w:val="32"/>
        </w:rPr>
      </w:pPr>
      <w:r>
        <w:rPr>
          <w:rFonts w:hint="eastAsia" w:ascii="宋体" w:hAnsi="宋体"/>
          <w:sz w:val="32"/>
          <w:szCs w:val="32"/>
        </w:rPr>
        <w:t>3、探索学会工作新思路。一是督促指导县相关协会、学会，积极开展各种形式的交流活动，要采取走出去、请进来，两条腿走路的办法，组织本县有关专家参加省级以上学术交流活动，请省内外有关专家来县讲课，了解国内外最新科技动态，跟上形势发展。二是继续做好青少年科技创新大赛组织工作，保持获奖率逐年上升的良好态势。三是</w:t>
      </w:r>
      <w:r>
        <w:rPr>
          <w:rFonts w:hint="eastAsia" w:ascii="宋体" w:hAnsi="宋体" w:cs="宋体"/>
          <w:color w:val="333333"/>
          <w:kern w:val="0"/>
          <w:sz w:val="32"/>
          <w:szCs w:val="32"/>
        </w:rPr>
        <w:t>继续强力推进企业科协组织建设，加大协调沟通指导力度，争取在全县8个高新技术工业企业和1个工业园区中全部成立企业科协和工业园区科协，并加入邵阳市企业科学技术协会联合会，将省、市“党建带群建”的工作要求向纵深推进。</w:t>
      </w:r>
    </w:p>
    <w:p>
      <w:pPr>
        <w:spacing w:line="360" w:lineRule="auto"/>
        <w:ind w:left="0" w:firstLine="640" w:firstLineChars="200"/>
        <w:rPr>
          <w:rFonts w:ascii="宋体" w:hAnsi="宋体"/>
          <w:sz w:val="32"/>
          <w:szCs w:val="32"/>
        </w:rPr>
      </w:pPr>
      <w:r>
        <w:rPr>
          <w:rFonts w:hint="eastAsia" w:ascii="宋体" w:hAnsi="宋体"/>
          <w:sz w:val="32"/>
          <w:szCs w:val="32"/>
        </w:rPr>
        <w:t>4、完成县委、县政府交办的其他中心工作。</w:t>
      </w:r>
    </w:p>
    <w:p>
      <w:pPr>
        <w:autoSpaceDE w:val="0"/>
        <w:spacing w:line="360" w:lineRule="auto"/>
        <w:ind w:left="0" w:firstLine="723" w:firstLineChars="200"/>
        <w:jc w:val="left"/>
        <w:rPr>
          <w:rFonts w:ascii="宋体" w:hAnsi="宋体" w:cs="仿宋"/>
          <w:b/>
          <w:bCs/>
          <w:sz w:val="32"/>
          <w:szCs w:val="32"/>
        </w:rPr>
      </w:pPr>
      <w:r>
        <w:rPr>
          <w:rFonts w:hint="eastAsia" w:ascii="宋体" w:hAnsi="宋体" w:cs="仿宋"/>
          <w:b/>
          <w:bCs/>
          <w:sz w:val="36"/>
          <w:szCs w:val="36"/>
        </w:rPr>
        <w:t>二、部门整体支出规模、使用方向和内容</w:t>
      </w:r>
      <w:r>
        <w:rPr>
          <w:rFonts w:hint="eastAsia" w:ascii="宋体" w:hAnsi="宋体" w:cs="仿宋"/>
          <w:b/>
          <w:bCs/>
          <w:sz w:val="32"/>
          <w:szCs w:val="32"/>
        </w:rPr>
        <w:t>（金额：万元）</w:t>
      </w:r>
    </w:p>
    <w:p>
      <w:pPr>
        <w:pStyle w:val="11"/>
        <w:widowControl/>
        <w:spacing w:before="0" w:beforeAutospacing="0" w:after="0" w:afterAutospacing="0" w:line="360" w:lineRule="auto"/>
        <w:ind w:firstLine="723" w:firstLineChars="200"/>
        <w:rPr>
          <w:rFonts w:ascii="宋体" w:hAnsi="宋体" w:cs="仿宋"/>
          <w:b/>
          <w:bCs/>
          <w:sz w:val="36"/>
          <w:szCs w:val="36"/>
        </w:rPr>
      </w:pPr>
    </w:p>
    <w:p>
      <w:pPr>
        <w:adjustRightInd w:val="0"/>
        <w:snapToGrid w:val="0"/>
        <w:spacing w:line="360" w:lineRule="auto"/>
        <w:ind w:left="0" w:firstLine="643" w:firstLineChars="200"/>
        <w:rPr>
          <w:rFonts w:ascii="宋体" w:hAnsi="宋体" w:cs="仿宋"/>
          <w:b/>
          <w:bCs/>
          <w:sz w:val="32"/>
          <w:szCs w:val="32"/>
        </w:rPr>
      </w:pPr>
      <w:r>
        <w:rPr>
          <w:rFonts w:hint="eastAsia" w:ascii="宋体" w:hAnsi="宋体" w:cs="仿宋"/>
          <w:b/>
          <w:bCs/>
          <w:sz w:val="32"/>
          <w:szCs w:val="32"/>
        </w:rPr>
        <w:t>（一）年度预算收支情况</w:t>
      </w:r>
    </w:p>
    <w:p>
      <w:pPr>
        <w:adjustRightInd w:val="0"/>
        <w:snapToGrid w:val="0"/>
        <w:spacing w:line="360" w:lineRule="auto"/>
        <w:ind w:left="0" w:firstLine="640" w:firstLineChars="200"/>
        <w:rPr>
          <w:rFonts w:ascii="宋体" w:hAnsi="宋体" w:cs="仿宋"/>
          <w:sz w:val="32"/>
          <w:szCs w:val="32"/>
        </w:rPr>
      </w:pPr>
      <w:r>
        <w:rPr>
          <w:rFonts w:hint="eastAsia" w:ascii="宋体" w:hAnsi="宋体" w:cs="仿宋"/>
          <w:sz w:val="32"/>
          <w:szCs w:val="32"/>
        </w:rPr>
        <w:t>1.年初预算收支</w:t>
      </w:r>
    </w:p>
    <w:tbl>
      <w:tblPr>
        <w:tblStyle w:val="12"/>
        <w:tblW w:w="8680" w:type="dxa"/>
        <w:jc w:val="center"/>
        <w:tblLayout w:type="fixed"/>
        <w:tblCellMar>
          <w:top w:w="0" w:type="dxa"/>
          <w:left w:w="0" w:type="dxa"/>
          <w:bottom w:w="0" w:type="dxa"/>
          <w:right w:w="0" w:type="dxa"/>
        </w:tblCellMar>
      </w:tblPr>
      <w:tblGrid>
        <w:gridCol w:w="2135"/>
        <w:gridCol w:w="1736"/>
        <w:gridCol w:w="1624"/>
        <w:gridCol w:w="1344"/>
        <w:gridCol w:w="1841"/>
      </w:tblGrid>
      <w:tr>
        <w:tblPrEx>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2" w:firstLineChars="200"/>
              <w:jc w:val="center"/>
              <w:textAlignment w:val="center"/>
              <w:rPr>
                <w:rFonts w:ascii="宋体" w:hAnsi="宋体" w:cs="仿宋"/>
                <w:color w:val="010101"/>
                <w:szCs w:val="21"/>
              </w:rPr>
            </w:pPr>
            <w:r>
              <w:rPr>
                <w:rFonts w:hint="eastAsia" w:ascii="宋体" w:hAnsi="宋体" w:cs="仿宋"/>
                <w:b/>
                <w:bCs/>
                <w:color w:val="000000"/>
                <w:kern w:val="0"/>
                <w:szCs w:val="21"/>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2" w:firstLineChars="200"/>
              <w:jc w:val="center"/>
              <w:textAlignment w:val="center"/>
              <w:rPr>
                <w:rFonts w:ascii="宋体" w:hAnsi="宋体" w:cs="仿宋"/>
                <w:color w:val="010101"/>
                <w:szCs w:val="21"/>
              </w:rPr>
            </w:pPr>
            <w:r>
              <w:rPr>
                <w:rFonts w:hint="eastAsia" w:ascii="宋体" w:hAnsi="宋体" w:cs="仿宋"/>
                <w:b/>
                <w:bCs/>
                <w:color w:val="000000"/>
                <w:kern w:val="0"/>
                <w:szCs w:val="21"/>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2" w:firstLineChars="200"/>
              <w:jc w:val="center"/>
              <w:textAlignment w:val="center"/>
              <w:rPr>
                <w:rFonts w:ascii="宋体" w:hAnsi="宋体" w:cs="仿宋"/>
                <w:color w:val="010101"/>
                <w:szCs w:val="21"/>
              </w:rPr>
            </w:pPr>
            <w:r>
              <w:rPr>
                <w:rFonts w:hint="eastAsia" w:ascii="宋体" w:hAnsi="宋体" w:cs="仿宋"/>
                <w:b/>
                <w:bCs/>
                <w:color w:val="000000"/>
                <w:kern w:val="0"/>
                <w:szCs w:val="21"/>
              </w:rPr>
              <w:t>较上年增减变化</w:t>
            </w:r>
          </w:p>
        </w:tc>
      </w:tr>
      <w:tr>
        <w:tblPrEx>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auto"/>
              <w:ind w:left="0" w:firstLine="420" w:firstLineChars="200"/>
              <w:jc w:val="left"/>
              <w:rPr>
                <w:rFonts w:ascii="宋体" w:hAnsi="宋体" w:cs="仿宋"/>
                <w:color w:val="010101"/>
                <w:szCs w:val="21"/>
              </w:rPr>
            </w:pPr>
          </w:p>
        </w:tc>
        <w:tc>
          <w:tcPr>
            <w:tcW w:w="1736" w:type="dxa"/>
            <w:tcBorders>
              <w:top w:val="nil"/>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2" w:firstLineChars="200"/>
              <w:jc w:val="center"/>
              <w:textAlignment w:val="center"/>
              <w:rPr>
                <w:rFonts w:ascii="宋体" w:hAnsi="宋体" w:cs="仿宋"/>
                <w:color w:val="010101"/>
                <w:szCs w:val="21"/>
              </w:rPr>
            </w:pPr>
            <w:r>
              <w:rPr>
                <w:rFonts w:hint="eastAsia" w:ascii="宋体" w:hAnsi="宋体" w:cs="仿宋"/>
                <w:b/>
                <w:bCs/>
                <w:color w:val="000000"/>
                <w:kern w:val="0"/>
                <w:szCs w:val="21"/>
              </w:rPr>
              <w:t>2020年</w:t>
            </w:r>
          </w:p>
        </w:tc>
        <w:tc>
          <w:tcPr>
            <w:tcW w:w="1624" w:type="dxa"/>
            <w:tcBorders>
              <w:top w:val="nil"/>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2" w:firstLineChars="200"/>
              <w:jc w:val="center"/>
              <w:textAlignment w:val="center"/>
              <w:rPr>
                <w:rFonts w:ascii="宋体" w:hAnsi="宋体" w:cs="仿宋"/>
                <w:color w:val="010101"/>
                <w:szCs w:val="21"/>
              </w:rPr>
            </w:pPr>
            <w:r>
              <w:rPr>
                <w:rFonts w:hint="eastAsia" w:ascii="宋体" w:hAnsi="宋体" w:cs="仿宋"/>
                <w:b/>
                <w:bCs/>
                <w:color w:val="000000"/>
                <w:kern w:val="0"/>
                <w:szCs w:val="21"/>
              </w:rPr>
              <w:t>2019年</w:t>
            </w:r>
          </w:p>
        </w:tc>
        <w:tc>
          <w:tcPr>
            <w:tcW w:w="1344" w:type="dxa"/>
            <w:tcBorders>
              <w:top w:val="nil"/>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2" w:firstLineChars="200"/>
              <w:jc w:val="center"/>
              <w:textAlignment w:val="center"/>
              <w:rPr>
                <w:rFonts w:ascii="宋体" w:hAnsi="宋体" w:cs="仿宋"/>
                <w:color w:val="010101"/>
                <w:szCs w:val="21"/>
              </w:rPr>
            </w:pPr>
            <w:r>
              <w:rPr>
                <w:rFonts w:hint="eastAsia" w:ascii="宋体" w:hAnsi="宋体" w:cs="仿宋"/>
                <w:b/>
                <w:bCs/>
                <w:color w:val="000000"/>
                <w:kern w:val="0"/>
                <w:szCs w:val="21"/>
              </w:rPr>
              <w:t>金额</w:t>
            </w:r>
          </w:p>
        </w:tc>
        <w:tc>
          <w:tcPr>
            <w:tcW w:w="1841" w:type="dxa"/>
            <w:tcBorders>
              <w:top w:val="nil"/>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2" w:firstLineChars="200"/>
              <w:jc w:val="center"/>
              <w:textAlignment w:val="center"/>
              <w:rPr>
                <w:rFonts w:ascii="宋体" w:hAnsi="宋体" w:cs="仿宋"/>
                <w:color w:val="010101"/>
                <w:szCs w:val="21"/>
              </w:rPr>
            </w:pPr>
            <w:r>
              <w:rPr>
                <w:rFonts w:hint="eastAsia" w:ascii="宋体" w:hAnsi="宋体" w:cs="仿宋"/>
                <w:b/>
                <w:bCs/>
                <w:color w:val="000000"/>
                <w:kern w:val="0"/>
                <w:szCs w:val="21"/>
              </w:rPr>
              <w:t>比例</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2" w:firstLineChars="200"/>
              <w:jc w:val="left"/>
              <w:rPr>
                <w:rFonts w:ascii="宋体" w:hAnsi="宋体" w:cs="仿宋"/>
                <w:color w:val="010101"/>
                <w:szCs w:val="21"/>
              </w:rPr>
            </w:pPr>
            <w:r>
              <w:rPr>
                <w:rFonts w:hint="eastAsia" w:ascii="宋体" w:hAnsi="宋体" w:cs="仿宋"/>
                <w:b/>
                <w:bCs/>
                <w:color w:val="010101"/>
                <w:kern w:val="0"/>
                <w:szCs w:val="21"/>
              </w:rPr>
              <w:t>收入预算</w:t>
            </w:r>
          </w:p>
        </w:tc>
        <w:tc>
          <w:tcPr>
            <w:tcW w:w="1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135.75</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114.14</w:t>
            </w:r>
          </w:p>
        </w:tc>
        <w:tc>
          <w:tcPr>
            <w:tcW w:w="134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line="360" w:lineRule="auto"/>
              <w:ind w:left="0" w:firstLine="0" w:firstLineChars="0"/>
              <w:jc w:val="left"/>
              <w:textAlignment w:val="bottom"/>
              <w:rPr>
                <w:rFonts w:ascii="宋体" w:hAnsi="宋体" w:cs="仿宋"/>
                <w:color w:val="FF0000"/>
                <w:szCs w:val="21"/>
              </w:rPr>
            </w:pPr>
            <w:r>
              <w:rPr>
                <w:rFonts w:hint="eastAsia" w:ascii="宋体" w:hAnsi="宋体" w:cs="宋体"/>
                <w:color w:val="FF0000"/>
                <w:kern w:val="0"/>
                <w:sz w:val="20"/>
                <w:szCs w:val="20"/>
              </w:rPr>
              <w:t>增加21.61</w:t>
            </w:r>
          </w:p>
        </w:tc>
        <w:tc>
          <w:tcPr>
            <w:tcW w:w="184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line="360" w:lineRule="auto"/>
              <w:ind w:left="0" w:firstLine="400" w:firstLineChars="200"/>
              <w:jc w:val="right"/>
              <w:textAlignment w:val="bottom"/>
              <w:rPr>
                <w:rFonts w:ascii="宋体" w:hAnsi="宋体" w:cs="仿宋"/>
                <w:color w:val="FF0000"/>
                <w:szCs w:val="21"/>
              </w:rPr>
            </w:pPr>
            <w:r>
              <w:rPr>
                <w:rFonts w:hint="eastAsia" w:ascii="宋体" w:hAnsi="宋体" w:cs="宋体"/>
                <w:color w:val="FF0000"/>
                <w:kern w:val="0"/>
                <w:sz w:val="20"/>
                <w:szCs w:val="20"/>
              </w:rPr>
              <w:t>增加18.93%</w:t>
            </w:r>
          </w:p>
        </w:tc>
      </w:tr>
      <w:tr>
        <w:tblPrEx>
          <w:tblCellMar>
            <w:top w:w="0" w:type="dxa"/>
            <w:left w:w="0" w:type="dxa"/>
            <w:bottom w:w="0" w:type="dxa"/>
            <w:right w:w="0" w:type="dxa"/>
          </w:tblCellMar>
        </w:tblPrEx>
        <w:trPr>
          <w:trHeight w:val="495" w:hRule="atLeast"/>
          <w:jc w:val="center"/>
        </w:trPr>
        <w:tc>
          <w:tcPr>
            <w:tcW w:w="2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0" w:firstLineChars="0"/>
              <w:jc w:val="left"/>
              <w:rPr>
                <w:rFonts w:ascii="宋体" w:hAnsi="宋体" w:cs="仿宋"/>
                <w:color w:val="010101"/>
                <w:szCs w:val="21"/>
              </w:rPr>
            </w:pPr>
            <w:r>
              <w:rPr>
                <w:rFonts w:hint="eastAsia" w:ascii="宋体" w:hAnsi="宋体" w:cs="仿宋"/>
                <w:color w:val="010101"/>
                <w:kern w:val="0"/>
                <w:szCs w:val="21"/>
              </w:rPr>
              <w:t>其中：财政经费拨款</w:t>
            </w:r>
          </w:p>
        </w:tc>
        <w:tc>
          <w:tcPr>
            <w:tcW w:w="1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135.75</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114.14</w:t>
            </w:r>
          </w:p>
        </w:tc>
        <w:tc>
          <w:tcPr>
            <w:tcW w:w="134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line="360" w:lineRule="auto"/>
              <w:ind w:left="0" w:firstLine="0" w:firstLineChars="0"/>
              <w:jc w:val="left"/>
              <w:textAlignment w:val="bottom"/>
              <w:rPr>
                <w:rFonts w:ascii="宋体" w:hAnsi="宋体" w:cs="仿宋"/>
                <w:color w:val="FF0000"/>
                <w:szCs w:val="21"/>
              </w:rPr>
            </w:pPr>
            <w:r>
              <w:rPr>
                <w:rFonts w:hint="eastAsia" w:ascii="宋体" w:hAnsi="宋体" w:cs="宋体"/>
                <w:color w:val="FF0000"/>
                <w:kern w:val="0"/>
                <w:sz w:val="20"/>
                <w:szCs w:val="20"/>
              </w:rPr>
              <w:t>增加21.61</w:t>
            </w:r>
          </w:p>
        </w:tc>
        <w:tc>
          <w:tcPr>
            <w:tcW w:w="184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line="360" w:lineRule="auto"/>
              <w:ind w:left="0" w:firstLine="400" w:firstLineChars="200"/>
              <w:jc w:val="right"/>
              <w:textAlignment w:val="bottom"/>
              <w:rPr>
                <w:rFonts w:ascii="宋体" w:hAnsi="宋体" w:cs="仿宋"/>
                <w:color w:val="FF0000"/>
                <w:szCs w:val="21"/>
              </w:rPr>
            </w:pPr>
            <w:r>
              <w:rPr>
                <w:rFonts w:hint="eastAsia" w:ascii="宋体" w:hAnsi="宋体" w:cs="宋体"/>
                <w:color w:val="FF0000"/>
                <w:kern w:val="0"/>
                <w:sz w:val="20"/>
                <w:szCs w:val="20"/>
              </w:rPr>
              <w:t>18.93%</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2" w:firstLineChars="200"/>
              <w:jc w:val="left"/>
              <w:rPr>
                <w:rFonts w:ascii="宋体" w:hAnsi="宋体" w:cs="仿宋"/>
                <w:color w:val="010101"/>
                <w:szCs w:val="21"/>
              </w:rPr>
            </w:pPr>
            <w:r>
              <w:rPr>
                <w:rFonts w:hint="eastAsia" w:ascii="宋体" w:hAnsi="宋体" w:cs="仿宋"/>
                <w:b/>
                <w:bCs/>
                <w:color w:val="010101"/>
                <w:kern w:val="0"/>
                <w:szCs w:val="21"/>
              </w:rPr>
              <w:t>支出预算</w:t>
            </w:r>
          </w:p>
        </w:tc>
        <w:tc>
          <w:tcPr>
            <w:tcW w:w="1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135.75</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114.14</w:t>
            </w:r>
          </w:p>
        </w:tc>
        <w:tc>
          <w:tcPr>
            <w:tcW w:w="134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line="360" w:lineRule="auto"/>
              <w:ind w:left="0" w:firstLine="0" w:firstLineChars="0"/>
              <w:jc w:val="left"/>
              <w:textAlignment w:val="bottom"/>
              <w:rPr>
                <w:rFonts w:ascii="宋体" w:hAnsi="宋体" w:cs="宋体"/>
                <w:color w:val="FF0000"/>
                <w:kern w:val="0"/>
                <w:sz w:val="20"/>
                <w:szCs w:val="20"/>
              </w:rPr>
            </w:pPr>
            <w:r>
              <w:rPr>
                <w:rFonts w:hint="eastAsia" w:ascii="宋体" w:hAnsi="宋体" w:cs="宋体"/>
                <w:color w:val="FF0000"/>
                <w:kern w:val="0"/>
                <w:sz w:val="20"/>
                <w:szCs w:val="20"/>
              </w:rPr>
              <w:t>增加21.61</w:t>
            </w:r>
          </w:p>
        </w:tc>
        <w:tc>
          <w:tcPr>
            <w:tcW w:w="184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line="360" w:lineRule="auto"/>
              <w:ind w:left="0" w:firstLine="400" w:firstLineChars="200"/>
              <w:jc w:val="right"/>
              <w:textAlignment w:val="bottom"/>
              <w:rPr>
                <w:rFonts w:ascii="宋体" w:hAnsi="宋体" w:cs="仿宋"/>
                <w:color w:val="FF0000"/>
                <w:szCs w:val="21"/>
              </w:rPr>
            </w:pPr>
            <w:r>
              <w:rPr>
                <w:rFonts w:hint="eastAsia" w:ascii="宋体" w:hAnsi="宋体" w:cs="宋体"/>
                <w:color w:val="FF0000"/>
                <w:kern w:val="0"/>
                <w:sz w:val="20"/>
                <w:szCs w:val="20"/>
              </w:rPr>
              <w:t>18.93%</w:t>
            </w:r>
          </w:p>
        </w:tc>
      </w:tr>
      <w:tr>
        <w:tblPrEx>
          <w:tblCellMar>
            <w:top w:w="0" w:type="dxa"/>
            <w:left w:w="0" w:type="dxa"/>
            <w:bottom w:w="0" w:type="dxa"/>
            <w:right w:w="0" w:type="dxa"/>
          </w:tblCellMar>
        </w:tblPrEx>
        <w:trPr>
          <w:trHeight w:val="90" w:hRule="atLeast"/>
          <w:jc w:val="center"/>
        </w:trPr>
        <w:tc>
          <w:tcPr>
            <w:tcW w:w="2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left"/>
              <w:rPr>
                <w:rFonts w:ascii="宋体" w:hAnsi="宋体" w:cs="仿宋"/>
                <w:color w:val="010101"/>
                <w:szCs w:val="21"/>
              </w:rPr>
            </w:pPr>
            <w:r>
              <w:rPr>
                <w:rFonts w:hint="eastAsia" w:ascii="宋体" w:hAnsi="宋体" w:cs="仿宋"/>
                <w:color w:val="010101"/>
                <w:kern w:val="0"/>
                <w:szCs w:val="21"/>
              </w:rPr>
              <w:t>其中：基本支出</w:t>
            </w:r>
          </w:p>
        </w:tc>
        <w:tc>
          <w:tcPr>
            <w:tcW w:w="1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42.75</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34.7</w:t>
            </w:r>
          </w:p>
        </w:tc>
        <w:tc>
          <w:tcPr>
            <w:tcW w:w="1344"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line="360" w:lineRule="auto"/>
              <w:ind w:left="0" w:firstLine="0" w:firstLineChars="0"/>
              <w:jc w:val="left"/>
              <w:textAlignment w:val="bottom"/>
              <w:rPr>
                <w:rFonts w:ascii="宋体" w:hAnsi="宋体" w:cs="宋体"/>
                <w:color w:val="FF0000"/>
                <w:kern w:val="0"/>
                <w:sz w:val="20"/>
                <w:szCs w:val="20"/>
              </w:rPr>
            </w:pPr>
            <w:r>
              <w:rPr>
                <w:rFonts w:hint="eastAsia" w:ascii="宋体" w:hAnsi="宋体" w:cs="宋体"/>
                <w:color w:val="FF0000"/>
                <w:kern w:val="0"/>
                <w:sz w:val="20"/>
                <w:szCs w:val="20"/>
              </w:rPr>
              <w:t>增加8.05</w:t>
            </w:r>
          </w:p>
        </w:tc>
        <w:tc>
          <w:tcPr>
            <w:tcW w:w="1841"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spacing w:line="360" w:lineRule="auto"/>
              <w:ind w:left="0" w:firstLine="400" w:firstLineChars="200"/>
              <w:jc w:val="right"/>
              <w:textAlignment w:val="bottom"/>
              <w:rPr>
                <w:rFonts w:ascii="宋体" w:hAnsi="宋体" w:cs="仿宋"/>
                <w:color w:val="FF0000"/>
                <w:szCs w:val="21"/>
              </w:rPr>
            </w:pPr>
            <w:r>
              <w:rPr>
                <w:rFonts w:hint="eastAsia" w:ascii="宋体" w:hAnsi="宋体" w:cs="宋体"/>
                <w:color w:val="FF0000"/>
                <w:kern w:val="0"/>
                <w:sz w:val="20"/>
                <w:szCs w:val="20"/>
              </w:rPr>
              <w:t>增加23.2%</w:t>
            </w:r>
          </w:p>
        </w:tc>
      </w:tr>
      <w:tr>
        <w:tblPrEx>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left"/>
              <w:rPr>
                <w:rFonts w:ascii="宋体" w:hAnsi="宋体" w:cs="仿宋"/>
                <w:color w:val="010101"/>
                <w:szCs w:val="21"/>
              </w:rPr>
            </w:pPr>
            <w:r>
              <w:rPr>
                <w:rFonts w:hint="eastAsia" w:ascii="宋体" w:hAnsi="宋体" w:cs="仿宋"/>
                <w:color w:val="010101"/>
                <w:kern w:val="0"/>
                <w:szCs w:val="21"/>
              </w:rPr>
              <w:t>其中：项目支出</w:t>
            </w:r>
          </w:p>
        </w:tc>
        <w:tc>
          <w:tcPr>
            <w:tcW w:w="173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93</w:t>
            </w:r>
          </w:p>
        </w:tc>
        <w:tc>
          <w:tcPr>
            <w:tcW w:w="162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right"/>
              <w:rPr>
                <w:rFonts w:ascii="宋体" w:hAnsi="宋体" w:cs="仿宋"/>
                <w:color w:val="010101"/>
                <w:szCs w:val="21"/>
              </w:rPr>
            </w:pPr>
            <w:r>
              <w:rPr>
                <w:rFonts w:hint="eastAsia" w:ascii="宋体" w:hAnsi="宋体" w:cs="仿宋"/>
                <w:color w:val="010101"/>
                <w:szCs w:val="21"/>
              </w:rPr>
              <w:t>79.44</w:t>
            </w:r>
          </w:p>
        </w:tc>
        <w:tc>
          <w:tcPr>
            <w:tcW w:w="134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ind w:left="0" w:firstLine="0" w:firstLineChars="0"/>
              <w:jc w:val="left"/>
              <w:textAlignment w:val="bottom"/>
              <w:rPr>
                <w:rFonts w:ascii="宋体" w:hAnsi="宋体" w:cs="宋体"/>
                <w:color w:val="FF0000"/>
                <w:kern w:val="0"/>
                <w:sz w:val="20"/>
                <w:szCs w:val="20"/>
              </w:rPr>
            </w:pPr>
            <w:r>
              <w:rPr>
                <w:rFonts w:hint="eastAsia" w:ascii="宋体" w:hAnsi="宋体" w:cs="宋体"/>
                <w:color w:val="FF0000"/>
                <w:kern w:val="0"/>
                <w:sz w:val="20"/>
                <w:szCs w:val="20"/>
              </w:rPr>
              <w:t>增加13.56</w:t>
            </w:r>
          </w:p>
        </w:tc>
        <w:tc>
          <w:tcPr>
            <w:tcW w:w="184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ind w:left="0" w:firstLine="400" w:firstLineChars="200"/>
              <w:jc w:val="right"/>
              <w:textAlignment w:val="bottom"/>
              <w:rPr>
                <w:rFonts w:ascii="宋体" w:hAnsi="宋体" w:cs="宋体"/>
                <w:color w:val="FF0000"/>
                <w:kern w:val="0"/>
                <w:sz w:val="20"/>
                <w:szCs w:val="20"/>
              </w:rPr>
            </w:pPr>
            <w:r>
              <w:rPr>
                <w:rFonts w:hint="eastAsia" w:ascii="宋体" w:hAnsi="宋体" w:cs="宋体"/>
                <w:color w:val="FF0000"/>
                <w:kern w:val="0"/>
                <w:sz w:val="20"/>
                <w:szCs w:val="20"/>
              </w:rPr>
              <w:t xml:space="preserve">  增加17.1%       </w:t>
            </w:r>
          </w:p>
        </w:tc>
      </w:tr>
    </w:tbl>
    <w:p>
      <w:pPr>
        <w:adjustRightInd w:val="0"/>
        <w:snapToGrid w:val="0"/>
        <w:spacing w:line="360" w:lineRule="auto"/>
        <w:ind w:left="0" w:firstLine="640" w:firstLineChars="200"/>
        <w:rPr>
          <w:rFonts w:ascii="宋体" w:hAnsi="宋体" w:cs="仿宋"/>
          <w:sz w:val="32"/>
          <w:szCs w:val="32"/>
        </w:rPr>
      </w:pPr>
      <w:r>
        <w:rPr>
          <w:rFonts w:hint="eastAsia" w:ascii="宋体" w:hAnsi="宋体" w:cs="仿宋"/>
          <w:sz w:val="32"/>
          <w:szCs w:val="32"/>
        </w:rPr>
        <w:t>收入预算增加主要是加大了科普基地的扶持力度和人员经费增加（较上年增加2人）。</w:t>
      </w:r>
    </w:p>
    <w:p>
      <w:pPr>
        <w:adjustRightInd w:val="0"/>
        <w:snapToGrid w:val="0"/>
        <w:spacing w:line="360" w:lineRule="auto"/>
        <w:ind w:left="0" w:firstLine="640" w:firstLineChars="200"/>
        <w:rPr>
          <w:rFonts w:ascii="宋体" w:hAnsi="宋体" w:cs="仿宋"/>
          <w:sz w:val="32"/>
          <w:szCs w:val="32"/>
        </w:rPr>
      </w:pPr>
      <w:r>
        <w:rPr>
          <w:rFonts w:hint="eastAsia" w:ascii="宋体" w:hAnsi="宋体" w:cs="仿宋"/>
          <w:sz w:val="32"/>
          <w:szCs w:val="32"/>
        </w:rPr>
        <w:t>2.财政预算整体支出使用范围、方向和内容</w:t>
      </w:r>
    </w:p>
    <w:tbl>
      <w:tblPr>
        <w:tblStyle w:val="12"/>
        <w:tblW w:w="8317" w:type="dxa"/>
        <w:jc w:val="center"/>
        <w:tblLayout w:type="fixed"/>
        <w:tblCellMar>
          <w:top w:w="0" w:type="dxa"/>
          <w:left w:w="0" w:type="dxa"/>
          <w:bottom w:w="0" w:type="dxa"/>
          <w:right w:w="0" w:type="dxa"/>
        </w:tblCellMar>
      </w:tblPr>
      <w:tblGrid>
        <w:gridCol w:w="2859"/>
        <w:gridCol w:w="1398"/>
        <w:gridCol w:w="1681"/>
        <w:gridCol w:w="2379"/>
      </w:tblGrid>
      <w:tr>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支出项目</w:t>
            </w:r>
          </w:p>
        </w:tc>
        <w:tc>
          <w:tcPr>
            <w:tcW w:w="1398"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0" w:firstLineChars="0"/>
              <w:textAlignment w:val="center"/>
              <w:rPr>
                <w:rFonts w:ascii="宋体" w:hAnsi="宋体" w:cs="仿宋"/>
                <w:color w:val="000000"/>
                <w:kern w:val="0"/>
                <w:szCs w:val="21"/>
              </w:rPr>
            </w:pPr>
            <w:r>
              <w:rPr>
                <w:rFonts w:hint="eastAsia" w:ascii="宋体" w:hAnsi="宋体" w:cs="仿宋"/>
                <w:color w:val="000000"/>
                <w:kern w:val="0"/>
                <w:szCs w:val="21"/>
              </w:rPr>
              <w:t>基本支出</w:t>
            </w:r>
          </w:p>
        </w:tc>
        <w:tc>
          <w:tcPr>
            <w:tcW w:w="1681"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工资福利支出</w:t>
            </w:r>
          </w:p>
        </w:tc>
        <w:tc>
          <w:tcPr>
            <w:tcW w:w="13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r>
              <w:rPr>
                <w:rFonts w:hint="eastAsia" w:ascii="宋体" w:hAnsi="宋体" w:cs="仿宋"/>
                <w:color w:val="FF0000"/>
                <w:kern w:val="0"/>
                <w:szCs w:val="21"/>
              </w:rPr>
              <w:t>36.27</w:t>
            </w: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r>
              <w:rPr>
                <w:rFonts w:hint="eastAsia" w:ascii="宋体" w:hAnsi="宋体" w:cs="仿宋"/>
                <w:color w:val="FF0000"/>
                <w:kern w:val="0"/>
                <w:szCs w:val="21"/>
              </w:rPr>
              <w:t>36.27</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商品和服务支出</w:t>
            </w:r>
          </w:p>
        </w:tc>
        <w:tc>
          <w:tcPr>
            <w:tcW w:w="13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r>
              <w:rPr>
                <w:rFonts w:hint="eastAsia" w:ascii="宋体" w:hAnsi="宋体" w:cs="仿宋"/>
                <w:color w:val="FF0000"/>
                <w:kern w:val="0"/>
                <w:szCs w:val="21"/>
              </w:rPr>
              <w:t>6.48</w:t>
            </w: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r>
              <w:rPr>
                <w:rFonts w:hint="eastAsia" w:ascii="宋体" w:hAnsi="宋体" w:cs="仿宋"/>
                <w:color w:val="FF0000"/>
                <w:kern w:val="0"/>
                <w:szCs w:val="21"/>
              </w:rPr>
              <w:t>93</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r>
              <w:rPr>
                <w:rFonts w:hint="eastAsia" w:ascii="宋体" w:hAnsi="宋体" w:cs="仿宋"/>
                <w:color w:val="FF0000"/>
                <w:kern w:val="0"/>
                <w:szCs w:val="21"/>
              </w:rPr>
              <w:t>99.48</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对个人和家庭的补助</w:t>
            </w:r>
          </w:p>
        </w:tc>
        <w:tc>
          <w:tcPr>
            <w:tcW w:w="13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合计</w:t>
            </w:r>
          </w:p>
        </w:tc>
        <w:tc>
          <w:tcPr>
            <w:tcW w:w="1398" w:type="dxa"/>
            <w:tcBorders>
              <w:top w:val="nil"/>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r>
              <w:rPr>
                <w:rFonts w:hint="eastAsia" w:ascii="宋体" w:hAnsi="宋体" w:cs="仿宋"/>
                <w:color w:val="FF0000"/>
                <w:szCs w:val="21"/>
              </w:rPr>
              <w:t>42.75</w:t>
            </w:r>
          </w:p>
        </w:tc>
        <w:tc>
          <w:tcPr>
            <w:tcW w:w="1681" w:type="dxa"/>
            <w:tcBorders>
              <w:top w:val="nil"/>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r>
              <w:rPr>
                <w:rFonts w:hint="eastAsia" w:ascii="宋体" w:hAnsi="宋体" w:cs="仿宋"/>
                <w:color w:val="FF0000"/>
                <w:kern w:val="0"/>
                <w:szCs w:val="21"/>
              </w:rPr>
              <w:t>93</w:t>
            </w:r>
          </w:p>
        </w:tc>
        <w:tc>
          <w:tcPr>
            <w:tcW w:w="2379" w:type="dxa"/>
            <w:tcBorders>
              <w:top w:val="nil"/>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r>
              <w:rPr>
                <w:rFonts w:hint="eastAsia" w:ascii="宋体" w:hAnsi="宋体" w:cs="仿宋"/>
                <w:color w:val="FF0000"/>
                <w:szCs w:val="21"/>
              </w:rPr>
              <w:t>135.75</w:t>
            </w:r>
          </w:p>
        </w:tc>
      </w:tr>
    </w:tbl>
    <w:p>
      <w:pPr>
        <w:adjustRightInd w:val="0"/>
        <w:snapToGrid w:val="0"/>
        <w:spacing w:line="360" w:lineRule="auto"/>
        <w:ind w:left="0" w:firstLine="643" w:firstLineChars="200"/>
        <w:rPr>
          <w:rFonts w:ascii="宋体" w:hAnsi="宋体" w:cs="仿宋"/>
          <w:b/>
          <w:bCs/>
          <w:sz w:val="32"/>
          <w:szCs w:val="32"/>
        </w:rPr>
      </w:pPr>
      <w:r>
        <w:rPr>
          <w:rFonts w:hint="eastAsia" w:ascii="宋体" w:hAnsi="宋体" w:cs="仿宋"/>
          <w:b/>
          <w:bCs/>
          <w:sz w:val="32"/>
          <w:szCs w:val="32"/>
        </w:rPr>
        <w:t>（二）年度收支决算情况</w:t>
      </w:r>
    </w:p>
    <w:p>
      <w:pPr>
        <w:adjustRightInd w:val="0"/>
        <w:snapToGrid w:val="0"/>
        <w:spacing w:line="360" w:lineRule="auto"/>
        <w:ind w:left="0" w:firstLine="640" w:firstLineChars="200"/>
        <w:rPr>
          <w:rFonts w:ascii="宋体" w:hAnsi="宋体" w:cs="仿宋"/>
          <w:sz w:val="32"/>
          <w:szCs w:val="32"/>
        </w:rPr>
      </w:pPr>
      <w:r>
        <w:rPr>
          <w:rFonts w:hint="eastAsia" w:ascii="宋体" w:hAnsi="宋体" w:cs="仿宋"/>
          <w:sz w:val="32"/>
          <w:szCs w:val="32"/>
        </w:rPr>
        <w:t>1.年度收入决算</w:t>
      </w:r>
    </w:p>
    <w:tbl>
      <w:tblPr>
        <w:tblStyle w:val="12"/>
        <w:tblW w:w="7840" w:type="dxa"/>
        <w:jc w:val="center"/>
        <w:tblLayout w:type="fixed"/>
        <w:tblCellMar>
          <w:top w:w="0" w:type="dxa"/>
          <w:left w:w="0" w:type="dxa"/>
          <w:bottom w:w="0" w:type="dxa"/>
          <w:right w:w="0" w:type="dxa"/>
        </w:tblCellMar>
      </w:tblPr>
      <w:tblGrid>
        <w:gridCol w:w="2063"/>
        <w:gridCol w:w="1693"/>
        <w:gridCol w:w="1820"/>
        <w:gridCol w:w="2264"/>
      </w:tblGrid>
      <w:tr>
        <w:tblPrEx>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财政拨款收入</w:t>
            </w:r>
          </w:p>
        </w:tc>
        <w:tc>
          <w:tcPr>
            <w:tcW w:w="1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135.75</w:t>
            </w:r>
          </w:p>
        </w:tc>
        <w:tc>
          <w:tcPr>
            <w:tcW w:w="1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161.81</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FF0000"/>
                <w:kern w:val="0"/>
                <w:szCs w:val="21"/>
              </w:rPr>
              <w:t>26.06</w:t>
            </w:r>
          </w:p>
        </w:tc>
      </w:tr>
    </w:tbl>
    <w:p>
      <w:pPr>
        <w:adjustRightInd w:val="0"/>
        <w:snapToGrid w:val="0"/>
        <w:spacing w:line="360" w:lineRule="auto"/>
        <w:ind w:left="0" w:firstLine="640" w:firstLineChars="200"/>
        <w:rPr>
          <w:rFonts w:ascii="宋体" w:hAnsi="宋体" w:cs="仿宋"/>
          <w:sz w:val="32"/>
          <w:szCs w:val="32"/>
        </w:rPr>
      </w:pPr>
      <w:r>
        <w:rPr>
          <w:rFonts w:hint="eastAsia" w:ascii="宋体" w:hAnsi="宋体" w:cs="仿宋"/>
          <w:sz w:val="32"/>
          <w:szCs w:val="32"/>
        </w:rPr>
        <w:t>年度收入和决算金额有差额主要是部分支出是2019年度的开支，因为付款时间是2020年1月，所以入了2020年的决算账。</w:t>
      </w:r>
    </w:p>
    <w:p>
      <w:pPr>
        <w:adjustRightInd w:val="0"/>
        <w:snapToGrid w:val="0"/>
        <w:spacing w:line="360" w:lineRule="auto"/>
        <w:ind w:left="0" w:firstLine="640" w:firstLineChars="200"/>
        <w:rPr>
          <w:rFonts w:ascii="宋体" w:hAnsi="宋体" w:cs="仿宋"/>
          <w:sz w:val="32"/>
          <w:szCs w:val="32"/>
        </w:rPr>
      </w:pPr>
      <w:r>
        <w:rPr>
          <w:rFonts w:hint="eastAsia" w:ascii="宋体" w:hAnsi="宋体" w:cs="仿宋"/>
          <w:sz w:val="32"/>
          <w:szCs w:val="32"/>
        </w:rPr>
        <w:t>2.年度预算支出决算及结余</w:t>
      </w:r>
    </w:p>
    <w:tbl>
      <w:tblPr>
        <w:tblStyle w:val="12"/>
        <w:tblW w:w="7953" w:type="dxa"/>
        <w:tblInd w:w="93" w:type="dxa"/>
        <w:tblLayout w:type="fixed"/>
        <w:tblCellMar>
          <w:top w:w="0" w:type="dxa"/>
          <w:left w:w="0" w:type="dxa"/>
          <w:bottom w:w="0" w:type="dxa"/>
          <w:right w:w="0" w:type="dxa"/>
        </w:tblCellMar>
      </w:tblPr>
      <w:tblGrid>
        <w:gridCol w:w="1739"/>
        <w:gridCol w:w="2268"/>
        <w:gridCol w:w="1984"/>
        <w:gridCol w:w="1962"/>
      </w:tblGrid>
      <w:tr>
        <w:tblPrEx>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预算支出类别</w:t>
            </w:r>
          </w:p>
        </w:tc>
        <w:tc>
          <w:tcPr>
            <w:tcW w:w="226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基本支出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42.75</w:t>
            </w: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51.39</w:t>
            </w: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FF0000"/>
                <w:kern w:val="0"/>
                <w:szCs w:val="21"/>
              </w:rPr>
              <w:t>增加8.64（人员增加）</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项目支出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93</w:t>
            </w: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110.42</w:t>
            </w: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FF0000"/>
                <w:kern w:val="0"/>
                <w:szCs w:val="21"/>
              </w:rPr>
            </w:pPr>
            <w:r>
              <w:rPr>
                <w:rFonts w:hint="eastAsia" w:ascii="宋体" w:hAnsi="宋体" w:cs="仿宋"/>
                <w:color w:val="FF0000"/>
                <w:kern w:val="0"/>
                <w:szCs w:val="21"/>
              </w:rPr>
              <w:t>增加17.42</w:t>
            </w:r>
          </w:p>
        </w:tc>
      </w:tr>
      <w:tr>
        <w:tblPrEx>
          <w:tblCellMar>
            <w:top w:w="0" w:type="dxa"/>
            <w:left w:w="0" w:type="dxa"/>
            <w:bottom w:w="0" w:type="dxa"/>
            <w:right w:w="0" w:type="dxa"/>
          </w:tblCellMar>
        </w:tblPrEx>
        <w:trPr>
          <w:trHeight w:val="400" w:hRule="atLeast"/>
        </w:trPr>
        <w:tc>
          <w:tcPr>
            <w:tcW w:w="1739" w:type="dxa"/>
            <w:tcBorders>
              <w:top w:val="nil"/>
              <w:left w:val="single" w:color="000000" w:sz="8" w:space="0"/>
              <w:bottom w:val="nil"/>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小计</w:t>
            </w:r>
          </w:p>
        </w:tc>
        <w:tc>
          <w:tcPr>
            <w:tcW w:w="2268" w:type="dxa"/>
            <w:tcBorders>
              <w:top w:val="nil"/>
              <w:left w:val="nil"/>
              <w:bottom w:val="nil"/>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135.75</w:t>
            </w:r>
          </w:p>
        </w:tc>
        <w:tc>
          <w:tcPr>
            <w:tcW w:w="1984" w:type="dxa"/>
            <w:tcBorders>
              <w:top w:val="nil"/>
              <w:left w:val="nil"/>
              <w:bottom w:val="nil"/>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161.81</w:t>
            </w:r>
          </w:p>
        </w:tc>
        <w:tc>
          <w:tcPr>
            <w:tcW w:w="1962" w:type="dxa"/>
            <w:tcBorders>
              <w:top w:val="nil"/>
              <w:left w:val="nil"/>
              <w:bottom w:val="nil"/>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FF0000"/>
                <w:kern w:val="0"/>
                <w:szCs w:val="21"/>
              </w:rPr>
              <w:t>26.06</w:t>
            </w:r>
          </w:p>
        </w:tc>
      </w:tr>
    </w:tbl>
    <w:p>
      <w:pPr>
        <w:adjustRightInd w:val="0"/>
        <w:snapToGrid w:val="0"/>
        <w:spacing w:line="360" w:lineRule="auto"/>
        <w:ind w:left="0" w:firstLine="640" w:firstLineChars="200"/>
        <w:rPr>
          <w:rFonts w:ascii="宋体" w:hAnsi="宋体" w:cs="仿宋"/>
          <w:sz w:val="32"/>
          <w:szCs w:val="32"/>
        </w:rPr>
      </w:pPr>
      <w:r>
        <w:rPr>
          <w:rFonts w:hint="eastAsia" w:ascii="宋体" w:hAnsi="宋体" w:cs="仿宋"/>
          <w:sz w:val="32"/>
          <w:szCs w:val="32"/>
        </w:rPr>
        <w:t>主要是部分支出是2019年度的开支，因为付款时间是2020年1月，所以入了2020年的决算账。</w:t>
      </w:r>
    </w:p>
    <w:p>
      <w:pPr>
        <w:adjustRightInd w:val="0"/>
        <w:snapToGrid w:val="0"/>
        <w:spacing w:line="360" w:lineRule="auto"/>
        <w:ind w:left="0" w:firstLine="643" w:firstLineChars="200"/>
        <w:outlineLvl w:val="0"/>
        <w:rPr>
          <w:rFonts w:ascii="宋体" w:hAnsi="宋体" w:cs="仿宋"/>
          <w:b/>
          <w:bCs/>
          <w:sz w:val="32"/>
          <w:szCs w:val="32"/>
        </w:rPr>
      </w:pPr>
      <w:r>
        <w:rPr>
          <w:rFonts w:hint="eastAsia" w:ascii="宋体" w:hAnsi="宋体" w:cs="仿宋"/>
          <w:b/>
          <w:bCs/>
          <w:sz w:val="32"/>
          <w:szCs w:val="32"/>
        </w:rPr>
        <w:t>三、部门整体支出管理及使用情况</w:t>
      </w:r>
    </w:p>
    <w:p>
      <w:pPr>
        <w:pStyle w:val="5"/>
        <w:widowControl/>
        <w:spacing w:before="0" w:beforeAutospacing="0" w:after="0" w:afterAutospacing="0" w:line="360" w:lineRule="auto"/>
        <w:ind w:firstLine="643" w:firstLineChars="200"/>
        <w:jc w:val="both"/>
        <w:rPr>
          <w:rFonts w:hint="default" w:cs="仿宋"/>
          <w:bCs/>
          <w:kern w:val="2"/>
          <w:sz w:val="32"/>
          <w:szCs w:val="32"/>
        </w:rPr>
      </w:pPr>
      <w:r>
        <w:rPr>
          <w:rFonts w:cs="仿宋"/>
          <w:bCs/>
          <w:kern w:val="2"/>
          <w:sz w:val="32"/>
          <w:szCs w:val="32"/>
        </w:rPr>
        <w:t>（一）基本支出管理</w:t>
      </w:r>
    </w:p>
    <w:p>
      <w:pPr>
        <w:pStyle w:val="6"/>
        <w:widowControl/>
        <w:spacing w:before="0" w:beforeAutospacing="0" w:after="0" w:afterAutospacing="0" w:line="360" w:lineRule="auto"/>
        <w:ind w:firstLine="640" w:firstLineChars="200"/>
        <w:rPr>
          <w:rFonts w:hint="default" w:cs="仿宋"/>
          <w:b w:val="0"/>
          <w:kern w:val="2"/>
          <w:sz w:val="32"/>
          <w:szCs w:val="32"/>
        </w:rPr>
      </w:pPr>
      <w:r>
        <w:rPr>
          <w:rFonts w:cs="Calibri"/>
          <w:b w:val="0"/>
          <w:kern w:val="2"/>
          <w:sz w:val="32"/>
          <w:szCs w:val="32"/>
        </w:rPr>
        <w:t>1</w:t>
      </w:r>
      <w:r>
        <w:rPr>
          <w:rFonts w:cs="仿宋"/>
          <w:b w:val="0"/>
          <w:kern w:val="2"/>
          <w:sz w:val="32"/>
          <w:szCs w:val="32"/>
        </w:rPr>
        <w:t>、基本支出总额使用和管理</w:t>
      </w:r>
    </w:p>
    <w:tbl>
      <w:tblPr>
        <w:tblStyle w:val="12"/>
        <w:tblW w:w="8100" w:type="dxa"/>
        <w:jc w:val="center"/>
        <w:tblLayout w:type="fixed"/>
        <w:tblCellMar>
          <w:top w:w="0" w:type="dxa"/>
          <w:left w:w="0" w:type="dxa"/>
          <w:bottom w:w="0" w:type="dxa"/>
          <w:right w:w="0" w:type="dxa"/>
        </w:tblCellMar>
      </w:tblPr>
      <w:tblGrid>
        <w:gridCol w:w="2392"/>
        <w:gridCol w:w="1666"/>
        <w:gridCol w:w="1604"/>
        <w:gridCol w:w="2438"/>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工资福利支出</w:t>
            </w:r>
          </w:p>
        </w:tc>
        <w:tc>
          <w:tcPr>
            <w:tcW w:w="1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36.27</w:t>
            </w: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51.39</w:t>
            </w:r>
          </w:p>
        </w:tc>
        <w:tc>
          <w:tcPr>
            <w:tcW w:w="24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超支15.12（人员增加）</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商品和服务支出</w:t>
            </w:r>
          </w:p>
        </w:tc>
        <w:tc>
          <w:tcPr>
            <w:tcW w:w="1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6.48</w:t>
            </w: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110.42</w:t>
            </w:r>
          </w:p>
        </w:tc>
        <w:tc>
          <w:tcPr>
            <w:tcW w:w="24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超支103.94</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对个人和家庭的补助</w:t>
            </w:r>
          </w:p>
        </w:tc>
        <w:tc>
          <w:tcPr>
            <w:tcW w:w="1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0</w:t>
            </w: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0</w:t>
            </w:r>
          </w:p>
        </w:tc>
        <w:tc>
          <w:tcPr>
            <w:tcW w:w="24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0</w:t>
            </w:r>
          </w:p>
        </w:tc>
      </w:tr>
      <w:tr>
        <w:tblPrEx>
          <w:tblCellMar>
            <w:top w:w="0" w:type="dxa"/>
            <w:left w:w="0" w:type="dxa"/>
            <w:bottom w:w="0" w:type="dxa"/>
            <w:right w:w="0" w:type="dxa"/>
          </w:tblCellMar>
        </w:tblPrEx>
        <w:trPr>
          <w:trHeight w:val="495" w:hRule="atLeast"/>
          <w:jc w:val="center"/>
        </w:trPr>
        <w:tc>
          <w:tcPr>
            <w:tcW w:w="2392" w:type="dxa"/>
            <w:tcBorders>
              <w:top w:val="single" w:color="auto" w:sz="4"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合计</w:t>
            </w:r>
          </w:p>
        </w:tc>
        <w:tc>
          <w:tcPr>
            <w:tcW w:w="1666" w:type="dxa"/>
            <w:tcBorders>
              <w:top w:val="single" w:color="auto" w:sz="4"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42.75</w:t>
            </w:r>
          </w:p>
        </w:tc>
        <w:tc>
          <w:tcPr>
            <w:tcW w:w="1604" w:type="dxa"/>
            <w:tcBorders>
              <w:top w:val="single" w:color="auto" w:sz="4"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161.81</w:t>
            </w:r>
          </w:p>
        </w:tc>
        <w:tc>
          <w:tcPr>
            <w:tcW w:w="2438" w:type="dxa"/>
            <w:tcBorders>
              <w:top w:val="single" w:color="auto" w:sz="4"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widowControl/>
              <w:snapToGrid w:val="0"/>
              <w:spacing w:line="360" w:lineRule="auto"/>
              <w:ind w:left="0" w:firstLine="420" w:firstLineChars="200"/>
              <w:jc w:val="center"/>
              <w:textAlignment w:val="center"/>
              <w:rPr>
                <w:rFonts w:ascii="宋体" w:hAnsi="宋体" w:cs="仿宋"/>
                <w:color w:val="000000"/>
                <w:kern w:val="0"/>
                <w:szCs w:val="21"/>
              </w:rPr>
            </w:pPr>
            <w:r>
              <w:rPr>
                <w:rFonts w:hint="eastAsia" w:ascii="宋体" w:hAnsi="宋体" w:cs="仿宋"/>
                <w:color w:val="000000"/>
                <w:kern w:val="0"/>
                <w:szCs w:val="21"/>
              </w:rPr>
              <w:t>超支26.06</w:t>
            </w:r>
          </w:p>
        </w:tc>
      </w:tr>
    </w:tbl>
    <w:p>
      <w:pPr>
        <w:adjustRightInd w:val="0"/>
        <w:snapToGrid w:val="0"/>
        <w:spacing w:line="360" w:lineRule="auto"/>
        <w:ind w:left="0" w:firstLine="640" w:firstLineChars="200"/>
        <w:rPr>
          <w:rFonts w:ascii="宋体" w:hAnsi="宋体" w:cs="Calibri"/>
          <w:sz w:val="32"/>
          <w:szCs w:val="32"/>
        </w:rPr>
      </w:pPr>
      <w:r>
        <w:rPr>
          <w:rFonts w:hint="eastAsia" w:ascii="宋体" w:hAnsi="宋体" w:cs="Calibri"/>
          <w:sz w:val="32"/>
          <w:szCs w:val="32"/>
        </w:rPr>
        <w:t>商品和服务支出超支部分主要是项目支出为了弥补基本经费不足，项目支出作为商品服务支出入账以及</w:t>
      </w:r>
      <w:r>
        <w:rPr>
          <w:rFonts w:hint="eastAsia" w:ascii="宋体" w:hAnsi="宋体" w:cs="仿宋"/>
          <w:sz w:val="32"/>
          <w:szCs w:val="32"/>
        </w:rPr>
        <w:t>部分支出是2019年度的开支，因为付款时间是2020年1月，所以入了2020年的决算账</w:t>
      </w:r>
    </w:p>
    <w:p>
      <w:pPr>
        <w:adjustRightInd w:val="0"/>
        <w:snapToGrid w:val="0"/>
        <w:spacing w:line="360" w:lineRule="auto"/>
        <w:ind w:left="0" w:firstLine="640" w:firstLineChars="200"/>
        <w:rPr>
          <w:rFonts w:ascii="宋体" w:hAnsi="宋体" w:cs="仿宋"/>
          <w:sz w:val="32"/>
          <w:szCs w:val="32"/>
        </w:rPr>
      </w:pPr>
      <w:r>
        <w:rPr>
          <w:rFonts w:hint="eastAsia" w:ascii="宋体" w:hAnsi="宋体" w:cs="Calibri"/>
          <w:sz w:val="32"/>
          <w:szCs w:val="32"/>
        </w:rPr>
        <w:t>2</w:t>
      </w:r>
      <w:r>
        <w:rPr>
          <w:rFonts w:hint="eastAsia" w:ascii="宋体" w:hAnsi="宋体" w:cs="仿宋"/>
          <w:sz w:val="32"/>
          <w:szCs w:val="32"/>
        </w:rPr>
        <w:t>、基本支出中各费用明细支出管理</w:t>
      </w:r>
    </w:p>
    <w:p>
      <w:pPr>
        <w:adjustRightInd w:val="0"/>
        <w:snapToGrid w:val="0"/>
        <w:spacing w:line="360" w:lineRule="auto"/>
        <w:ind w:left="0" w:firstLine="640" w:firstLineChars="200"/>
        <w:rPr>
          <w:rFonts w:ascii="宋体" w:hAnsi="宋体" w:cs="仿宋"/>
          <w:sz w:val="32"/>
          <w:szCs w:val="32"/>
        </w:rPr>
      </w:pPr>
      <w:r>
        <w:rPr>
          <w:rFonts w:ascii="宋体" w:hAnsi="宋体" w:cs="Calibri"/>
          <w:sz w:val="32"/>
          <w:szCs w:val="32"/>
        </w:rPr>
        <w:t>①</w:t>
      </w:r>
      <w:r>
        <w:rPr>
          <w:rFonts w:hint="eastAsia" w:ascii="宋体" w:hAnsi="宋体" w:cs="仿宋"/>
          <w:sz w:val="32"/>
          <w:szCs w:val="32"/>
        </w:rPr>
        <w:t>工资福利支出</w:t>
      </w:r>
    </w:p>
    <w:tbl>
      <w:tblPr>
        <w:tblStyle w:val="12"/>
        <w:tblW w:w="7780" w:type="dxa"/>
        <w:jc w:val="center"/>
        <w:tblLayout w:type="fixed"/>
        <w:tblCellMar>
          <w:top w:w="0" w:type="dxa"/>
          <w:left w:w="0" w:type="dxa"/>
          <w:bottom w:w="0" w:type="dxa"/>
          <w:right w:w="0" w:type="dxa"/>
        </w:tblCellMar>
      </w:tblPr>
      <w:tblGrid>
        <w:gridCol w:w="1863"/>
        <w:gridCol w:w="1413"/>
        <w:gridCol w:w="1300"/>
        <w:gridCol w:w="1458"/>
        <w:gridCol w:w="1746"/>
      </w:tblGrid>
      <w:tr>
        <w:tblPrEx>
          <w:tblCellMar>
            <w:top w:w="0" w:type="dxa"/>
            <w:left w:w="0" w:type="dxa"/>
            <w:bottom w:w="0" w:type="dxa"/>
            <w:right w:w="0" w:type="dxa"/>
          </w:tblCellMar>
        </w:tblPrEx>
        <w:trPr>
          <w:trHeight w:val="888" w:hRule="atLeast"/>
          <w:jc w:val="center"/>
        </w:trPr>
        <w:tc>
          <w:tcPr>
            <w:tcW w:w="1863"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费用项目</w:t>
            </w:r>
          </w:p>
        </w:tc>
        <w:tc>
          <w:tcPr>
            <w:tcW w:w="1413"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预算金额</w:t>
            </w:r>
          </w:p>
        </w:tc>
        <w:tc>
          <w:tcPr>
            <w:tcW w:w="1300"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决算金额</w:t>
            </w:r>
          </w:p>
        </w:tc>
        <w:tc>
          <w:tcPr>
            <w:tcW w:w="1458"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节约/超支金额</w:t>
            </w:r>
          </w:p>
        </w:tc>
        <w:tc>
          <w:tcPr>
            <w:tcW w:w="1746"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节约/超支率</w:t>
            </w: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基本工资</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21.8</w:t>
            </w: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21.8</w:t>
            </w: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津贴补贴</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11.3</w:t>
            </w: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11.3</w:t>
            </w: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奖金</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奖金</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绩效工资</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机关事业单位基本养老保险缴费</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5.28</w:t>
            </w: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超支5.28</w:t>
            </w: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超支100%</w:t>
            </w: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职业年金缴费</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职工基本医疗保险缴费</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2.57</w:t>
            </w: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超支2.57</w:t>
            </w: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超支100%</w:t>
            </w:r>
          </w:p>
        </w:tc>
      </w:tr>
      <w:tr>
        <w:tblPrEx>
          <w:tblCellMar>
            <w:top w:w="0" w:type="dxa"/>
            <w:left w:w="0" w:type="dxa"/>
            <w:bottom w:w="0" w:type="dxa"/>
            <w:right w:w="0" w:type="dxa"/>
          </w:tblCellMar>
        </w:tblPrEx>
        <w:trPr>
          <w:trHeight w:val="435"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 xml:space="preserve"> 公务员医疗保险缴费</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435"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其他社会保障缴费</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住房公积金</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3.17</w:t>
            </w: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4.05</w:t>
            </w: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超支0.88</w:t>
            </w: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超支0.88</w:t>
            </w: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医疗费</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57" w:hRule="atLeast"/>
          <w:jc w:val="center"/>
        </w:trPr>
        <w:tc>
          <w:tcPr>
            <w:tcW w:w="1863"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left"/>
              <w:rPr>
                <w:rFonts w:ascii="宋体" w:hAnsi="宋体" w:cs="仿宋"/>
                <w:color w:val="010101"/>
                <w:kern w:val="0"/>
                <w:szCs w:val="21"/>
              </w:rPr>
            </w:pPr>
            <w:r>
              <w:rPr>
                <w:rFonts w:hint="eastAsia" w:ascii="宋体" w:hAnsi="宋体" w:cs="仿宋"/>
                <w:color w:val="010101"/>
                <w:kern w:val="0"/>
                <w:szCs w:val="21"/>
              </w:rPr>
              <w:t>其他工资福利支出</w:t>
            </w:r>
          </w:p>
        </w:tc>
        <w:tc>
          <w:tcPr>
            <w:tcW w:w="14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3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6.39</w:t>
            </w:r>
          </w:p>
        </w:tc>
        <w:tc>
          <w:tcPr>
            <w:tcW w:w="1458"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增加6.39</w:t>
            </w:r>
          </w:p>
        </w:tc>
        <w:tc>
          <w:tcPr>
            <w:tcW w:w="1746"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增加14.1%</w:t>
            </w:r>
          </w:p>
        </w:tc>
      </w:tr>
      <w:tr>
        <w:tblPrEx>
          <w:tblCellMar>
            <w:top w:w="0" w:type="dxa"/>
            <w:left w:w="0" w:type="dxa"/>
            <w:bottom w:w="0" w:type="dxa"/>
            <w:right w:w="0" w:type="dxa"/>
          </w:tblCellMar>
        </w:tblPrEx>
        <w:trPr>
          <w:trHeight w:val="411" w:hRule="atLeast"/>
          <w:jc w:val="center"/>
        </w:trPr>
        <w:tc>
          <w:tcPr>
            <w:tcW w:w="1863"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合计</w:t>
            </w:r>
          </w:p>
        </w:tc>
        <w:tc>
          <w:tcPr>
            <w:tcW w:w="1413"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36.27</w:t>
            </w:r>
          </w:p>
        </w:tc>
        <w:tc>
          <w:tcPr>
            <w:tcW w:w="130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51.39</w:t>
            </w:r>
          </w:p>
        </w:tc>
        <w:tc>
          <w:tcPr>
            <w:tcW w:w="145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超支15.12</w:t>
            </w:r>
          </w:p>
        </w:tc>
        <w:tc>
          <w:tcPr>
            <w:tcW w:w="1746"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增加41.7%</w:t>
            </w:r>
          </w:p>
        </w:tc>
      </w:tr>
    </w:tbl>
    <w:p>
      <w:pPr>
        <w:adjustRightInd w:val="0"/>
        <w:snapToGrid w:val="0"/>
        <w:spacing w:line="360" w:lineRule="auto"/>
        <w:ind w:left="0" w:firstLine="640" w:firstLineChars="200"/>
        <w:rPr>
          <w:rFonts w:ascii="宋体" w:hAnsi="宋体" w:cs="仿宋"/>
          <w:sz w:val="32"/>
          <w:szCs w:val="32"/>
        </w:rPr>
      </w:pPr>
      <w:r>
        <w:rPr>
          <w:rFonts w:hint="eastAsia" w:ascii="宋体" w:hAnsi="宋体" w:cs="仿宋"/>
          <w:sz w:val="32"/>
          <w:szCs w:val="32"/>
        </w:rPr>
        <w:t>养老保险和医疗保险不在预算内，3+2奖金不在预算内，由单位自负。</w:t>
      </w:r>
    </w:p>
    <w:p>
      <w:pPr>
        <w:adjustRightInd w:val="0"/>
        <w:snapToGrid w:val="0"/>
        <w:spacing w:line="360" w:lineRule="auto"/>
        <w:ind w:left="0" w:firstLine="640" w:firstLineChars="200"/>
        <w:rPr>
          <w:rFonts w:ascii="宋体" w:hAnsi="宋体" w:cs="仿宋"/>
          <w:sz w:val="32"/>
          <w:szCs w:val="32"/>
        </w:rPr>
      </w:pPr>
      <w:r>
        <w:rPr>
          <w:rFonts w:ascii="宋体" w:hAnsi="宋体" w:cs="Calibri"/>
          <w:sz w:val="32"/>
          <w:szCs w:val="32"/>
        </w:rPr>
        <w:t>②</w:t>
      </w:r>
      <w:r>
        <w:rPr>
          <w:rFonts w:hint="eastAsia" w:ascii="宋体" w:hAnsi="宋体" w:cs="仿宋"/>
          <w:sz w:val="32"/>
          <w:szCs w:val="32"/>
        </w:rPr>
        <w:t>商品和服务支出</w:t>
      </w:r>
    </w:p>
    <w:tbl>
      <w:tblPr>
        <w:tblStyle w:val="12"/>
        <w:tblW w:w="8140" w:type="dxa"/>
        <w:jc w:val="center"/>
        <w:tblLayout w:type="fixed"/>
        <w:tblCellMar>
          <w:top w:w="0" w:type="dxa"/>
          <w:left w:w="0" w:type="dxa"/>
          <w:bottom w:w="0" w:type="dxa"/>
          <w:right w:w="0" w:type="dxa"/>
        </w:tblCellMar>
      </w:tblPr>
      <w:tblGrid>
        <w:gridCol w:w="2133"/>
        <w:gridCol w:w="1398"/>
        <w:gridCol w:w="1537"/>
        <w:gridCol w:w="1429"/>
        <w:gridCol w:w="1643"/>
      </w:tblGrid>
      <w:tr>
        <w:tblPrEx>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办公费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4.96</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0" w:firstLineChars="0"/>
              <w:jc w:val="center"/>
              <w:rPr>
                <w:rFonts w:ascii="宋体" w:hAnsi="宋体" w:cs="宋体"/>
                <w:color w:val="010101"/>
                <w:kern w:val="0"/>
                <w:szCs w:val="21"/>
              </w:rPr>
            </w:pPr>
            <w:r>
              <w:rPr>
                <w:rFonts w:hint="eastAsia" w:ascii="宋体" w:hAnsi="宋体" w:cs="宋体"/>
                <w:color w:val="010101"/>
                <w:kern w:val="0"/>
                <w:szCs w:val="21"/>
              </w:rPr>
              <w:t>增加4.56</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0" w:firstLineChars="0"/>
              <w:rPr>
                <w:rFonts w:ascii="宋体" w:hAnsi="宋体" w:cs="宋体"/>
                <w:color w:val="010101"/>
                <w:kern w:val="0"/>
                <w:szCs w:val="21"/>
              </w:rPr>
            </w:pPr>
            <w:r>
              <w:rPr>
                <w:rFonts w:hint="eastAsia" w:ascii="宋体" w:hAnsi="宋体" w:cs="宋体"/>
                <w:color w:val="010101"/>
                <w:kern w:val="0"/>
                <w:szCs w:val="21"/>
              </w:rPr>
              <w:t>增加91.93%（主要是人员增加）</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印刷费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0.2</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节约0.2</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100%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咨询费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手续费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0.1</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 xml:space="preserve"> 0</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节约0.1</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100%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电费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0.2</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0.33</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0.13</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65%（主要是人员增加，办公场地增加）</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邮电费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0.1</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0.12</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0" w:firstLineChars="0"/>
              <w:rPr>
                <w:rFonts w:ascii="宋体" w:hAnsi="宋体" w:cs="宋体"/>
                <w:color w:val="010101"/>
                <w:kern w:val="0"/>
                <w:szCs w:val="21"/>
              </w:rPr>
            </w:pPr>
            <w:r>
              <w:rPr>
                <w:rFonts w:hint="eastAsia" w:ascii="宋体" w:hAnsi="宋体" w:cs="宋体"/>
                <w:color w:val="010101"/>
                <w:kern w:val="0"/>
                <w:szCs w:val="21"/>
              </w:rPr>
              <w:t>增加0.02</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增加20%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取暖费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物业管理费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差旅费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1</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5</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增加4</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400%（主要是扶贫任务增加以及人员增加）</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因公出国（境）费用</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维修（护）费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租赁费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会议费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0.74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4.63</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3.89</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525%（主要是青少年科技创新大赛未纳入预算）</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培训费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节约0.4</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节约100%</w:t>
            </w:r>
          </w:p>
        </w:tc>
      </w:tr>
      <w:tr>
        <w:tblPrEx>
          <w:tblCellMar>
            <w:top w:w="0" w:type="dxa"/>
            <w:left w:w="0" w:type="dxa"/>
            <w:bottom w:w="0" w:type="dxa"/>
            <w:right w:w="0" w:type="dxa"/>
          </w:tblCellMar>
        </w:tblPrEx>
        <w:trPr>
          <w:trHeight w:val="611"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公务接待费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kern w:val="0"/>
                <w:szCs w:val="21"/>
              </w:rPr>
            </w:pPr>
            <w:r>
              <w:rPr>
                <w:rFonts w:hint="eastAsia" w:ascii="宋体" w:hAnsi="宋体" w:cs="宋体"/>
                <w:kern w:val="0"/>
                <w:szCs w:val="21"/>
              </w:rPr>
              <w:t>1.4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kern w:val="0"/>
                <w:szCs w:val="21"/>
              </w:rPr>
            </w:pPr>
            <w:r>
              <w:rPr>
                <w:rFonts w:hint="eastAsia" w:ascii="宋体" w:hAnsi="宋体" w:cs="宋体"/>
                <w:kern w:val="0"/>
                <w:szCs w:val="21"/>
              </w:rPr>
              <w:t>1.46</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0" w:firstLineChars="0"/>
              <w:rPr>
                <w:rFonts w:ascii="宋体" w:hAnsi="宋体" w:cs="宋体"/>
                <w:kern w:val="0"/>
                <w:szCs w:val="21"/>
              </w:rPr>
            </w:pPr>
            <w:r>
              <w:rPr>
                <w:rFonts w:hint="eastAsia" w:ascii="宋体" w:hAnsi="宋体" w:cs="宋体"/>
                <w:kern w:val="0"/>
                <w:szCs w:val="21"/>
              </w:rPr>
              <w:t>0.06</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kern w:val="0"/>
                <w:szCs w:val="21"/>
              </w:rPr>
            </w:pPr>
            <w:r>
              <w:rPr>
                <w:rFonts w:hint="eastAsia" w:ascii="宋体" w:hAnsi="宋体" w:cs="宋体"/>
                <w:kern w:val="0"/>
                <w:szCs w:val="21"/>
              </w:rPr>
              <w:t>4.3%</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专用材料费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被装购置费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专用燃料费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劳务费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委托业务费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工会经费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0.3</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4.36</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0" w:firstLineChars="0"/>
              <w:jc w:val="center"/>
              <w:rPr>
                <w:rFonts w:ascii="宋体" w:hAnsi="宋体" w:cs="宋体"/>
                <w:color w:val="010101"/>
                <w:kern w:val="0"/>
                <w:szCs w:val="21"/>
              </w:rPr>
            </w:pPr>
            <w:r>
              <w:rPr>
                <w:rFonts w:hint="eastAsia" w:ascii="宋体" w:hAnsi="宋体" w:cs="宋体"/>
                <w:color w:val="010101"/>
                <w:kern w:val="0"/>
                <w:szCs w:val="21"/>
              </w:rPr>
              <w:t>增加4.06</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93%（未纳入预算）</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福利费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公务用车运行维护费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其他交通费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1.64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0.22</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0" w:firstLineChars="0"/>
              <w:rPr>
                <w:rFonts w:ascii="宋体" w:hAnsi="宋体" w:cs="宋体"/>
                <w:color w:val="010101"/>
                <w:kern w:val="0"/>
                <w:szCs w:val="21"/>
              </w:rPr>
            </w:pPr>
            <w:r>
              <w:rPr>
                <w:rFonts w:hint="eastAsia" w:ascii="宋体" w:hAnsi="宋体" w:cs="宋体"/>
                <w:color w:val="010101"/>
                <w:kern w:val="0"/>
                <w:szCs w:val="21"/>
              </w:rPr>
              <w:t>节约1.42</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0" w:firstLineChars="0"/>
              <w:rPr>
                <w:rFonts w:ascii="宋体" w:hAnsi="宋体" w:cs="宋体"/>
                <w:color w:val="010101"/>
                <w:kern w:val="0"/>
                <w:szCs w:val="21"/>
              </w:rPr>
            </w:pPr>
            <w:r>
              <w:rPr>
                <w:rFonts w:hint="eastAsia" w:ascii="宋体" w:hAnsi="宋体" w:cs="宋体"/>
                <w:color w:val="010101"/>
                <w:kern w:val="0"/>
                <w:szCs w:val="21"/>
              </w:rPr>
              <w:t>节约86.59%</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税金及附加费用</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其他商品和服务支出</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89.34</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89.34</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100%</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6.48</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110.42</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360" w:lineRule="auto"/>
              <w:ind w:left="0" w:firstLine="0" w:firstLineChars="0"/>
              <w:rPr>
                <w:rFonts w:ascii="宋体" w:hAnsi="宋体" w:cs="宋体"/>
                <w:color w:val="010101"/>
                <w:kern w:val="0"/>
                <w:szCs w:val="21"/>
              </w:rPr>
            </w:pPr>
            <w:r>
              <w:rPr>
                <w:rFonts w:hint="eastAsia" w:ascii="宋体" w:hAnsi="宋体" w:cs="宋体"/>
                <w:color w:val="010101"/>
                <w:kern w:val="0"/>
                <w:szCs w:val="21"/>
              </w:rPr>
              <w:t>增加103.94</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增加94.1%</w:t>
            </w:r>
          </w:p>
        </w:tc>
      </w:tr>
    </w:tbl>
    <w:p>
      <w:pPr>
        <w:adjustRightInd w:val="0"/>
        <w:snapToGrid w:val="0"/>
        <w:spacing w:line="360" w:lineRule="auto"/>
        <w:ind w:left="0" w:firstLine="640" w:firstLineChars="200"/>
        <w:rPr>
          <w:rFonts w:ascii="宋体" w:hAnsi="宋体" w:cs="Calibri"/>
          <w:sz w:val="32"/>
          <w:szCs w:val="32"/>
        </w:rPr>
      </w:pPr>
      <w:r>
        <w:rPr>
          <w:rFonts w:hint="eastAsia" w:ascii="宋体" w:hAnsi="宋体" w:cs="Calibri"/>
          <w:sz w:val="32"/>
          <w:szCs w:val="32"/>
        </w:rPr>
        <w:t>商品和服务支出超支部分主要是项目支出为了弥补基本经费不足，项目支出作为商品服务支出入账以及</w:t>
      </w:r>
      <w:r>
        <w:rPr>
          <w:rFonts w:hint="eastAsia" w:ascii="宋体" w:hAnsi="宋体" w:cs="仿宋"/>
          <w:sz w:val="32"/>
          <w:szCs w:val="32"/>
        </w:rPr>
        <w:t>部分支出是2019年度的开支，因为付款时间是2020年1月，所以入了2020年的决算账。工会经费及青少年科技创新大赛会议没有纳入年初预算。</w:t>
      </w:r>
    </w:p>
    <w:p>
      <w:pPr>
        <w:adjustRightInd w:val="0"/>
        <w:snapToGrid w:val="0"/>
        <w:spacing w:line="360" w:lineRule="auto"/>
        <w:ind w:left="147" w:firstLine="480" w:firstLineChars="150"/>
        <w:rPr>
          <w:rFonts w:ascii="宋体" w:hAnsi="宋体" w:cs="仿宋"/>
          <w:sz w:val="32"/>
          <w:szCs w:val="32"/>
        </w:rPr>
      </w:pPr>
      <w:r>
        <w:rPr>
          <w:rFonts w:ascii="宋体" w:hAnsi="宋体" w:cs="Calibri"/>
          <w:sz w:val="32"/>
          <w:szCs w:val="32"/>
        </w:rPr>
        <w:t>③</w:t>
      </w:r>
      <w:r>
        <w:rPr>
          <w:rFonts w:hint="eastAsia" w:ascii="宋体" w:hAnsi="宋体" w:cs="仿宋"/>
          <w:sz w:val="32"/>
          <w:szCs w:val="32"/>
        </w:rPr>
        <w:t>对个人和家庭的补助</w:t>
      </w:r>
    </w:p>
    <w:tbl>
      <w:tblPr>
        <w:tblStyle w:val="12"/>
        <w:tblW w:w="8364" w:type="dxa"/>
        <w:tblInd w:w="93" w:type="dxa"/>
        <w:tblLayout w:type="fixed"/>
        <w:tblCellMar>
          <w:top w:w="0" w:type="dxa"/>
          <w:left w:w="0" w:type="dxa"/>
          <w:bottom w:w="0" w:type="dxa"/>
          <w:right w:w="0" w:type="dxa"/>
        </w:tblCellMar>
      </w:tblPr>
      <w:tblGrid>
        <w:gridCol w:w="1816"/>
        <w:gridCol w:w="1538"/>
        <w:gridCol w:w="1560"/>
        <w:gridCol w:w="1875"/>
        <w:gridCol w:w="1575"/>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离休费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退休费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退职（役）费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抚恤金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生活补助</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救济费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医疗费补助</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奖励金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个人农业生产补贴</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其他对个人和家庭的补助支出</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w:t>
            </w:r>
          </w:p>
        </w:tc>
      </w:tr>
    </w:tbl>
    <w:p>
      <w:pPr>
        <w:adjustRightInd w:val="0"/>
        <w:snapToGrid w:val="0"/>
        <w:spacing w:line="360" w:lineRule="auto"/>
        <w:ind w:left="0" w:firstLine="643" w:firstLineChars="200"/>
        <w:rPr>
          <w:rFonts w:ascii="宋体" w:hAnsi="宋体" w:cs="仿宋"/>
          <w:b/>
          <w:bCs/>
          <w:sz w:val="32"/>
          <w:szCs w:val="32"/>
        </w:rPr>
      </w:pPr>
      <w:r>
        <w:rPr>
          <w:rFonts w:hint="eastAsia" w:ascii="宋体" w:hAnsi="宋体" w:cs="仿宋"/>
          <w:b/>
          <w:bCs/>
          <w:sz w:val="32"/>
          <w:szCs w:val="32"/>
        </w:rPr>
        <w:t>（二）、“三公经费”支出使用和管理</w:t>
      </w:r>
    </w:p>
    <w:p>
      <w:pPr>
        <w:adjustRightInd w:val="0"/>
        <w:snapToGrid w:val="0"/>
        <w:spacing w:line="360" w:lineRule="auto"/>
        <w:ind w:left="0" w:firstLine="640" w:firstLineChars="200"/>
        <w:rPr>
          <w:rFonts w:ascii="宋体" w:hAnsi="宋体" w:cs="仿宋"/>
          <w:sz w:val="32"/>
          <w:szCs w:val="32"/>
        </w:rPr>
      </w:pPr>
      <w:r>
        <w:rPr>
          <w:rFonts w:hint="eastAsia" w:ascii="宋体" w:hAnsi="宋体" w:cs="仿宋"/>
          <w:sz w:val="32"/>
          <w:szCs w:val="32"/>
        </w:rPr>
        <w:t>1、“三公经费”预算执行</w:t>
      </w:r>
    </w:p>
    <w:tbl>
      <w:tblPr>
        <w:tblStyle w:val="12"/>
        <w:tblW w:w="8436" w:type="dxa"/>
        <w:jc w:val="center"/>
        <w:tblLayout w:type="fixed"/>
        <w:tblCellMar>
          <w:top w:w="0" w:type="dxa"/>
          <w:left w:w="0" w:type="dxa"/>
          <w:bottom w:w="0" w:type="dxa"/>
          <w:right w:w="0" w:type="dxa"/>
        </w:tblCellMar>
      </w:tblPr>
      <w:tblGrid>
        <w:gridCol w:w="1632"/>
        <w:gridCol w:w="1065"/>
        <w:gridCol w:w="1125"/>
        <w:gridCol w:w="1005"/>
        <w:gridCol w:w="1170"/>
        <w:gridCol w:w="1149"/>
        <w:gridCol w:w="1290"/>
      </w:tblGrid>
      <w:tr>
        <w:tblPrEx>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auto"/>
              <w:ind w:left="0" w:firstLine="420" w:firstLineChars="200"/>
              <w:jc w:val="left"/>
              <w:rPr>
                <w:rFonts w:ascii="宋体" w:hAnsi="宋体" w:cs="仿宋"/>
                <w:color w:val="010101"/>
                <w:kern w:val="0"/>
                <w:szCs w:val="21"/>
              </w:rPr>
            </w:pPr>
          </w:p>
        </w:tc>
        <w:tc>
          <w:tcPr>
            <w:tcW w:w="1065"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基本支出</w:t>
            </w:r>
          </w:p>
        </w:tc>
        <w:tc>
          <w:tcPr>
            <w:tcW w:w="1125"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项目支出</w:t>
            </w:r>
          </w:p>
        </w:tc>
        <w:tc>
          <w:tcPr>
            <w:tcW w:w="1005"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基本支出</w:t>
            </w:r>
          </w:p>
        </w:tc>
        <w:tc>
          <w:tcPr>
            <w:tcW w:w="1170"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项目支出</w:t>
            </w:r>
          </w:p>
        </w:tc>
        <w:tc>
          <w:tcPr>
            <w:tcW w:w="1149"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基本支出</w:t>
            </w:r>
          </w:p>
        </w:tc>
        <w:tc>
          <w:tcPr>
            <w:tcW w:w="1290"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公务接待费</w:t>
            </w:r>
          </w:p>
        </w:tc>
        <w:tc>
          <w:tcPr>
            <w:tcW w:w="106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1.6</w:t>
            </w:r>
          </w:p>
        </w:tc>
        <w:tc>
          <w:tcPr>
            <w:tcW w:w="112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00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1.46</w:t>
            </w:r>
          </w:p>
        </w:tc>
        <w:tc>
          <w:tcPr>
            <w:tcW w:w="1170"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49"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0.14</w:t>
            </w:r>
          </w:p>
        </w:tc>
        <w:tc>
          <w:tcPr>
            <w:tcW w:w="1290"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公车运行维护费</w:t>
            </w:r>
          </w:p>
        </w:tc>
        <w:tc>
          <w:tcPr>
            <w:tcW w:w="106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rPr>
                <w:rFonts w:ascii="宋体" w:hAnsi="宋体" w:cs="仿宋"/>
                <w:color w:val="010101"/>
                <w:kern w:val="0"/>
                <w:szCs w:val="21"/>
              </w:rPr>
            </w:pPr>
          </w:p>
        </w:tc>
        <w:tc>
          <w:tcPr>
            <w:tcW w:w="112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00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70"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49"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rPr>
                <w:rFonts w:ascii="宋体" w:hAnsi="宋体" w:cs="仿宋"/>
                <w:color w:val="010101"/>
                <w:kern w:val="0"/>
                <w:szCs w:val="21"/>
              </w:rPr>
            </w:pPr>
          </w:p>
        </w:tc>
        <w:tc>
          <w:tcPr>
            <w:tcW w:w="1290"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公务车购置费</w:t>
            </w:r>
          </w:p>
        </w:tc>
        <w:tc>
          <w:tcPr>
            <w:tcW w:w="106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2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00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70"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49"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290"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因公出国费用</w:t>
            </w:r>
          </w:p>
        </w:tc>
        <w:tc>
          <w:tcPr>
            <w:tcW w:w="106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2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005"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70"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49"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290" w:type="dxa"/>
            <w:tcBorders>
              <w:top w:val="nil"/>
              <w:left w:val="nil"/>
              <w:bottom w:val="single" w:color="000000" w:sz="8" w:space="0"/>
              <w:right w:val="single" w:color="000000" w:sz="8" w:space="0"/>
            </w:tcBorders>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合计</w:t>
            </w:r>
          </w:p>
        </w:tc>
        <w:tc>
          <w:tcPr>
            <w:tcW w:w="1065"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1.6</w:t>
            </w:r>
          </w:p>
        </w:tc>
        <w:tc>
          <w:tcPr>
            <w:tcW w:w="1125"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005"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1.46</w:t>
            </w:r>
          </w:p>
        </w:tc>
        <w:tc>
          <w:tcPr>
            <w:tcW w:w="1170"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c>
          <w:tcPr>
            <w:tcW w:w="1149"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0.14</w:t>
            </w:r>
          </w:p>
        </w:tc>
        <w:tc>
          <w:tcPr>
            <w:tcW w:w="1290"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tcPr>
          <w:p>
            <w:pPr>
              <w:widowControl/>
              <w:snapToGrid w:val="0"/>
              <w:spacing w:line="360" w:lineRule="auto"/>
              <w:ind w:left="0" w:firstLine="420" w:firstLineChars="200"/>
              <w:jc w:val="center"/>
              <w:rPr>
                <w:rFonts w:ascii="宋体" w:hAnsi="宋体" w:cs="仿宋"/>
                <w:color w:val="010101"/>
                <w:kern w:val="0"/>
                <w:szCs w:val="21"/>
              </w:rPr>
            </w:pPr>
          </w:p>
        </w:tc>
      </w:tr>
    </w:tbl>
    <w:p>
      <w:pPr>
        <w:adjustRightInd w:val="0"/>
        <w:snapToGrid w:val="0"/>
        <w:spacing w:line="360" w:lineRule="auto"/>
        <w:ind w:left="0" w:firstLine="640" w:firstLineChars="200"/>
        <w:jc w:val="left"/>
        <w:rPr>
          <w:rFonts w:ascii="宋体" w:hAnsi="宋体" w:cs="仿宋"/>
          <w:sz w:val="32"/>
          <w:szCs w:val="32"/>
        </w:rPr>
      </w:pPr>
      <w:r>
        <w:rPr>
          <w:rFonts w:hint="eastAsia" w:ascii="宋体" w:hAnsi="宋体" w:cs="仿宋"/>
          <w:sz w:val="32"/>
          <w:szCs w:val="32"/>
        </w:rPr>
        <w:t>本单位2020年接待费无结余及超支，主要是部分2019年的接待费入了2020年的决算数。</w:t>
      </w:r>
    </w:p>
    <w:p>
      <w:pPr>
        <w:adjustRightInd w:val="0"/>
        <w:snapToGrid w:val="0"/>
        <w:spacing w:line="360" w:lineRule="auto"/>
        <w:ind w:left="0" w:firstLine="640" w:firstLineChars="200"/>
        <w:jc w:val="left"/>
        <w:rPr>
          <w:rFonts w:ascii="宋体" w:hAnsi="宋体" w:cs="仿宋"/>
          <w:sz w:val="32"/>
          <w:szCs w:val="32"/>
        </w:rPr>
      </w:pPr>
      <w:r>
        <w:rPr>
          <w:rFonts w:hint="eastAsia" w:ascii="宋体" w:hAnsi="宋体" w:cs="仿宋"/>
          <w:sz w:val="32"/>
          <w:szCs w:val="32"/>
        </w:rPr>
        <w:t>2、“三公经费”与上年度比较</w:t>
      </w:r>
    </w:p>
    <w:tbl>
      <w:tblPr>
        <w:tblStyle w:val="12"/>
        <w:tblW w:w="7955" w:type="dxa"/>
        <w:jc w:val="center"/>
        <w:tblLayout w:type="fixed"/>
        <w:tblCellMar>
          <w:top w:w="0" w:type="dxa"/>
          <w:left w:w="0" w:type="dxa"/>
          <w:bottom w:w="0" w:type="dxa"/>
          <w:right w:w="0" w:type="dxa"/>
        </w:tblCellMar>
      </w:tblPr>
      <w:tblGrid>
        <w:gridCol w:w="1795"/>
        <w:gridCol w:w="1179"/>
        <w:gridCol w:w="1255"/>
        <w:gridCol w:w="1249"/>
        <w:gridCol w:w="2477"/>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费用项目</w:t>
            </w:r>
          </w:p>
        </w:tc>
        <w:tc>
          <w:tcPr>
            <w:tcW w:w="1179"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本年金额</w:t>
            </w:r>
          </w:p>
        </w:tc>
        <w:tc>
          <w:tcPr>
            <w:tcW w:w="1255"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上年金额</w:t>
            </w:r>
          </w:p>
        </w:tc>
        <w:tc>
          <w:tcPr>
            <w:tcW w:w="1249"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增减额</w:t>
            </w:r>
          </w:p>
        </w:tc>
        <w:tc>
          <w:tcPr>
            <w:tcW w:w="2477"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公务接待费</w:t>
            </w:r>
          </w:p>
        </w:tc>
        <w:tc>
          <w:tcPr>
            <w:tcW w:w="117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1.46</w:t>
            </w:r>
          </w:p>
        </w:tc>
        <w:tc>
          <w:tcPr>
            <w:tcW w:w="1255"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0.51</w:t>
            </w:r>
          </w:p>
        </w:tc>
        <w:tc>
          <w:tcPr>
            <w:tcW w:w="124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增加0.95</w:t>
            </w:r>
          </w:p>
        </w:tc>
        <w:tc>
          <w:tcPr>
            <w:tcW w:w="247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186%（部分2019年的接待费入了2020年的决算数）</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公车运行维护费</w:t>
            </w:r>
          </w:p>
        </w:tc>
        <w:tc>
          <w:tcPr>
            <w:tcW w:w="117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255"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24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247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公务车辆购置费</w:t>
            </w:r>
          </w:p>
        </w:tc>
        <w:tc>
          <w:tcPr>
            <w:tcW w:w="117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255"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24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247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因公出国(境)费用</w:t>
            </w:r>
          </w:p>
        </w:tc>
        <w:tc>
          <w:tcPr>
            <w:tcW w:w="117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255"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124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c>
          <w:tcPr>
            <w:tcW w:w="247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r>
      <w:tr>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合计</w:t>
            </w:r>
          </w:p>
        </w:tc>
        <w:tc>
          <w:tcPr>
            <w:tcW w:w="1179"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1.46</w:t>
            </w:r>
          </w:p>
        </w:tc>
        <w:tc>
          <w:tcPr>
            <w:tcW w:w="1255"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0.51</w:t>
            </w:r>
          </w:p>
        </w:tc>
        <w:tc>
          <w:tcPr>
            <w:tcW w:w="1249"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r>
              <w:rPr>
                <w:rFonts w:hint="eastAsia" w:ascii="宋体" w:hAnsi="宋体" w:cs="仿宋"/>
                <w:color w:val="010101"/>
                <w:kern w:val="0"/>
                <w:szCs w:val="21"/>
              </w:rPr>
              <w:t>0.95</w:t>
            </w:r>
          </w:p>
        </w:tc>
        <w:tc>
          <w:tcPr>
            <w:tcW w:w="2477" w:type="dxa"/>
            <w:tcBorders>
              <w:top w:val="nil"/>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napToGrid w:val="0"/>
              <w:spacing w:line="360" w:lineRule="auto"/>
              <w:ind w:left="0" w:firstLine="420" w:firstLineChars="200"/>
              <w:jc w:val="center"/>
              <w:rPr>
                <w:rFonts w:ascii="宋体" w:hAnsi="宋体" w:cs="仿宋"/>
                <w:color w:val="010101"/>
                <w:kern w:val="0"/>
                <w:szCs w:val="21"/>
              </w:rPr>
            </w:pPr>
          </w:p>
        </w:tc>
      </w:tr>
    </w:tbl>
    <w:p>
      <w:pPr>
        <w:adjustRightInd w:val="0"/>
        <w:snapToGrid w:val="0"/>
        <w:spacing w:line="360" w:lineRule="auto"/>
        <w:ind w:left="0" w:firstLine="640" w:firstLineChars="200"/>
        <w:rPr>
          <w:rFonts w:ascii="宋体" w:hAnsi="宋体"/>
          <w:sz w:val="32"/>
          <w:szCs w:val="32"/>
        </w:rPr>
      </w:pPr>
      <w:r>
        <w:rPr>
          <w:rFonts w:hint="eastAsia" w:ascii="宋体" w:hAnsi="宋体"/>
          <w:sz w:val="32"/>
          <w:szCs w:val="32"/>
        </w:rPr>
        <w:t>接待费较上年增加0.95万，主要是</w:t>
      </w:r>
      <w:r>
        <w:rPr>
          <w:rFonts w:hint="eastAsia" w:ascii="宋体" w:hAnsi="宋体" w:cs="仿宋"/>
          <w:sz w:val="32"/>
          <w:szCs w:val="32"/>
        </w:rPr>
        <w:t>部分2019年的接待费入了2020年的决算数</w:t>
      </w:r>
    </w:p>
    <w:p>
      <w:pPr>
        <w:adjustRightInd w:val="0"/>
        <w:snapToGrid w:val="0"/>
        <w:spacing w:line="360" w:lineRule="auto"/>
        <w:ind w:left="0" w:firstLine="640" w:firstLineChars="200"/>
        <w:rPr>
          <w:rFonts w:ascii="宋体" w:hAnsi="宋体"/>
          <w:sz w:val="32"/>
          <w:szCs w:val="32"/>
        </w:rPr>
      </w:pPr>
      <w:r>
        <w:rPr>
          <w:rFonts w:hint="eastAsia" w:ascii="宋体" w:hAnsi="宋体"/>
          <w:sz w:val="32"/>
          <w:szCs w:val="32"/>
        </w:rPr>
        <w:t>（三）专项支出管理</w:t>
      </w:r>
    </w:p>
    <w:p>
      <w:pPr>
        <w:adjustRightInd w:val="0"/>
        <w:snapToGrid w:val="0"/>
        <w:spacing w:line="360" w:lineRule="auto"/>
        <w:ind w:left="0" w:firstLine="640" w:firstLineChars="200"/>
        <w:rPr>
          <w:rFonts w:ascii="宋体" w:hAnsi="宋体"/>
          <w:sz w:val="32"/>
          <w:szCs w:val="32"/>
        </w:rPr>
      </w:pPr>
      <w:r>
        <w:rPr>
          <w:rFonts w:hint="eastAsia" w:ascii="宋体" w:hAnsi="宋体"/>
          <w:sz w:val="32"/>
          <w:szCs w:val="32"/>
        </w:rPr>
        <w:t>1、专项资金基本情况及绩效目标</w:t>
      </w:r>
    </w:p>
    <w:p>
      <w:pPr>
        <w:adjustRightInd w:val="0"/>
        <w:snapToGrid w:val="0"/>
        <w:spacing w:line="360" w:lineRule="auto"/>
        <w:ind w:left="0" w:firstLine="640" w:firstLineChars="200"/>
        <w:rPr>
          <w:rFonts w:ascii="宋体" w:hAnsi="宋体"/>
          <w:sz w:val="32"/>
          <w:szCs w:val="32"/>
        </w:rPr>
      </w:pPr>
      <w:r>
        <w:rPr>
          <w:rFonts w:hint="eastAsia" w:ascii="宋体" w:hAnsi="宋体"/>
          <w:sz w:val="32"/>
          <w:szCs w:val="32"/>
        </w:rPr>
        <w:t>2020年专项支出共四项，其中科协事业费3万元，科技推广和科学素质教育3万元，科普专项83万元，青少年创新科技大赛4万元。没有上年结转及预算追加情况。专项支出全部来源于财政拨款，达到了绩效目标。</w:t>
      </w:r>
    </w:p>
    <w:p>
      <w:pPr>
        <w:adjustRightInd w:val="0"/>
        <w:snapToGrid w:val="0"/>
        <w:spacing w:line="360" w:lineRule="auto"/>
        <w:ind w:left="0" w:firstLine="640" w:firstLineChars="200"/>
        <w:rPr>
          <w:rFonts w:ascii="宋体" w:hAnsi="宋体"/>
          <w:sz w:val="32"/>
          <w:szCs w:val="32"/>
        </w:rPr>
      </w:pPr>
      <w:r>
        <w:rPr>
          <w:rFonts w:hint="eastAsia" w:ascii="宋体" w:hAnsi="宋体"/>
          <w:sz w:val="32"/>
          <w:szCs w:val="32"/>
        </w:rPr>
        <w:t>2、专项资金预算执行</w:t>
      </w:r>
    </w:p>
    <w:tbl>
      <w:tblPr>
        <w:tblStyle w:val="12"/>
        <w:tblpPr w:leftFromText="180" w:rightFromText="180" w:vertAnchor="text" w:horzAnchor="margin" w:tblpY="277"/>
        <w:tblW w:w="8960" w:type="dxa"/>
        <w:tblInd w:w="0" w:type="dxa"/>
        <w:tblLayout w:type="fixed"/>
        <w:tblCellMar>
          <w:top w:w="0" w:type="dxa"/>
          <w:left w:w="0" w:type="dxa"/>
          <w:bottom w:w="0" w:type="dxa"/>
          <w:right w:w="0" w:type="dxa"/>
        </w:tblCellMar>
      </w:tblPr>
      <w:tblGrid>
        <w:gridCol w:w="2704"/>
        <w:gridCol w:w="634"/>
        <w:gridCol w:w="542"/>
        <w:gridCol w:w="575"/>
        <w:gridCol w:w="670"/>
        <w:gridCol w:w="725"/>
        <w:gridCol w:w="1089"/>
        <w:gridCol w:w="2021"/>
      </w:tblGrid>
      <w:tr>
        <w:tblPrEx>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专项子目名称</w:t>
            </w:r>
          </w:p>
        </w:tc>
        <w:tc>
          <w:tcPr>
            <w:tcW w:w="2421" w:type="dxa"/>
            <w:gridSpan w:val="4"/>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本年预算可用指标</w:t>
            </w:r>
          </w:p>
        </w:tc>
        <w:tc>
          <w:tcPr>
            <w:tcW w:w="725" w:type="dxa"/>
            <w:vMerge w:val="restart"/>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本年实际支出</w:t>
            </w:r>
          </w:p>
        </w:tc>
        <w:tc>
          <w:tcPr>
            <w:tcW w:w="1089" w:type="dxa"/>
            <w:vMerge w:val="restart"/>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本年结余</w:t>
            </w:r>
          </w:p>
        </w:tc>
        <w:tc>
          <w:tcPr>
            <w:tcW w:w="2021" w:type="dxa"/>
            <w:vMerge w:val="restart"/>
            <w:tcBorders>
              <w:top w:val="single" w:color="000000" w:sz="12" w:space="0"/>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投入进度</w:t>
            </w:r>
          </w:p>
        </w:tc>
      </w:tr>
      <w:tr>
        <w:tblPrEx>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上年</w:t>
            </w:r>
          </w:p>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结余</w:t>
            </w: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年初</w:t>
            </w:r>
          </w:p>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预算</w:t>
            </w: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本年</w:t>
            </w:r>
          </w:p>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追加</w:t>
            </w: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合计</w:t>
            </w:r>
          </w:p>
        </w:tc>
        <w:tc>
          <w:tcPr>
            <w:tcW w:w="725" w:type="dxa"/>
            <w:vMerge w:val="continue"/>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089" w:type="dxa"/>
            <w:vMerge w:val="continue"/>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2021" w:type="dxa"/>
            <w:vMerge w:val="continue"/>
            <w:tcBorders>
              <w:top w:val="single" w:color="000000" w:sz="12" w:space="0"/>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szCs w:val="21"/>
              </w:rPr>
              <w:t>科协事业费</w:t>
            </w: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 xml:space="preserve"> 0</w:t>
            </w: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3</w:t>
            </w: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3</w:t>
            </w: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3</w:t>
            </w: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按季完成</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szCs w:val="21"/>
              </w:rPr>
              <w:t>科技推广和科学素质教育</w:t>
            </w: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3</w:t>
            </w: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3</w:t>
            </w: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3</w:t>
            </w: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按季完成</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szCs w:val="21"/>
              </w:rPr>
              <w:t>科普专项</w:t>
            </w: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szCs w:val="21"/>
              </w:rPr>
              <w:t>83</w:t>
            </w: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83</w:t>
            </w: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83</w:t>
            </w: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按季完成</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szCs w:val="21"/>
              </w:rPr>
              <w:t>青少年创新科技大赛</w:t>
            </w: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4</w:t>
            </w: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4</w:t>
            </w: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4</w:t>
            </w: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0</w:t>
            </w: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按季完成</w:t>
            </w:r>
          </w:p>
        </w:tc>
      </w:tr>
      <w:tr>
        <w:tblPrEx>
          <w:tblCellMar>
            <w:top w:w="0" w:type="dxa"/>
            <w:left w:w="0" w:type="dxa"/>
            <w:bottom w:w="0" w:type="dxa"/>
            <w:right w:w="0" w:type="dxa"/>
          </w:tblCellMar>
        </w:tblPrEx>
        <w:trPr>
          <w:trHeight w:val="440" w:hRule="atLeast"/>
        </w:trPr>
        <w:tc>
          <w:tcPr>
            <w:tcW w:w="2704" w:type="dxa"/>
            <w:tcBorders>
              <w:top w:val="nil"/>
              <w:left w:val="single" w:color="000000" w:sz="12" w:space="0"/>
              <w:bottom w:val="single" w:color="000000" w:sz="12"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r>
              <w:rPr>
                <w:rFonts w:hint="eastAsia" w:ascii="宋体" w:hAnsi="宋体" w:cs="宋体"/>
                <w:color w:val="010101"/>
                <w:kern w:val="0"/>
                <w:szCs w:val="21"/>
              </w:rPr>
              <w:t>合 计</w:t>
            </w:r>
          </w:p>
        </w:tc>
        <w:tc>
          <w:tcPr>
            <w:tcW w:w="634"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542"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575"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670"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725"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1089"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c>
          <w:tcPr>
            <w:tcW w:w="2021" w:type="dxa"/>
            <w:tcBorders>
              <w:top w:val="nil"/>
              <w:left w:val="nil"/>
              <w:bottom w:val="single" w:color="000000" w:sz="12" w:space="0"/>
              <w:right w:val="single" w:color="000000" w:sz="12" w:space="0"/>
            </w:tcBorders>
            <w:tcMar>
              <w:top w:w="15" w:type="dxa"/>
              <w:left w:w="15" w:type="dxa"/>
              <w:bottom w:w="15" w:type="dxa"/>
              <w:right w:w="15" w:type="dxa"/>
            </w:tcMar>
            <w:vAlign w:val="center"/>
          </w:tcPr>
          <w:p>
            <w:pPr>
              <w:widowControl/>
              <w:snapToGrid w:val="0"/>
              <w:spacing w:line="360" w:lineRule="auto"/>
              <w:ind w:left="0" w:firstLine="420" w:firstLineChars="200"/>
              <w:jc w:val="center"/>
              <w:rPr>
                <w:rFonts w:ascii="宋体" w:hAnsi="宋体" w:cs="宋体"/>
                <w:color w:val="010101"/>
                <w:kern w:val="0"/>
                <w:szCs w:val="21"/>
              </w:rPr>
            </w:pPr>
          </w:p>
        </w:tc>
      </w:tr>
    </w:tbl>
    <w:p>
      <w:pPr>
        <w:adjustRightInd w:val="0"/>
        <w:snapToGrid w:val="0"/>
        <w:spacing w:line="360" w:lineRule="auto"/>
        <w:ind w:left="0" w:firstLine="640" w:firstLineChars="200"/>
        <w:rPr>
          <w:rFonts w:ascii="宋体" w:hAnsi="宋体"/>
          <w:sz w:val="32"/>
          <w:szCs w:val="32"/>
        </w:rPr>
      </w:pPr>
      <w:r>
        <w:rPr>
          <w:rFonts w:hint="eastAsia" w:ascii="宋体" w:hAnsi="宋体"/>
          <w:sz w:val="32"/>
          <w:szCs w:val="32"/>
        </w:rPr>
        <w:t>专项支出全部来源于财政拨款，达到了绩效目标。</w:t>
      </w:r>
    </w:p>
    <w:p>
      <w:pPr>
        <w:adjustRightInd w:val="0"/>
        <w:snapToGrid w:val="0"/>
        <w:spacing w:line="360" w:lineRule="auto"/>
        <w:ind w:left="0" w:firstLine="640" w:firstLineChars="200"/>
        <w:rPr>
          <w:rFonts w:ascii="宋体" w:hAnsi="宋体"/>
          <w:sz w:val="32"/>
          <w:szCs w:val="32"/>
        </w:rPr>
      </w:pPr>
      <w:r>
        <w:rPr>
          <w:rFonts w:hint="eastAsia" w:ascii="宋体" w:hAnsi="宋体"/>
          <w:sz w:val="32"/>
          <w:szCs w:val="32"/>
        </w:rPr>
        <w:t>3、专项资金的管理：实行专款专用。</w:t>
      </w:r>
    </w:p>
    <w:p>
      <w:pPr>
        <w:pStyle w:val="4"/>
        <w:widowControl/>
        <w:spacing w:before="0" w:beforeAutospacing="0" w:after="0" w:afterAutospacing="0" w:line="360" w:lineRule="auto"/>
        <w:ind w:firstLine="640" w:firstLineChars="200"/>
        <w:jc w:val="both"/>
        <w:rPr>
          <w:rFonts w:hint="default" w:cs="黑体"/>
          <w:b w:val="0"/>
          <w:color w:val="C00000"/>
          <w:sz w:val="32"/>
          <w:szCs w:val="32"/>
        </w:rPr>
      </w:pPr>
      <w:r>
        <w:rPr>
          <w:rFonts w:cs="黑体"/>
          <w:b w:val="0"/>
          <w:sz w:val="32"/>
          <w:szCs w:val="32"/>
        </w:rPr>
        <w:t>四、部门整体支出绩效评价</w:t>
      </w:r>
    </w:p>
    <w:p>
      <w:pPr>
        <w:adjustRightInd w:val="0"/>
        <w:snapToGrid w:val="0"/>
        <w:spacing w:line="360" w:lineRule="auto"/>
        <w:ind w:left="0" w:firstLine="640" w:firstLineChars="200"/>
        <w:rPr>
          <w:rFonts w:ascii="宋体" w:hAnsi="宋体"/>
          <w:sz w:val="32"/>
          <w:szCs w:val="32"/>
        </w:rPr>
      </w:pPr>
      <w:r>
        <w:rPr>
          <w:rFonts w:hint="eastAsia" w:ascii="宋体" w:hAnsi="宋体"/>
          <w:sz w:val="32"/>
          <w:szCs w:val="32"/>
        </w:rPr>
        <w:t>根据年度重点和日常工作安排，2020年，我单位取得以下成效：</w:t>
      </w:r>
    </w:p>
    <w:p>
      <w:pPr>
        <w:spacing w:line="360" w:lineRule="auto"/>
        <w:ind w:left="0" w:firstLine="643" w:firstLineChars="200"/>
        <w:rPr>
          <w:rFonts w:ascii="宋体" w:hAnsi="宋体"/>
          <w:b/>
          <w:sz w:val="32"/>
          <w:szCs w:val="32"/>
        </w:rPr>
      </w:pPr>
      <w:r>
        <w:rPr>
          <w:rFonts w:hint="eastAsia" w:ascii="宋体" w:hAnsi="宋体"/>
          <w:b/>
          <w:sz w:val="32"/>
          <w:szCs w:val="32"/>
        </w:rPr>
        <w:t>一）、业务工作</w:t>
      </w:r>
    </w:p>
    <w:p>
      <w:pPr>
        <w:spacing w:line="360" w:lineRule="auto"/>
        <w:ind w:left="0" w:firstLine="640" w:firstLineChars="200"/>
        <w:rPr>
          <w:rFonts w:ascii="宋体" w:hAnsi="宋体"/>
          <w:sz w:val="32"/>
          <w:szCs w:val="32"/>
        </w:rPr>
      </w:pPr>
      <w:r>
        <w:rPr>
          <w:rFonts w:hint="eastAsia" w:ascii="宋体" w:hAnsi="宋体"/>
          <w:sz w:val="32"/>
          <w:szCs w:val="32"/>
        </w:rPr>
        <w:t>1、精心组织科技活动周和“全国科普日”活动。结合我县实际和</w:t>
      </w:r>
      <w:r>
        <w:rPr>
          <w:rFonts w:hint="eastAsia" w:ascii="宋体" w:hAnsi="宋体"/>
          <w:sz w:val="32"/>
          <w:szCs w:val="32"/>
          <w:lang w:val="en-US" w:eastAsia="zh-CN"/>
        </w:rPr>
        <w:t>脱</w:t>
      </w:r>
      <w:r>
        <w:rPr>
          <w:rFonts w:hint="eastAsia" w:ascii="宋体" w:hAnsi="宋体"/>
          <w:sz w:val="32"/>
          <w:szCs w:val="32"/>
        </w:rPr>
        <w:t>贫攻坚战役，我们主要开展科普赶集和农村实用技术培训，从涉农科协代表中挑选工作经验丰富的专家，组成科技志愿者服务队，到乡镇和扶贫村开展实用技术培训。今年共举办培训班31期，培训人员11000人，印发培训资料120000份，在相关种养殖业主中引起了强烈反响，受到老百姓的普遍欢迎，有力地推动了全县科普工作。</w:t>
      </w:r>
    </w:p>
    <w:p>
      <w:pPr>
        <w:spacing w:line="360" w:lineRule="auto"/>
        <w:ind w:left="0" w:firstLine="640" w:firstLineChars="200"/>
        <w:rPr>
          <w:rFonts w:ascii="宋体" w:hAnsi="宋体"/>
          <w:sz w:val="32"/>
          <w:szCs w:val="32"/>
        </w:rPr>
      </w:pPr>
      <w:r>
        <w:rPr>
          <w:rFonts w:hint="eastAsia" w:ascii="宋体" w:hAnsi="宋体"/>
          <w:sz w:val="32"/>
          <w:szCs w:val="32"/>
        </w:rPr>
        <w:t>2、狠抓青少年科技创新大赛工作。我们在青少年创新工作方面采取了三大举措：一是设立科技创新重点学校，根据去年各校的综合情况，确定新邵三中为全县科技创新重点学校，极大地调动了各校参与科技创新的积极性。二是加大经费投入，为科技创新重点学校安排工作经费1万元。三是10月28日，召开了新邵县第十二届青少年科技创新大赛总结表彰暨培训会议，总结了第十二届青少年科技创新大赛情况。本次大赛共有参赛作品576件，其中少儿科幻绘画435件，技术发明105件，科技实践活动14件，教师科技教育方案17件，科学影像作品5件，经过初赛、复赛和专家评审，评出了优秀组织奖、科幻绘画奖、科技实践活动、技术发明奖、科学影像奖等奖项，对获奖的优秀单位和先进个人进行了颁奖。会上还对第十三届青少年科技创新大赛进行了安排部署，并对全县指导（辅导）老师就科技创新实用操作技能进行了培训。通过以上三大举措，调动了基层学校抓青少年科技创新的积极性，主要表现为科技创新的参赛作品逐年增加，三年内在省级比赛中获得2个一等奖，实现了省级青少年科技创新比赛金牌零的突破。</w:t>
      </w:r>
      <w:r>
        <w:rPr>
          <w:rFonts w:hint="eastAsia" w:ascii="宋体" w:hAnsi="宋体" w:cs="宋体"/>
          <w:color w:val="333333"/>
          <w:kern w:val="0"/>
          <w:sz w:val="32"/>
          <w:szCs w:val="32"/>
        </w:rPr>
        <w:t>今年我们又</w:t>
      </w:r>
      <w:r>
        <w:rPr>
          <w:rFonts w:hint="eastAsia" w:ascii="宋体" w:hAnsi="宋体"/>
          <w:sz w:val="32"/>
          <w:szCs w:val="32"/>
        </w:rPr>
        <w:t>组织4支队伍参加全市全省青少年创新大赛和机器人比赛。</w:t>
      </w:r>
    </w:p>
    <w:p>
      <w:pPr>
        <w:pStyle w:val="11"/>
        <w:spacing w:before="0" w:beforeAutospacing="0" w:after="0" w:afterAutospacing="0" w:line="360" w:lineRule="auto"/>
        <w:ind w:firstLine="640" w:firstLineChars="200"/>
        <w:jc w:val="both"/>
        <w:rPr>
          <w:rFonts w:ascii="宋体" w:hAnsi="宋体"/>
          <w:kern w:val="2"/>
          <w:sz w:val="32"/>
          <w:szCs w:val="32"/>
        </w:rPr>
      </w:pPr>
      <w:r>
        <w:rPr>
          <w:rFonts w:hint="eastAsia" w:ascii="宋体" w:hAnsi="宋体"/>
          <w:kern w:val="2"/>
          <w:sz w:val="32"/>
          <w:szCs w:val="32"/>
        </w:rPr>
        <w:t>3、做好湖南省第四届科学素质网络大赛的参赛组织工作。与县教育局、县农业农村局、县总工会、团县委、县妇联联合组织参加湖南省第四届科学素质网络大赛，联合下文《关于组织参加湖南省第四届全民科学素质网络大赛的通知 》，并打印分发了15万份参赛二维码，对各乡镇和各单位均提出了参赛要求，通过比赛促学，大力传播了科学知识，进一步促进了全县公众科学素质的整体提升。目前，新邵县已有数万余人注册参赛。</w:t>
      </w:r>
    </w:p>
    <w:p>
      <w:pPr>
        <w:pStyle w:val="11"/>
        <w:spacing w:before="0" w:beforeAutospacing="0" w:after="0" w:afterAutospacing="0" w:line="360" w:lineRule="auto"/>
        <w:ind w:firstLine="640" w:firstLineChars="200"/>
        <w:jc w:val="both"/>
        <w:rPr>
          <w:rFonts w:ascii="宋体" w:hAnsi="宋体"/>
          <w:sz w:val="32"/>
          <w:szCs w:val="32"/>
        </w:rPr>
      </w:pPr>
      <w:r>
        <w:rPr>
          <w:rFonts w:hint="eastAsia" w:ascii="宋体" w:hAnsi="宋体" w:cs="宋体"/>
          <w:color w:val="333333"/>
          <w:sz w:val="32"/>
          <w:szCs w:val="32"/>
        </w:rPr>
        <w:t>4、加大科普示范基地的投入。一是加强经费保障，我县目前共有科普示范基地5个，今年共计投入17万元，用于基地的科普培训和科技推广，辐射带动了周边约</w:t>
      </w:r>
      <w:r>
        <w:rPr>
          <w:rFonts w:ascii="宋体" w:hAnsi="宋体" w:cs="宋体"/>
          <w:color w:val="333333"/>
          <w:sz w:val="32"/>
          <w:szCs w:val="32"/>
        </w:rPr>
        <w:t>3</w:t>
      </w:r>
      <w:r>
        <w:rPr>
          <w:rFonts w:hint="eastAsia" w:ascii="宋体" w:hAnsi="宋体" w:cs="宋体"/>
          <w:color w:val="333333"/>
          <w:sz w:val="32"/>
          <w:szCs w:val="32"/>
        </w:rPr>
        <w:t>30户村民致富。二是提供技术支持，</w:t>
      </w:r>
      <w:r>
        <w:rPr>
          <w:rFonts w:hint="eastAsia" w:ascii="宋体" w:hAnsi="宋体"/>
          <w:sz w:val="32"/>
          <w:szCs w:val="32"/>
        </w:rPr>
        <w:t>为了增强技术培训实用性，由科普示范基地根据本基地或本村产业发展实际，提出培训内容，我们再组织有关专家，撰写培训教材，有针对性的开展培训。</w:t>
      </w:r>
    </w:p>
    <w:p>
      <w:pPr>
        <w:pStyle w:val="11"/>
        <w:spacing w:before="0" w:beforeAutospacing="0" w:after="0" w:afterAutospacing="0" w:line="360" w:lineRule="auto"/>
        <w:ind w:firstLine="640" w:firstLineChars="200"/>
        <w:jc w:val="both"/>
        <w:rPr>
          <w:rFonts w:ascii="宋体" w:hAnsi="宋体"/>
          <w:kern w:val="2"/>
          <w:sz w:val="32"/>
          <w:szCs w:val="32"/>
        </w:rPr>
      </w:pPr>
      <w:r>
        <w:rPr>
          <w:rFonts w:hint="eastAsia" w:ascii="宋体" w:hAnsi="宋体" w:cs="宋体"/>
          <w:color w:val="333333"/>
          <w:sz w:val="32"/>
          <w:szCs w:val="32"/>
        </w:rPr>
        <w:t>5、加快基层科协队伍建设步伐。我们下发了《关于印发</w:t>
      </w:r>
      <w:r>
        <w:rPr>
          <w:rFonts w:ascii="宋体" w:hAnsi="宋体" w:cs="宋体"/>
          <w:color w:val="333333"/>
          <w:sz w:val="32"/>
          <w:szCs w:val="32"/>
        </w:rPr>
        <w:t>&lt;</w:t>
      </w:r>
      <w:r>
        <w:rPr>
          <w:rFonts w:hint="eastAsia" w:ascii="宋体" w:hAnsi="宋体" w:cs="宋体"/>
          <w:color w:val="333333"/>
          <w:sz w:val="32"/>
          <w:szCs w:val="32"/>
        </w:rPr>
        <w:t>新邵县镇（乡）科协换届实施方案</w:t>
      </w:r>
      <w:r>
        <w:rPr>
          <w:rFonts w:ascii="宋体" w:hAnsi="宋体" w:cs="宋体"/>
          <w:color w:val="333333"/>
          <w:sz w:val="32"/>
          <w:szCs w:val="32"/>
        </w:rPr>
        <w:t>&gt;</w:t>
      </w:r>
      <w:r>
        <w:rPr>
          <w:rFonts w:hint="eastAsia" w:ascii="宋体" w:hAnsi="宋体" w:cs="宋体"/>
          <w:color w:val="333333"/>
          <w:sz w:val="32"/>
          <w:szCs w:val="32"/>
        </w:rPr>
        <w:t>的通知》文件，要求各乡镇采用专兼挂的方式，吸纳医院院长、学校校长、农技站长进入乡镇科协领导机构；在村一级，做到村（社区）科普信息员100%全覆盖，明确规定由村会计兼任科普信息员，有条件的村（社区）可以建立科普站；每个乡镇建立不少于100人的科技志愿者队伍。目前，15个乡镇科协换届已全部完成，所有村（社区）都配备了科普信息员，各乡镇都组建了科技志愿者队伍，有力地推进了科协系统深化改革。</w:t>
      </w:r>
    </w:p>
    <w:p>
      <w:pPr>
        <w:spacing w:line="360" w:lineRule="auto"/>
        <w:ind w:left="0" w:firstLine="640" w:firstLineChars="200"/>
        <w:rPr>
          <w:rFonts w:ascii="宋体" w:hAnsi="宋体" w:cs="宋体"/>
          <w:color w:val="333333"/>
          <w:kern w:val="0"/>
          <w:sz w:val="32"/>
          <w:szCs w:val="32"/>
        </w:rPr>
      </w:pPr>
      <w:r>
        <w:rPr>
          <w:rFonts w:hint="eastAsia" w:ascii="宋体" w:hAnsi="宋体" w:cs="宋体"/>
          <w:color w:val="333333"/>
          <w:kern w:val="0"/>
          <w:sz w:val="32"/>
          <w:szCs w:val="32"/>
        </w:rPr>
        <w:t>6、强力推进企业科协组织建设。在全县8个高新技术工业企业和1个工业园区中积极推进企业科协、工业园区科协组织建设，现上述工业企业和工业园区已全部成立企业科协和工业园区科协，并加入邵阳市企业科学技术协会联合会，圆满完成省、市“党建带群建”的工作任务。</w:t>
      </w:r>
    </w:p>
    <w:p>
      <w:pPr>
        <w:spacing w:line="360" w:lineRule="auto"/>
        <w:ind w:left="0" w:firstLine="640" w:firstLineChars="200"/>
        <w:rPr>
          <w:rFonts w:ascii="宋体" w:hAnsi="宋体"/>
          <w:sz w:val="32"/>
          <w:szCs w:val="32"/>
        </w:rPr>
      </w:pPr>
      <w:r>
        <w:rPr>
          <w:rFonts w:hint="eastAsia" w:ascii="宋体" w:hAnsi="宋体"/>
          <w:sz w:val="32"/>
          <w:szCs w:val="32"/>
        </w:rPr>
        <w:t>7、</w:t>
      </w:r>
      <w:r>
        <w:rPr>
          <w:rFonts w:ascii="宋体" w:hAnsi="宋体"/>
          <w:sz w:val="32"/>
          <w:szCs w:val="32"/>
        </w:rPr>
        <w:t>切实抓好</w:t>
      </w:r>
      <w:r>
        <w:rPr>
          <w:rFonts w:hint="eastAsia" w:ascii="宋体" w:hAnsi="宋体"/>
          <w:sz w:val="32"/>
          <w:szCs w:val="32"/>
        </w:rPr>
        <w:t>“科创中国”湖南分中心资源共享平台的推广应用工作。按照省、市科协的要求，根据分配的任务数，我们督促县域内的企业、学会、工业园科协、企业科协联合会做好了该平台的线上注册工作，全面梳理了自有专家、成果、仪器设备、需求等科技要素。其中发布需求、发布成果、组织线上线下活动等三项指标均超额完成任务。</w:t>
      </w:r>
    </w:p>
    <w:p>
      <w:pPr>
        <w:spacing w:line="360" w:lineRule="auto"/>
        <w:ind w:left="0" w:firstLine="640" w:firstLineChars="200"/>
        <w:rPr>
          <w:rFonts w:ascii="宋体" w:hAnsi="宋体"/>
          <w:sz w:val="32"/>
          <w:szCs w:val="32"/>
        </w:rPr>
      </w:pPr>
      <w:r>
        <w:rPr>
          <w:rFonts w:hint="eastAsia" w:ascii="宋体" w:hAnsi="宋体"/>
          <w:sz w:val="32"/>
          <w:szCs w:val="32"/>
        </w:rPr>
        <w:t>8、争取科普大篷车项目落</w:t>
      </w:r>
      <w:r>
        <w:rPr>
          <w:rFonts w:ascii="宋体" w:hAnsi="宋体"/>
          <w:sz w:val="32"/>
          <w:szCs w:val="32"/>
        </w:rPr>
        <w:t>地</w:t>
      </w:r>
      <w:r>
        <w:rPr>
          <w:rFonts w:hint="eastAsia" w:ascii="宋体" w:hAnsi="宋体"/>
          <w:sz w:val="32"/>
          <w:szCs w:val="32"/>
        </w:rPr>
        <w:t>我县。我们积极向省、市科协争取到了免费科普大篷车项目，弥补了我县没有科普专业车辆的空白。</w:t>
      </w:r>
    </w:p>
    <w:p>
      <w:pPr>
        <w:spacing w:line="360" w:lineRule="auto"/>
        <w:ind w:left="0" w:firstLine="643" w:firstLineChars="200"/>
        <w:rPr>
          <w:rFonts w:ascii="宋体" w:hAnsi="宋体"/>
          <w:b/>
          <w:sz w:val="32"/>
          <w:szCs w:val="32"/>
        </w:rPr>
      </w:pPr>
      <w:r>
        <w:rPr>
          <w:rFonts w:hint="eastAsia" w:ascii="宋体" w:hAnsi="宋体"/>
          <w:b/>
          <w:sz w:val="32"/>
          <w:szCs w:val="32"/>
        </w:rPr>
        <w:t>二）、扶贫工作</w:t>
      </w:r>
    </w:p>
    <w:p>
      <w:pPr>
        <w:spacing w:line="360" w:lineRule="auto"/>
        <w:ind w:left="0" w:firstLine="640" w:firstLineChars="200"/>
        <w:rPr>
          <w:rFonts w:ascii="宋体" w:hAnsi="宋体"/>
          <w:sz w:val="32"/>
          <w:szCs w:val="32"/>
        </w:rPr>
      </w:pPr>
      <w:r>
        <w:rPr>
          <w:rFonts w:hint="eastAsia" w:ascii="宋体" w:hAnsi="宋体"/>
          <w:sz w:val="32"/>
          <w:szCs w:val="32"/>
        </w:rPr>
        <w:t>今年县委县政府安排我单位牵头扶贫联点村为新田铺镇沙子田村，我们安排了1名工作人员任扶贫工作队长，驻村开展帮扶工作。在脱贫攻坚</w:t>
      </w:r>
      <w:bookmarkStart w:id="0" w:name="_GoBack"/>
      <w:bookmarkEnd w:id="0"/>
      <w:r>
        <w:rPr>
          <w:rFonts w:hint="eastAsia" w:ascii="宋体" w:hAnsi="宋体"/>
          <w:sz w:val="32"/>
          <w:szCs w:val="32"/>
        </w:rPr>
        <w:t>方面主要做了四方面工作，圆满完成了县委政府和上级科协交给我们的扶贫任务。一是抓基础工作，我们组织全体干部职工会同驻村工作队，每月下村4次以上，对群众关注度比较高的扶贫医疗政策、扶贫助学落实情况及部分群众想进贫困系统等问题，帮扶工作队和帮扶责任人都认真地进行了解释说明，让老百姓真正从内心了解扶贫政策，接受扶贫工作，满意扶贫效果。二是开展干部联系贫困户。每个职工联系4户，要求干部每月上门走访至少4次，逐户制订增收计划。三是经费保障，根据县扶贫领导小组要求，我们安排了联点村帮扶经费。</w:t>
      </w:r>
    </w:p>
    <w:p>
      <w:pPr>
        <w:spacing w:line="360" w:lineRule="auto"/>
        <w:ind w:left="0" w:firstLine="643" w:firstLineChars="200"/>
        <w:rPr>
          <w:rFonts w:ascii="宋体" w:hAnsi="宋体"/>
          <w:b/>
          <w:sz w:val="32"/>
          <w:szCs w:val="32"/>
        </w:rPr>
      </w:pPr>
      <w:r>
        <w:rPr>
          <w:rFonts w:hint="eastAsia" w:ascii="宋体" w:hAnsi="宋体"/>
          <w:b/>
          <w:sz w:val="32"/>
          <w:szCs w:val="32"/>
        </w:rPr>
        <w:t>三）、创文、创卫工作</w:t>
      </w:r>
    </w:p>
    <w:p>
      <w:pPr>
        <w:spacing w:line="360" w:lineRule="auto"/>
        <w:ind w:left="0" w:firstLine="640" w:firstLineChars="200"/>
        <w:rPr>
          <w:rFonts w:ascii="宋体" w:hAnsi="宋体"/>
          <w:sz w:val="32"/>
          <w:szCs w:val="32"/>
        </w:rPr>
      </w:pPr>
      <w:r>
        <w:rPr>
          <w:rFonts w:hint="eastAsia" w:ascii="宋体" w:hAnsi="宋体"/>
          <w:sz w:val="32"/>
          <w:szCs w:val="32"/>
        </w:rPr>
        <w:t>1、创省文工作。一是我们承担了创省级文明县城科普工作任务，向县创卫领导小组报送了县科协创省级文明县城实施方案。在坪上镇开展科普创新工作试点，每个村确定一名科普信息员，由科普信息员指导农民利用手机下载中国科普网站，打通科学普及最后一公里，并在15个乡镇进行推广。二是落实建设新时代文明实践中心工作，出台了具体工作方案，建立了科技与科普服务平台，整合科技示范基地、乡镇农校、农技服务站、科技信息站、科普中国乡村E站、科普大篷车、科普活动室、农家书屋等科技科普资源，增强基层科协组织动员能力，全面履行“四个服务”职能，全力打造开放型、枢纽型、平台型科协基层组织。</w:t>
      </w:r>
    </w:p>
    <w:p>
      <w:pPr>
        <w:spacing w:line="360" w:lineRule="auto"/>
        <w:ind w:left="0" w:firstLine="640" w:firstLineChars="200"/>
        <w:rPr>
          <w:rFonts w:ascii="宋体" w:hAnsi="宋体"/>
          <w:sz w:val="32"/>
          <w:szCs w:val="32"/>
        </w:rPr>
      </w:pPr>
      <w:r>
        <w:rPr>
          <w:rFonts w:hint="eastAsia" w:ascii="宋体" w:hAnsi="宋体"/>
          <w:sz w:val="32"/>
          <w:szCs w:val="32"/>
        </w:rPr>
        <w:t>2、创国卫工作。一是狠抓日常督促检查。办公室严格实行定期和不定期的检查、评比制度，检查室内外清洁工作，特别是走廊、楼道等公共地方的卫生，是否达到了无杂物堆放、无痰迹等要求。及时公布检查结果，并限时整理。 二是搞好日常保洁工作。每周一早晨上班前为机关大扫除日，要求机关全体人员进行全面清扫，保持了机关办公桌、椅、门、窗的整洁美观。三是在机关内部加大健康、环保知识的宣传，积极倡导机关干部不抽烟、不酗酒，保持良好的工作和生活习惯；在机关楼道悬挂了禁烟标志；每年还为单位干部职工开展健康检查。 四是我们的创卫联点村为酿溪镇土桥社区，科协机关全体干部到社区集中宣传、开展科普活动3次，发动社区干部和居民积极参加创卫工作，巩固创国卫成果；在经费上我们按县委政府的要求拨付到位。</w:t>
      </w:r>
    </w:p>
    <w:p>
      <w:pPr>
        <w:spacing w:line="360" w:lineRule="auto"/>
        <w:ind w:left="0" w:firstLine="643" w:firstLineChars="200"/>
        <w:rPr>
          <w:rFonts w:ascii="宋体" w:hAnsi="宋体"/>
          <w:b/>
          <w:sz w:val="32"/>
          <w:szCs w:val="32"/>
        </w:rPr>
      </w:pPr>
      <w:r>
        <w:rPr>
          <w:rFonts w:hint="eastAsia" w:ascii="宋体" w:hAnsi="宋体"/>
          <w:b/>
          <w:sz w:val="32"/>
          <w:szCs w:val="32"/>
        </w:rPr>
        <w:t>四）、党风廉政工作</w:t>
      </w:r>
    </w:p>
    <w:p>
      <w:pPr>
        <w:spacing w:line="360" w:lineRule="auto"/>
        <w:ind w:left="0" w:firstLine="640" w:firstLineChars="200"/>
        <w:rPr>
          <w:rFonts w:ascii="宋体" w:hAnsi="宋体"/>
          <w:sz w:val="32"/>
          <w:szCs w:val="32"/>
        </w:rPr>
      </w:pPr>
      <w:r>
        <w:rPr>
          <w:rFonts w:hint="eastAsia" w:ascii="宋体" w:hAnsi="宋体"/>
          <w:sz w:val="32"/>
          <w:szCs w:val="32"/>
        </w:rPr>
        <w:t>一是坚决贯彻落实领导干部一岗双责责任制，在年初工作分工时，就明确一把手为本单位党风廉政建设第一责任人，安排一名工作人员任专干，负责具体工作。二是建立健全有关制度，对本单位财务管理与会审、固定资产登记与管理、公车租用和招待等规章制度进行了完善和修订，用制度管人管事。三是积极开展廉洁单位创建，坚决贯彻中央的八项规定、省委的九项规定、邵阳市委的十项禁令和县委的若干规定，一手抓干部作风建设，一手抓廉政建设，打造作风过硬、为政清廉的群团机关。四是我们坚决贯彻县委县政府关于从严治党、从严管理干部的部署，及时传达县委县政府关于党风廉政建设的会议精神，组织开展了干部职工违规放贷收息等清理专项整顿工作。县纪委组织开展的违规发放读书卡清理工作，我们严格执行上级的规定，按要求全部清退到位。</w:t>
      </w:r>
    </w:p>
    <w:p>
      <w:pPr>
        <w:spacing w:line="360" w:lineRule="auto"/>
        <w:ind w:left="0" w:firstLine="643" w:firstLineChars="200"/>
        <w:rPr>
          <w:rFonts w:ascii="宋体" w:hAnsi="宋体"/>
          <w:b/>
          <w:sz w:val="32"/>
          <w:szCs w:val="32"/>
        </w:rPr>
      </w:pPr>
      <w:r>
        <w:rPr>
          <w:rFonts w:hint="eastAsia" w:ascii="宋体" w:hAnsi="宋体"/>
          <w:b/>
          <w:sz w:val="32"/>
          <w:szCs w:val="32"/>
        </w:rPr>
        <w:t>五）、党建工作</w:t>
      </w:r>
    </w:p>
    <w:p>
      <w:pPr>
        <w:spacing w:line="360" w:lineRule="auto"/>
        <w:ind w:left="0" w:firstLine="640" w:firstLineChars="200"/>
        <w:rPr>
          <w:rFonts w:ascii="宋体" w:hAnsi="宋体"/>
          <w:sz w:val="32"/>
          <w:szCs w:val="32"/>
        </w:rPr>
      </w:pPr>
      <w:r>
        <w:rPr>
          <w:rFonts w:hint="eastAsia" w:ascii="宋体" w:hAnsi="宋体"/>
          <w:sz w:val="32"/>
          <w:szCs w:val="32"/>
        </w:rPr>
        <w:t>机关党建建立健全了严格的“三会一课”制度，坚持每月一次主题党日活动，主题党日活动前，支委有研究有方案，开始活动有记录、有痕迹，不走过场，较好地发挥了党组织的战斗堡垒作用和共产党员的先锋作用。年内开展高标准民主生活会一次。在抓好党建工作的同时，我们十分重视职工的思想工作，全年组织政治学习12次，召开党组扩大会议9次，组织干部学习时事政治，学习上级科协的法律法规，研究决策单位重大事项。班子成员在工作上遇到不同意见时，通过谈心和个别交流沟通解决，确保内部团结、协调、统一，齐心协力干工作。</w:t>
      </w:r>
    </w:p>
    <w:p>
      <w:pPr>
        <w:spacing w:line="360" w:lineRule="auto"/>
        <w:ind w:left="0" w:firstLine="643" w:firstLineChars="200"/>
        <w:rPr>
          <w:rFonts w:ascii="宋体" w:hAnsi="宋体"/>
          <w:sz w:val="32"/>
          <w:szCs w:val="32"/>
        </w:rPr>
      </w:pPr>
      <w:r>
        <w:rPr>
          <w:rFonts w:hint="eastAsia" w:ascii="宋体" w:hAnsi="宋体"/>
          <w:b/>
          <w:sz w:val="32"/>
          <w:szCs w:val="32"/>
        </w:rPr>
        <w:t>六）、意识形态工作</w:t>
      </w:r>
    </w:p>
    <w:p>
      <w:pPr>
        <w:spacing w:line="360" w:lineRule="auto"/>
        <w:ind w:left="0" w:firstLine="640" w:firstLineChars="200"/>
        <w:rPr>
          <w:rFonts w:ascii="宋体" w:hAnsi="宋体"/>
          <w:sz w:val="32"/>
          <w:szCs w:val="32"/>
        </w:rPr>
      </w:pPr>
      <w:r>
        <w:rPr>
          <w:rFonts w:hint="eastAsia" w:ascii="宋体" w:hAnsi="宋体"/>
          <w:sz w:val="32"/>
          <w:szCs w:val="32"/>
        </w:rPr>
        <w:t>一是把意识形态工作列入党组重要议事日程，全年党组研究意识形态工作4次。二是科协机关安排专人负责意识形态工作，每天关注报刊、网站等有关媒体的最新消息、最新政策，关注本单位的负面报道，发现立即报告，立即处理，确保不发生大的舆情事件。三是搞好本单位科普橱窗、科普微信稿件把关工作，实行三审制度，副主席初审，主席再审，书记终审。</w:t>
      </w:r>
    </w:p>
    <w:p>
      <w:pPr>
        <w:spacing w:line="360" w:lineRule="auto"/>
        <w:ind w:left="0" w:firstLine="643" w:firstLineChars="200"/>
        <w:rPr>
          <w:rFonts w:ascii="宋体" w:hAnsi="宋体"/>
          <w:b/>
          <w:sz w:val="32"/>
          <w:szCs w:val="32"/>
        </w:rPr>
      </w:pPr>
      <w:r>
        <w:rPr>
          <w:rFonts w:hint="eastAsia" w:ascii="宋体" w:hAnsi="宋体"/>
          <w:b/>
          <w:sz w:val="32"/>
          <w:szCs w:val="32"/>
        </w:rPr>
        <w:t>七）、平安建设工作</w:t>
      </w:r>
    </w:p>
    <w:p>
      <w:pPr>
        <w:spacing w:line="360" w:lineRule="auto"/>
        <w:ind w:left="0" w:firstLine="640" w:firstLineChars="200"/>
        <w:rPr>
          <w:rFonts w:ascii="宋体" w:hAnsi="宋体"/>
          <w:sz w:val="32"/>
          <w:szCs w:val="32"/>
        </w:rPr>
      </w:pPr>
      <w:r>
        <w:rPr>
          <w:rFonts w:ascii="宋体" w:hAnsi="宋体"/>
          <w:sz w:val="32"/>
          <w:szCs w:val="32"/>
        </w:rPr>
        <w:t>一</w:t>
      </w:r>
      <w:r>
        <w:rPr>
          <w:rFonts w:hint="eastAsia" w:ascii="宋体" w:hAnsi="宋体"/>
          <w:sz w:val="32"/>
          <w:szCs w:val="32"/>
        </w:rPr>
        <w:t>是</w:t>
      </w:r>
      <w:r>
        <w:rPr>
          <w:rFonts w:ascii="宋体" w:hAnsi="宋体"/>
          <w:sz w:val="32"/>
          <w:szCs w:val="32"/>
        </w:rPr>
        <w:t>完善</w:t>
      </w:r>
      <w:r>
        <w:rPr>
          <w:rFonts w:hint="eastAsia" w:ascii="宋体" w:hAnsi="宋体"/>
          <w:sz w:val="32"/>
          <w:szCs w:val="32"/>
        </w:rPr>
        <w:t>平安</w:t>
      </w:r>
      <w:r>
        <w:rPr>
          <w:rFonts w:ascii="宋体" w:hAnsi="宋体"/>
          <w:sz w:val="32"/>
          <w:szCs w:val="32"/>
        </w:rPr>
        <w:t>建设工作领导机构，加强对</w:t>
      </w:r>
      <w:r>
        <w:rPr>
          <w:rFonts w:hint="eastAsia" w:ascii="宋体" w:hAnsi="宋体"/>
          <w:sz w:val="32"/>
          <w:szCs w:val="32"/>
        </w:rPr>
        <w:t>平安</w:t>
      </w:r>
      <w:r>
        <w:rPr>
          <w:rFonts w:ascii="宋体" w:hAnsi="宋体"/>
          <w:sz w:val="32"/>
          <w:szCs w:val="32"/>
        </w:rPr>
        <w:t>建设工作的领导，由党组书记任顾问</w:t>
      </w:r>
      <w:r>
        <w:rPr>
          <w:rFonts w:hint="eastAsia" w:ascii="宋体" w:hAnsi="宋体"/>
          <w:sz w:val="32"/>
          <w:szCs w:val="32"/>
        </w:rPr>
        <w:t>，主席</w:t>
      </w:r>
      <w:r>
        <w:rPr>
          <w:rFonts w:ascii="宋体" w:hAnsi="宋体"/>
          <w:sz w:val="32"/>
          <w:szCs w:val="32"/>
        </w:rPr>
        <w:t>任工作领导小组组长，</w:t>
      </w:r>
      <w:r>
        <w:rPr>
          <w:rFonts w:hint="eastAsia" w:ascii="宋体" w:hAnsi="宋体"/>
          <w:sz w:val="32"/>
          <w:szCs w:val="32"/>
        </w:rPr>
        <w:t>副主席</w:t>
      </w:r>
      <w:r>
        <w:rPr>
          <w:rFonts w:ascii="宋体" w:hAnsi="宋体"/>
          <w:sz w:val="32"/>
          <w:szCs w:val="32"/>
        </w:rPr>
        <w:t>任副组长，明确主要领导为平安建设工作第一</w:t>
      </w:r>
      <w:r>
        <w:rPr>
          <w:rFonts w:hint="eastAsia" w:ascii="宋体" w:hAnsi="宋体"/>
          <w:sz w:val="32"/>
          <w:szCs w:val="32"/>
        </w:rPr>
        <w:t>责任</w:t>
      </w:r>
      <w:r>
        <w:rPr>
          <w:rFonts w:ascii="宋体" w:hAnsi="宋体"/>
          <w:sz w:val="32"/>
          <w:szCs w:val="32"/>
        </w:rPr>
        <w:t>人，分管领导为直接</w:t>
      </w:r>
      <w:r>
        <w:rPr>
          <w:rFonts w:hint="eastAsia" w:ascii="宋体" w:hAnsi="宋体"/>
          <w:sz w:val="32"/>
          <w:szCs w:val="32"/>
        </w:rPr>
        <w:t>责任</w:t>
      </w:r>
      <w:r>
        <w:rPr>
          <w:rFonts w:ascii="宋体" w:hAnsi="宋体"/>
          <w:sz w:val="32"/>
          <w:szCs w:val="32"/>
        </w:rPr>
        <w:t>人，其他领导履行“一岗双责”，职责感和紧迫感得到了进一步增强，切实把平安建设工作作为本单位年度重要工作来抓，做到年度有工作计划，有工作布置，有工作检查，半年和年终有工作总结，做到人员到位、工作到位、职责到位。二</w:t>
      </w:r>
      <w:r>
        <w:rPr>
          <w:rFonts w:hint="eastAsia" w:ascii="宋体" w:hAnsi="宋体"/>
          <w:sz w:val="32"/>
          <w:szCs w:val="32"/>
        </w:rPr>
        <w:t>是专门开展了专项主题党日活动，组织党员签订了积极参与平安建设承诺书。三</w:t>
      </w:r>
      <w:r>
        <w:rPr>
          <w:rFonts w:ascii="宋体" w:hAnsi="宋体"/>
          <w:sz w:val="32"/>
          <w:szCs w:val="32"/>
        </w:rPr>
        <w:t>是认真落实节假日值班制度</w:t>
      </w:r>
      <w:r>
        <w:rPr>
          <w:rFonts w:hint="eastAsia" w:ascii="宋体" w:hAnsi="宋体"/>
          <w:sz w:val="32"/>
          <w:szCs w:val="32"/>
        </w:rPr>
        <w:t>，</w:t>
      </w:r>
      <w:r>
        <w:rPr>
          <w:rFonts w:ascii="宋体" w:hAnsi="宋体"/>
          <w:sz w:val="32"/>
          <w:szCs w:val="32"/>
        </w:rPr>
        <w:t>春节、清明节、五一、端午节、中秋、十一等法定长假期间，实行主管领导负责、分管领导带班的值班制度，采取抽查、查看值班记录等办法，确保节假日机关安全。</w:t>
      </w:r>
      <w:r>
        <w:rPr>
          <w:rFonts w:hint="eastAsia" w:ascii="宋体" w:hAnsi="宋体"/>
          <w:sz w:val="32"/>
          <w:szCs w:val="32"/>
        </w:rPr>
        <w:t>四</w:t>
      </w:r>
      <w:r>
        <w:rPr>
          <w:rFonts w:ascii="宋体" w:hAnsi="宋体"/>
          <w:sz w:val="32"/>
          <w:szCs w:val="32"/>
        </w:rPr>
        <w:t>是进一步加大了禁毒工作力度</w:t>
      </w:r>
      <w:r>
        <w:rPr>
          <w:rFonts w:hint="eastAsia" w:ascii="宋体" w:hAnsi="宋体"/>
          <w:sz w:val="32"/>
          <w:szCs w:val="32"/>
        </w:rPr>
        <w:t>，</w:t>
      </w:r>
      <w:r>
        <w:rPr>
          <w:rFonts w:ascii="宋体" w:hAnsi="宋体"/>
          <w:sz w:val="32"/>
          <w:szCs w:val="32"/>
        </w:rPr>
        <w:t>教育本单位干部职工及其家属远离毒品</w:t>
      </w:r>
      <w:r>
        <w:rPr>
          <w:rFonts w:hint="eastAsia" w:ascii="宋体" w:hAnsi="宋体"/>
          <w:sz w:val="32"/>
          <w:szCs w:val="32"/>
        </w:rPr>
        <w:t>，</w:t>
      </w:r>
      <w:r>
        <w:rPr>
          <w:rFonts w:ascii="宋体" w:hAnsi="宋体"/>
          <w:sz w:val="32"/>
          <w:szCs w:val="32"/>
        </w:rPr>
        <w:t>坚决杜绝了吸毒</w:t>
      </w:r>
      <w:r>
        <w:rPr>
          <w:rFonts w:hint="eastAsia" w:ascii="宋体" w:hAnsi="宋体"/>
          <w:sz w:val="32"/>
          <w:szCs w:val="32"/>
        </w:rPr>
        <w:t>、</w:t>
      </w:r>
      <w:r>
        <w:rPr>
          <w:rFonts w:ascii="宋体" w:hAnsi="宋体"/>
          <w:sz w:val="32"/>
          <w:szCs w:val="32"/>
        </w:rPr>
        <w:t>贩毒等现象在我单位内部发生</w:t>
      </w:r>
      <w:r>
        <w:rPr>
          <w:rFonts w:hint="eastAsia" w:ascii="宋体" w:hAnsi="宋体"/>
          <w:sz w:val="32"/>
          <w:szCs w:val="32"/>
        </w:rPr>
        <w:t>。</w:t>
      </w:r>
      <w:r>
        <w:rPr>
          <w:rFonts w:ascii="宋体" w:hAnsi="宋体"/>
          <w:sz w:val="32"/>
          <w:szCs w:val="32"/>
        </w:rPr>
        <w:t>五是深化</w:t>
      </w:r>
      <w:r>
        <w:rPr>
          <w:rFonts w:hint="eastAsia" w:ascii="宋体" w:hAnsi="宋体"/>
          <w:sz w:val="32"/>
          <w:szCs w:val="32"/>
        </w:rPr>
        <w:t>平安家庭普评工作，按照“五评”、“五不评”的要求对每一个家庭进行双评，并组织开展了“三星级平安家庭”评比表彰活动。</w:t>
      </w:r>
    </w:p>
    <w:p>
      <w:pPr>
        <w:adjustRightInd w:val="0"/>
        <w:snapToGrid w:val="0"/>
        <w:spacing w:line="360" w:lineRule="auto"/>
        <w:ind w:left="0" w:firstLine="640" w:firstLineChars="200"/>
        <w:jc w:val="left"/>
        <w:rPr>
          <w:rFonts w:ascii="宋体" w:hAnsi="宋体"/>
          <w:sz w:val="32"/>
          <w:szCs w:val="32"/>
        </w:rPr>
      </w:pPr>
      <w:r>
        <w:rPr>
          <w:rFonts w:hint="eastAsia" w:ascii="宋体" w:hAnsi="宋体"/>
          <w:sz w:val="32"/>
          <w:szCs w:val="32"/>
        </w:rPr>
        <w:t>前面通过对部门整体支出情况的概述和实际支出情况的分析，部门整体支出绩效目标管理情况评价如下：</w:t>
      </w:r>
      <w:r>
        <w:rPr>
          <w:rFonts w:hint="eastAsia" w:ascii="宋体" w:hAnsi="宋体"/>
          <w:sz w:val="32"/>
          <w:szCs w:val="32"/>
        </w:rPr>
        <w:tab/>
      </w:r>
      <w:r>
        <w:rPr>
          <w:rFonts w:hint="eastAsia" w:ascii="宋体" w:hAnsi="宋体"/>
          <w:sz w:val="32"/>
          <w:szCs w:val="32"/>
        </w:rPr>
        <w:tab/>
      </w:r>
    </w:p>
    <w:p>
      <w:pPr>
        <w:widowControl/>
        <w:shd w:val="clear" w:color="auto" w:fill="FFFFFF"/>
        <w:spacing w:line="360" w:lineRule="auto"/>
        <w:ind w:left="0" w:firstLine="640" w:firstLineChars="200"/>
        <w:jc w:val="left"/>
        <w:rPr>
          <w:rFonts w:ascii="宋体" w:hAnsi="宋体"/>
          <w:sz w:val="32"/>
          <w:szCs w:val="32"/>
        </w:rPr>
      </w:pPr>
      <w:r>
        <w:rPr>
          <w:rFonts w:hint="eastAsia" w:ascii="宋体" w:hAnsi="宋体"/>
          <w:sz w:val="32"/>
          <w:szCs w:val="32"/>
        </w:rPr>
        <w:t>（一）财务管理状况。我单位严格执行各项有关法律法规、财经纪律、财务规章制度，建立健全内部管理制度和加强内部财务控制，科学管理；严格预算收支管理,厉行节约。在资金使用上，严格遵守各项财经法规和财务管理制度规定，资金拨付有完整的审批程序和手续，合理、节约、有效地使用每一项资金，支出符合部门预算批复的用途，无截留、挤占、挪用、虚列支出等情况。</w:t>
      </w:r>
    </w:p>
    <w:p>
      <w:pPr>
        <w:spacing w:line="360" w:lineRule="auto"/>
        <w:ind w:left="0" w:firstLine="640" w:firstLineChars="200"/>
        <w:jc w:val="left"/>
        <w:rPr>
          <w:rFonts w:ascii="宋体" w:hAnsi="宋体"/>
          <w:sz w:val="32"/>
          <w:szCs w:val="32"/>
        </w:rPr>
      </w:pPr>
      <w:r>
        <w:rPr>
          <w:rFonts w:hint="eastAsia" w:ascii="宋体" w:hAnsi="宋体"/>
          <w:sz w:val="32"/>
          <w:szCs w:val="32"/>
        </w:rPr>
        <w:t>（二）社会公众满意度。我单位在县委县政府、上级部门的领导下，始终紧扣“改造自我、服务农民”的改革主题，全面完成各项工作，社会公众满意度达到95%。</w:t>
      </w:r>
    </w:p>
    <w:p>
      <w:pPr>
        <w:spacing w:line="360" w:lineRule="auto"/>
        <w:ind w:left="0" w:firstLine="640" w:firstLineChars="200"/>
        <w:jc w:val="left"/>
        <w:rPr>
          <w:rFonts w:ascii="宋体" w:hAnsi="宋体"/>
          <w:sz w:val="32"/>
          <w:szCs w:val="32"/>
        </w:rPr>
      </w:pPr>
      <w:r>
        <w:rPr>
          <w:rFonts w:hint="eastAsia" w:ascii="宋体" w:hAnsi="宋体"/>
          <w:sz w:val="32"/>
          <w:szCs w:val="32"/>
        </w:rPr>
        <w:t>（三）部门整体绩效评价。我单位严格预算收支管理,厉行节约，支出符合部门预算批复的用途，财政预算资金的使用严格高效，没有违规使用资金现象，发挥了财政资金使用效益最大化目标。我单位整体绩效自评97分。</w:t>
      </w:r>
    </w:p>
    <w:p>
      <w:pPr>
        <w:spacing w:line="360" w:lineRule="auto"/>
        <w:ind w:left="0" w:firstLine="640" w:firstLineChars="200"/>
        <w:jc w:val="left"/>
        <w:rPr>
          <w:rFonts w:ascii="宋体" w:hAnsi="宋体"/>
          <w:sz w:val="32"/>
          <w:szCs w:val="32"/>
        </w:rPr>
      </w:pPr>
      <w:r>
        <w:rPr>
          <w:rFonts w:hint="eastAsia" w:ascii="宋体" w:hAnsi="宋体"/>
          <w:sz w:val="32"/>
          <w:szCs w:val="32"/>
        </w:rPr>
        <w:t>五、存在的问题</w:t>
      </w:r>
    </w:p>
    <w:p>
      <w:pPr>
        <w:spacing w:line="360" w:lineRule="auto"/>
        <w:ind w:left="0" w:firstLine="640" w:firstLineChars="200"/>
        <w:jc w:val="left"/>
        <w:rPr>
          <w:rFonts w:ascii="宋体" w:hAnsi="宋体"/>
          <w:sz w:val="32"/>
          <w:szCs w:val="32"/>
        </w:rPr>
      </w:pPr>
      <w:r>
        <w:rPr>
          <w:rFonts w:hint="eastAsia" w:ascii="宋体" w:hAnsi="宋体"/>
          <w:sz w:val="32"/>
          <w:szCs w:val="32"/>
        </w:rPr>
        <w:t>预算配置不够科学合理。</w:t>
      </w:r>
    </w:p>
    <w:p>
      <w:pPr>
        <w:spacing w:line="360" w:lineRule="auto"/>
        <w:ind w:left="0" w:firstLine="640" w:firstLineChars="200"/>
        <w:jc w:val="left"/>
        <w:rPr>
          <w:rFonts w:ascii="宋体" w:hAnsi="宋体"/>
          <w:sz w:val="32"/>
          <w:szCs w:val="32"/>
        </w:rPr>
      </w:pPr>
      <w:r>
        <w:rPr>
          <w:rFonts w:hint="eastAsia" w:ascii="宋体" w:hAnsi="宋体"/>
          <w:sz w:val="32"/>
          <w:szCs w:val="32"/>
        </w:rPr>
        <w:t>六、改进意见及建议</w:t>
      </w:r>
    </w:p>
    <w:p>
      <w:pPr>
        <w:spacing w:line="360" w:lineRule="auto"/>
        <w:ind w:left="0" w:firstLine="640" w:firstLineChars="200"/>
        <w:jc w:val="left"/>
        <w:rPr>
          <w:rFonts w:ascii="宋体" w:hAnsi="宋体"/>
          <w:sz w:val="32"/>
          <w:szCs w:val="32"/>
        </w:rPr>
      </w:pPr>
      <w:r>
        <w:rPr>
          <w:rFonts w:hint="eastAsia" w:ascii="宋体" w:hAnsi="宋体"/>
          <w:sz w:val="32"/>
          <w:szCs w:val="32"/>
        </w:rPr>
        <w:t>（一）改进意见</w:t>
      </w:r>
    </w:p>
    <w:p>
      <w:pPr>
        <w:spacing w:line="360" w:lineRule="auto"/>
        <w:ind w:left="0" w:firstLine="640" w:firstLineChars="200"/>
        <w:jc w:val="left"/>
        <w:rPr>
          <w:rFonts w:ascii="宋体" w:hAnsi="宋体"/>
          <w:sz w:val="32"/>
          <w:szCs w:val="32"/>
        </w:rPr>
      </w:pPr>
      <w:r>
        <w:rPr>
          <w:rFonts w:hint="eastAsia" w:ascii="宋体" w:hAnsi="宋体"/>
          <w:sz w:val="32"/>
          <w:szCs w:val="32"/>
        </w:rPr>
        <w:t>结合我单位实际，综合考量下年度工作需求，加强财务人员的业务培训，努力提高财务人员的整体素质，力求年度预算的配置做到更切合实际，更科学更合理。</w:t>
      </w:r>
    </w:p>
    <w:p>
      <w:pPr>
        <w:spacing w:line="360" w:lineRule="auto"/>
        <w:ind w:left="0" w:firstLine="640" w:firstLineChars="200"/>
        <w:jc w:val="left"/>
        <w:rPr>
          <w:rFonts w:ascii="宋体" w:hAnsi="宋体"/>
          <w:sz w:val="32"/>
          <w:szCs w:val="32"/>
        </w:rPr>
      </w:pPr>
      <w:r>
        <w:rPr>
          <w:rFonts w:hint="eastAsia" w:ascii="宋体" w:hAnsi="宋体"/>
          <w:sz w:val="32"/>
          <w:szCs w:val="32"/>
        </w:rPr>
        <w:t>（二）几点建议</w:t>
      </w:r>
    </w:p>
    <w:p>
      <w:pPr>
        <w:widowControl/>
        <w:shd w:val="clear" w:color="auto" w:fill="FFFFFF"/>
        <w:spacing w:line="360" w:lineRule="auto"/>
        <w:ind w:left="0" w:firstLine="640" w:firstLineChars="200"/>
        <w:jc w:val="left"/>
        <w:rPr>
          <w:rFonts w:ascii="宋体" w:hAnsi="宋体"/>
          <w:sz w:val="32"/>
          <w:szCs w:val="32"/>
        </w:rPr>
      </w:pPr>
      <w:r>
        <w:rPr>
          <w:rFonts w:hint="eastAsia" w:ascii="宋体" w:hAnsi="宋体"/>
          <w:sz w:val="32"/>
          <w:szCs w:val="32"/>
        </w:rPr>
        <w:t>1、根据预算单位依法履行职能和事业发展的需要，按照保工资、保运转、保民生的原则综合平衡，编制全面、完整、准确的财政预算，如：医疗生育保险、工伤保险、失业保险应按规定计入社会保障缴费纳入财政预算；预算单位按规定发放的奖励性支出应纳入财政预算；残疾就业保障金应纳入财政预算等。</w:t>
      </w:r>
    </w:p>
    <w:p>
      <w:pPr>
        <w:widowControl/>
        <w:shd w:val="clear" w:color="auto" w:fill="FFFFFF"/>
        <w:spacing w:line="360" w:lineRule="auto"/>
        <w:ind w:left="0" w:firstLine="640" w:firstLineChars="200"/>
        <w:jc w:val="left"/>
        <w:rPr>
          <w:rFonts w:ascii="宋体" w:hAnsi="宋体"/>
          <w:sz w:val="32"/>
          <w:szCs w:val="32"/>
        </w:rPr>
      </w:pPr>
      <w:r>
        <w:rPr>
          <w:rFonts w:hint="eastAsia" w:ascii="宋体" w:hAnsi="宋体"/>
          <w:sz w:val="32"/>
          <w:szCs w:val="32"/>
        </w:rPr>
        <w:t>2、强化财务人员责任意识和管理意识，提升财务人员业务素质和职业道德水平增强在实际工作中解决遇到问题和困难的能力。</w:t>
      </w:r>
    </w:p>
    <w:p>
      <w:pPr>
        <w:adjustRightInd w:val="0"/>
        <w:snapToGrid w:val="0"/>
        <w:spacing w:line="360" w:lineRule="auto"/>
        <w:ind w:left="0" w:firstLine="640" w:firstLineChars="200"/>
        <w:rPr>
          <w:rFonts w:ascii="宋体" w:hAnsi="宋体"/>
          <w:sz w:val="32"/>
          <w:szCs w:val="32"/>
        </w:rPr>
      </w:pPr>
    </w:p>
    <w:p>
      <w:pPr>
        <w:adjustRightInd w:val="0"/>
        <w:snapToGrid w:val="0"/>
        <w:spacing w:line="360" w:lineRule="auto"/>
        <w:ind w:left="0" w:firstLine="4480" w:firstLineChars="1400"/>
        <w:rPr>
          <w:rFonts w:ascii="宋体" w:hAnsi="宋体"/>
          <w:sz w:val="32"/>
          <w:szCs w:val="32"/>
        </w:rPr>
      </w:pPr>
      <w:r>
        <w:rPr>
          <w:rFonts w:hint="eastAsia" w:ascii="宋体" w:hAnsi="宋体"/>
          <w:sz w:val="32"/>
          <w:szCs w:val="32"/>
        </w:rPr>
        <w:t>新邵县科学技术协会</w:t>
      </w:r>
    </w:p>
    <w:p>
      <w:pPr>
        <w:adjustRightInd w:val="0"/>
        <w:snapToGrid w:val="0"/>
        <w:spacing w:line="360" w:lineRule="auto"/>
        <w:ind w:left="0" w:firstLine="4640" w:firstLineChars="1450"/>
        <w:rPr>
          <w:rFonts w:ascii="宋体" w:hAnsi="宋体"/>
          <w:sz w:val="32"/>
          <w:szCs w:val="32"/>
        </w:rPr>
      </w:pPr>
      <w:r>
        <w:rPr>
          <w:rFonts w:ascii="宋体" w:hAnsi="宋体"/>
          <w:sz w:val="32"/>
          <w:szCs w:val="32"/>
        </w:rPr>
        <w:t>2021年7月28日</w:t>
      </w:r>
    </w:p>
    <w:p>
      <w:pPr>
        <w:adjustRightInd w:val="0"/>
        <w:snapToGrid w:val="0"/>
        <w:spacing w:line="360" w:lineRule="auto"/>
        <w:ind w:left="0" w:firstLine="640" w:firstLineChars="200"/>
        <w:rPr>
          <w:rFonts w:ascii="宋体" w:hAnsi="宋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line="360" w:lineRule="auto"/>
        <w:ind w:left="0" w:firstLine="720" w:firstLineChars="200"/>
        <w:jc w:val="center"/>
        <w:rPr>
          <w:rFonts w:ascii="宋体" w:hAnsi="宋体"/>
          <w:spacing w:val="-8"/>
          <w:sz w:val="28"/>
          <w:szCs w:val="28"/>
        </w:rPr>
      </w:pPr>
      <w:r>
        <w:rPr>
          <w:rFonts w:ascii="宋体" w:hAnsi="宋体"/>
          <w:sz w:val="36"/>
          <w:szCs w:val="36"/>
        </w:rPr>
        <w:t>20</w:t>
      </w:r>
      <w:r>
        <w:rPr>
          <w:rFonts w:hint="eastAsia" w:ascii="宋体" w:hAnsi="宋体"/>
          <w:sz w:val="36"/>
          <w:szCs w:val="36"/>
        </w:rPr>
        <w:t>20年度部门整体支出</w:t>
      </w:r>
      <w:r>
        <w:rPr>
          <w:rFonts w:ascii="宋体" w:hAnsi="宋体"/>
          <w:spacing w:val="-8"/>
          <w:sz w:val="36"/>
          <w:szCs w:val="36"/>
        </w:rPr>
        <w:t>绩效评价指标评分表</w:t>
      </w:r>
    </w:p>
    <w:p>
      <w:pPr>
        <w:spacing w:line="360" w:lineRule="auto"/>
        <w:ind w:left="0" w:firstLine="528" w:firstLineChars="200"/>
        <w:rPr>
          <w:rFonts w:ascii="宋体" w:hAnsi="宋体"/>
          <w:spacing w:val="-8"/>
          <w:sz w:val="28"/>
          <w:szCs w:val="28"/>
        </w:rPr>
      </w:pPr>
      <w:r>
        <w:rPr>
          <w:rFonts w:hint="eastAsia" w:ascii="宋体" w:hAnsi="宋体"/>
          <w:spacing w:val="-8"/>
          <w:sz w:val="28"/>
          <w:szCs w:val="28"/>
        </w:rPr>
        <w:t>填报单位（盖章）：</w:t>
      </w:r>
    </w:p>
    <w:tbl>
      <w:tblPr>
        <w:tblStyle w:val="12"/>
        <w:tblW w:w="14287" w:type="dxa"/>
        <w:jc w:val="center"/>
        <w:tblLayout w:type="fixed"/>
        <w:tblCellMar>
          <w:top w:w="0" w:type="dxa"/>
          <w:left w:w="0" w:type="dxa"/>
          <w:bottom w:w="0" w:type="dxa"/>
          <w:right w:w="0" w:type="dxa"/>
        </w:tblCellMar>
      </w:tblPr>
      <w:tblGrid>
        <w:gridCol w:w="690"/>
        <w:gridCol w:w="704"/>
        <w:gridCol w:w="960"/>
        <w:gridCol w:w="5340"/>
        <w:gridCol w:w="5825"/>
        <w:gridCol w:w="768"/>
      </w:tblGrid>
      <w:tr>
        <w:tblPrEx>
          <w:tblCellMar>
            <w:top w:w="0" w:type="dxa"/>
            <w:left w:w="0" w:type="dxa"/>
            <w:bottom w:w="0" w:type="dxa"/>
            <w:right w:w="0" w:type="dxa"/>
          </w:tblCellMar>
        </w:tblPrEx>
        <w:trPr>
          <w:trHeight w:val="644" w:hRule="atLeast"/>
          <w:tblHeader/>
          <w:jc w:val="center"/>
        </w:trPr>
        <w:tc>
          <w:tcPr>
            <w:tcW w:w="690" w:type="dxa"/>
            <w:tcBorders>
              <w:top w:val="single" w:color="auto" w:sz="4" w:space="0"/>
              <w:left w:val="single" w:color="auto" w:sz="8" w:space="0"/>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一级</w:t>
            </w:r>
            <w:r>
              <w:rPr>
                <w:rFonts w:hint="eastAsia" w:ascii="宋体" w:hAnsi="宋体" w:cs="宋体"/>
                <w:color w:val="000000"/>
                <w:sz w:val="21"/>
                <w:szCs w:val="21"/>
              </w:rPr>
              <w:br w:type="textWrapping"/>
            </w:r>
            <w:r>
              <w:rPr>
                <w:rFonts w:hint="eastAsia" w:ascii="宋体" w:hAnsi="宋体" w:cs="宋体"/>
                <w:color w:val="000000"/>
                <w:sz w:val="21"/>
                <w:szCs w:val="21"/>
              </w:rPr>
              <w:t>指标</w:t>
            </w:r>
          </w:p>
        </w:tc>
        <w:tc>
          <w:tcPr>
            <w:tcW w:w="704"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二级指标</w:t>
            </w:r>
          </w:p>
        </w:tc>
        <w:tc>
          <w:tcPr>
            <w:tcW w:w="96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三级指标</w:t>
            </w:r>
          </w:p>
        </w:tc>
        <w:tc>
          <w:tcPr>
            <w:tcW w:w="534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指标解释</w:t>
            </w:r>
          </w:p>
        </w:tc>
        <w:tc>
          <w:tcPr>
            <w:tcW w:w="5825"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指标说明</w:t>
            </w:r>
          </w:p>
        </w:tc>
        <w:tc>
          <w:tcPr>
            <w:tcW w:w="768" w:type="dxa"/>
            <w:tcBorders>
              <w:top w:val="single" w:color="auto" w:sz="4" w:space="0"/>
              <w:left w:val="nil"/>
              <w:bottom w:val="single" w:color="auto" w:sz="8" w:space="0"/>
              <w:right w:val="single" w:color="auto" w:sz="8" w:space="0"/>
            </w:tcBorders>
            <w:vAlign w:val="center"/>
          </w:tcPr>
          <w:p>
            <w:pPr>
              <w:pStyle w:val="11"/>
              <w:widowControl/>
              <w:spacing w:before="0" w:beforeAutospacing="0" w:after="0" w:afterAutospacing="0" w:line="360" w:lineRule="auto"/>
              <w:ind w:firstLine="420" w:firstLineChars="200"/>
              <w:jc w:val="center"/>
              <w:rPr>
                <w:rFonts w:ascii="宋体" w:hAnsi="宋体"/>
              </w:rPr>
            </w:pPr>
            <w:r>
              <w:rPr>
                <w:rFonts w:hint="eastAsia" w:ascii="宋体" w:hAnsi="宋体" w:cs="宋体"/>
                <w:color w:val="000000"/>
                <w:sz w:val="21"/>
                <w:szCs w:val="21"/>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投入(20分)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目标</w:t>
            </w:r>
            <w:r>
              <w:rPr>
                <w:rFonts w:hint="eastAsia" w:ascii="宋体" w:hAnsi="宋体" w:cs="宋体"/>
                <w:color w:val="000000"/>
                <w:sz w:val="21"/>
                <w:szCs w:val="21"/>
              </w:rPr>
              <w:br w:type="textWrapping"/>
            </w:r>
            <w:r>
              <w:rPr>
                <w:rFonts w:hint="eastAsia" w:ascii="宋体" w:hAnsi="宋体" w:cs="宋体"/>
                <w:color w:val="000000"/>
                <w:sz w:val="21"/>
                <w:szCs w:val="21"/>
              </w:rPr>
              <w:t>设定</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绩效目标合理性</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①符合国家法律法规、国民经济和社会发展总体规划计1分；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②符合部门“三定”方案确定的职责计0.5分；</w:t>
            </w:r>
          </w:p>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绩效指标明确性</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①将部门整体的绩效目标细化分解为具体的工作任务计1分；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②通过清晰、可衡量的指标值予以体现计0.5分；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③与部门年度的任务数或计划数相对应计0.5分；</w:t>
            </w:r>
          </w:p>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预算</w:t>
            </w:r>
            <w:r>
              <w:rPr>
                <w:rFonts w:hint="eastAsia" w:ascii="宋体" w:hAnsi="宋体" w:cs="宋体"/>
                <w:color w:val="000000"/>
                <w:sz w:val="21"/>
                <w:szCs w:val="21"/>
              </w:rPr>
              <w:br w:type="textWrapping"/>
            </w:r>
            <w:r>
              <w:rPr>
                <w:rFonts w:hint="eastAsia" w:ascii="宋体" w:hAnsi="宋体" w:cs="宋体"/>
                <w:color w:val="000000"/>
                <w:sz w:val="21"/>
                <w:szCs w:val="21"/>
              </w:rPr>
              <w:t>配置（15分）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在职人员控制率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“三公经费”变动率（5分）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重点支出安排率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过程</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(40分)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预算</w:t>
            </w:r>
            <w:r>
              <w:rPr>
                <w:rFonts w:hint="eastAsia" w:ascii="宋体" w:hAnsi="宋体" w:cs="宋体"/>
                <w:color w:val="000000"/>
                <w:sz w:val="21"/>
                <w:szCs w:val="21"/>
              </w:rPr>
              <w:br w:type="textWrapping"/>
            </w:r>
            <w:r>
              <w:rPr>
                <w:rFonts w:hint="eastAsia" w:ascii="宋体" w:hAnsi="宋体" w:cs="宋体"/>
                <w:color w:val="000000"/>
                <w:sz w:val="21"/>
                <w:szCs w:val="21"/>
              </w:rPr>
              <w:t>执行</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(23分)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预算</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完成率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4</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预算</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调整率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支付</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进度率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1</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结转结余控制率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3</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公用经费</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控制率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4</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“三公经费”控制率（3分）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3</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政府采购</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执行率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3</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预算</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管理</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(12分)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管理制度</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健全性</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已制定或具有预算资金管理办法、内部财务管理制度、会计核算制度等管理制度计1分；相关管理制度合法、合规、完整计0.5分；相关管理制度得到有效执行计0.5分。2</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资金使用</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合规性</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①符合国家财经法规和财务管理制度规定以及有关专项资金管理办法的规定计1分；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②资金的拨付有完整的审批程序和手续计1分；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③项目的重大开支经过评估论证计1分；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④符合部门预算批复的用途计1分；</w:t>
            </w:r>
          </w:p>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预决算信</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息公开性（2分）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①按规定内容公开预决算信息计1分；</w:t>
            </w:r>
          </w:p>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1</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基础信息</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完善性</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①基础数据信息和会计信息资料真实计1分；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②基础数据信息和会计信息资料完整计1分；</w:t>
            </w:r>
          </w:p>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资产</w:t>
            </w:r>
            <w:r>
              <w:rPr>
                <w:rFonts w:hint="eastAsia" w:ascii="宋体" w:hAnsi="宋体" w:cs="宋体"/>
                <w:color w:val="000000"/>
                <w:sz w:val="21"/>
                <w:szCs w:val="21"/>
              </w:rPr>
              <w:br w:type="textWrapping"/>
            </w:r>
            <w:r>
              <w:rPr>
                <w:rFonts w:hint="eastAsia" w:ascii="宋体" w:hAnsi="宋体" w:cs="宋体"/>
                <w:color w:val="000000"/>
                <w:sz w:val="21"/>
                <w:szCs w:val="21"/>
              </w:rPr>
              <w:t>管理</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管理制度</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健全性</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①制定或具有资产管理制度计1分；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②相关资金管理制度合法、合规、完整计0.5分；</w:t>
            </w:r>
          </w:p>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资产管理</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安全性</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761"/>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①资产保存完整计0.4分；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②资产配置合理计0.4分；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③资产处置规范计0.4分；</w:t>
            </w:r>
          </w:p>
          <w:p>
            <w:pPr>
              <w:pStyle w:val="11"/>
              <w:widowControl/>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④资产账务管理合规、帐实相符计0.4分；</w:t>
            </w:r>
          </w:p>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vAlign w:val="center"/>
          </w:tcPr>
          <w:p>
            <w:pPr>
              <w:pStyle w:val="11"/>
              <w:widowControl/>
              <w:tabs>
                <w:tab w:val="left" w:pos="761"/>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固定资产</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利用率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（1分）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产出</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职责</w:t>
            </w:r>
            <w:r>
              <w:rPr>
                <w:rFonts w:hint="eastAsia" w:ascii="宋体" w:hAnsi="宋体" w:cs="宋体"/>
                <w:color w:val="000000"/>
                <w:sz w:val="21"/>
                <w:szCs w:val="21"/>
              </w:rPr>
              <w:br w:type="textWrapping"/>
            </w:r>
            <w:r>
              <w:rPr>
                <w:rFonts w:hint="eastAsia" w:ascii="宋体" w:hAnsi="宋体" w:cs="宋体"/>
                <w:color w:val="000000"/>
                <w:sz w:val="21"/>
                <w:szCs w:val="21"/>
              </w:rPr>
              <w:t>履行</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实际完成率（5分）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完成及时率（4分）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质量达标率（5分）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重点工作</w:t>
            </w:r>
          </w:p>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办结率</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（6分）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r>
              <w:rPr>
                <w:rFonts w:hint="eastAsia" w:ascii="宋体" w:hAnsi="宋体" w:cs="宋体"/>
                <w:color w:val="000000"/>
                <w:sz w:val="21"/>
                <w:szCs w:val="21"/>
              </w:rPr>
              <w:t>效果</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履职</w:t>
            </w:r>
            <w:r>
              <w:rPr>
                <w:rFonts w:hint="eastAsia" w:ascii="宋体" w:hAnsi="宋体" w:cs="宋体"/>
                <w:color w:val="000000"/>
                <w:sz w:val="21"/>
                <w:szCs w:val="21"/>
              </w:rPr>
              <w:br w:type="textWrapping"/>
            </w:r>
            <w:r>
              <w:rPr>
                <w:rFonts w:hint="eastAsia" w:ascii="宋体" w:hAnsi="宋体" w:cs="宋体"/>
                <w:color w:val="000000"/>
                <w:sz w:val="21"/>
                <w:szCs w:val="21"/>
              </w:rPr>
              <w:t>效益(20分)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经济效益（5分）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部门履行职责对经济发展所带来的直接或间接影响。</w:t>
            </w:r>
          </w:p>
        </w:tc>
        <w:tc>
          <w:tcPr>
            <w:tcW w:w="5825" w:type="dxa"/>
            <w:tcBorders>
              <w:top w:val="nil"/>
              <w:left w:val="nil"/>
              <w:bottom w:val="single" w:color="auto" w:sz="4"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社会效益（5分）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部门履行职责对社会发展所带来的直接或间接影响。</w:t>
            </w:r>
          </w:p>
        </w:tc>
        <w:tc>
          <w:tcPr>
            <w:tcW w:w="5825" w:type="dxa"/>
            <w:tcBorders>
              <w:top w:val="single" w:color="auto" w:sz="4" w:space="0"/>
              <w:left w:val="nil"/>
              <w:bottom w:val="single" w:color="auto" w:sz="4" w:space="0"/>
              <w:right w:val="single" w:color="auto" w:sz="8" w:space="0"/>
            </w:tcBorders>
            <w:tcMar>
              <w:top w:w="10" w:type="dxa"/>
              <w:left w:w="10" w:type="dxa"/>
              <w:right w:w="10" w:type="dxa"/>
            </w:tcMar>
            <w:vAlign w:val="center"/>
          </w:tcPr>
          <w:p>
            <w:pPr>
              <w:spacing w:line="360" w:lineRule="auto"/>
              <w:ind w:left="0" w:firstLine="420" w:firstLineChars="200"/>
              <w:rPr>
                <w:rFonts w:ascii="宋体" w:hAnsi="宋体" w:cs="宋体"/>
                <w:color w:val="000000"/>
                <w:sz w:val="15"/>
                <w:szCs w:val="15"/>
              </w:rPr>
            </w:pPr>
            <w:r>
              <w:rPr>
                <w:rFonts w:hint="eastAsia" w:ascii="宋体" w:hAnsi="宋体" w:cs="宋体"/>
                <w:color w:val="000000"/>
                <w:szCs w:val="21"/>
              </w:rPr>
              <w:t>按社会效益实现程度计算得分（5分）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420" w:firstLineChars="200"/>
              <w:jc w:val="center"/>
              <w:rPr>
                <w:rFonts w:ascii="宋体" w:hAnsi="宋体" w:cs="宋体"/>
                <w:color w:val="000000"/>
                <w:kern w:val="0"/>
                <w:szCs w:val="21"/>
              </w:rPr>
            </w:pPr>
            <w:r>
              <w:rPr>
                <w:rFonts w:hint="eastAsia" w:ascii="宋体" w:hAnsi="宋体" w:cs="宋体"/>
                <w:color w:val="000000"/>
                <w:kern w:val="0"/>
                <w:szCs w:val="21"/>
              </w:rPr>
              <w:t>生态效益</w:t>
            </w:r>
          </w:p>
          <w:p>
            <w:pPr>
              <w:spacing w:line="360" w:lineRule="auto"/>
              <w:ind w:left="0" w:firstLine="420" w:firstLineChars="200"/>
              <w:jc w:val="center"/>
              <w:rPr>
                <w:rFonts w:ascii="宋体" w:hAnsi="宋体" w:cs="宋体"/>
                <w:color w:val="000000"/>
                <w:kern w:val="0"/>
                <w:szCs w:val="21"/>
              </w:rPr>
            </w:pPr>
            <w:r>
              <w:rPr>
                <w:rFonts w:hint="eastAsia" w:ascii="宋体" w:hAnsi="宋体" w:cs="宋体"/>
                <w:color w:val="000000"/>
                <w:kern w:val="0"/>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部门履行职责对生态环境所带来的直接或间接影响。</w:t>
            </w:r>
          </w:p>
        </w:tc>
        <w:tc>
          <w:tcPr>
            <w:tcW w:w="5825"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对生态环境影响较好的计5分；一般3分；效果不明显0分。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209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360" w:lineRule="auto"/>
              <w:ind w:left="0" w:firstLine="300" w:firstLineChars="200"/>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社会公众</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或服务对</w:t>
            </w:r>
          </w:p>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象满意度（5分）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360" w:firstLineChars="200"/>
              <w:jc w:val="both"/>
              <w:rPr>
                <w:rFonts w:ascii="宋体" w:hAnsi="宋体" w:cs="宋体"/>
                <w:sz w:val="21"/>
                <w:szCs w:val="21"/>
              </w:rPr>
            </w:pPr>
            <w:r>
              <w:rPr>
                <w:rFonts w:hint="eastAsia" w:ascii="宋体" w:hAnsi="宋体"/>
                <w:sz w:val="18"/>
                <w:szCs w:val="18"/>
              </w:rPr>
              <w:t>90%</w:t>
            </w:r>
            <w:r>
              <w:rPr>
                <w:rFonts w:hint="eastAsia" w:ascii="宋体" w:hAnsi="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总分</w:t>
            </w:r>
          </w:p>
        </w:tc>
        <w:tc>
          <w:tcPr>
            <w:tcW w:w="704" w:type="dxa"/>
            <w:tcBorders>
              <w:top w:val="nil"/>
              <w:left w:val="nil"/>
              <w:bottom w:val="nil"/>
              <w:right w:val="single" w:color="auto" w:sz="8" w:space="0"/>
            </w:tcBorders>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100</w:t>
            </w:r>
          </w:p>
        </w:tc>
        <w:tc>
          <w:tcPr>
            <w:tcW w:w="960" w:type="dxa"/>
            <w:tcBorders>
              <w:top w:val="nil"/>
              <w:left w:val="nil"/>
              <w:bottom w:val="nil"/>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sz w:val="21"/>
                <w:szCs w:val="21"/>
              </w:rPr>
            </w:pPr>
            <w:r>
              <w:rPr>
                <w:rFonts w:hint="eastAsia" w:ascii="宋体" w:hAnsi="宋体" w:cs="宋体"/>
                <w:color w:val="000000"/>
                <w:sz w:val="21"/>
                <w:szCs w:val="21"/>
              </w:rPr>
              <w:t>100　</w:t>
            </w:r>
          </w:p>
        </w:tc>
        <w:tc>
          <w:tcPr>
            <w:tcW w:w="5340" w:type="dxa"/>
            <w:tcBorders>
              <w:top w:val="nil"/>
              <w:left w:val="nil"/>
              <w:bottom w:val="nil"/>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 </w:t>
            </w:r>
          </w:p>
        </w:tc>
        <w:tc>
          <w:tcPr>
            <w:tcW w:w="5825" w:type="dxa"/>
            <w:tcBorders>
              <w:top w:val="nil"/>
              <w:left w:val="nil"/>
              <w:bottom w:val="nil"/>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color w:val="000000"/>
                <w:sz w:val="21"/>
                <w:szCs w:val="21"/>
              </w:rPr>
              <w:t> </w:t>
            </w:r>
          </w:p>
        </w:tc>
        <w:tc>
          <w:tcPr>
            <w:tcW w:w="768" w:type="dxa"/>
            <w:tcBorders>
              <w:top w:val="nil"/>
              <w:left w:val="nil"/>
              <w:bottom w:val="nil"/>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vAlign w:val="center"/>
          </w:tcPr>
          <w:p>
            <w:pPr>
              <w:pStyle w:val="11"/>
              <w:widowControl/>
              <w:spacing w:before="0" w:beforeAutospacing="0" w:after="0" w:afterAutospacing="0" w:line="360" w:lineRule="auto"/>
              <w:ind w:firstLine="420" w:firstLineChars="200"/>
              <w:rPr>
                <w:rFonts w:ascii="宋体" w:hAnsi="宋体" w:cs="宋体"/>
                <w:color w:val="000000"/>
                <w:sz w:val="21"/>
                <w:szCs w:val="21"/>
              </w:rPr>
            </w:pPr>
          </w:p>
        </w:tc>
        <w:tc>
          <w:tcPr>
            <w:tcW w:w="704" w:type="dxa"/>
            <w:tcBorders>
              <w:top w:val="nil"/>
              <w:left w:val="nil"/>
              <w:bottom w:val="single" w:color="auto" w:sz="8" w:space="0"/>
              <w:right w:val="single" w:color="auto" w:sz="8" w:space="0"/>
            </w:tcBorders>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center"/>
              <w:rPr>
                <w:rFonts w:ascii="宋体" w:hAnsi="宋体" w:cs="宋体"/>
                <w:color w:val="000000"/>
                <w:sz w:val="21"/>
                <w:szCs w:val="21"/>
              </w:rPr>
            </w:pP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tabs>
                <w:tab w:val="left" w:pos="2604"/>
              </w:tabs>
              <w:spacing w:before="0" w:beforeAutospacing="0" w:after="0" w:afterAutospacing="0" w:line="360" w:lineRule="auto"/>
              <w:ind w:firstLine="420" w:firstLineChars="200"/>
              <w:jc w:val="both"/>
              <w:rPr>
                <w:rFonts w:ascii="宋体" w:hAnsi="宋体" w:cs="宋体"/>
                <w:color w:val="000000"/>
                <w:sz w:val="21"/>
                <w:szCs w:val="21"/>
              </w:rPr>
            </w:pP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11"/>
              <w:widowControl/>
              <w:spacing w:before="0" w:beforeAutospacing="0" w:after="0" w:afterAutospacing="0" w:line="360" w:lineRule="auto"/>
              <w:ind w:firstLine="420" w:firstLineChars="200"/>
              <w:jc w:val="both"/>
              <w:rPr>
                <w:rFonts w:ascii="宋体" w:hAnsi="宋体" w:cs="宋体"/>
                <w:color w:val="000000"/>
                <w:sz w:val="21"/>
                <w:szCs w:val="21"/>
              </w:rPr>
            </w:pPr>
          </w:p>
        </w:tc>
        <w:tc>
          <w:tcPr>
            <w:tcW w:w="768" w:type="dxa"/>
            <w:tcBorders>
              <w:top w:val="nil"/>
              <w:left w:val="nil"/>
              <w:bottom w:val="single" w:color="auto" w:sz="8" w:space="0"/>
              <w:right w:val="single" w:color="auto" w:sz="8" w:space="0"/>
            </w:tcBorders>
            <w:vAlign w:val="center"/>
          </w:tcPr>
          <w:p>
            <w:pPr>
              <w:pStyle w:val="11"/>
              <w:widowControl/>
              <w:tabs>
                <w:tab w:val="left" w:pos="2604"/>
              </w:tabs>
              <w:spacing w:before="0" w:beforeAutospacing="0" w:after="0" w:afterAutospacing="0" w:line="360" w:lineRule="auto"/>
              <w:ind w:firstLine="480" w:firstLineChars="200"/>
              <w:jc w:val="center"/>
              <w:rPr>
                <w:rFonts w:ascii="宋体" w:hAnsi="宋体"/>
              </w:rPr>
            </w:pPr>
            <w:r>
              <w:rPr>
                <w:rFonts w:hint="eastAsia" w:ascii="宋体" w:hAnsi="宋体"/>
              </w:rPr>
              <w:t>97</w:t>
            </w:r>
          </w:p>
        </w:tc>
      </w:tr>
    </w:tbl>
    <w:p>
      <w:pPr>
        <w:widowControl/>
        <w:spacing w:line="360" w:lineRule="auto"/>
        <w:ind w:left="0" w:firstLine="640" w:firstLineChars="200"/>
        <w:rPr>
          <w:rFonts w:ascii="宋体" w:hAnsi="宋体"/>
          <w:sz w:val="32"/>
          <w:szCs w:val="32"/>
        </w:rPr>
      </w:pPr>
    </w:p>
    <w:p>
      <w:pPr>
        <w:adjustRightInd w:val="0"/>
        <w:snapToGrid w:val="0"/>
        <w:spacing w:line="360" w:lineRule="auto"/>
        <w:ind w:left="0" w:firstLine="640" w:firstLineChars="200"/>
        <w:rPr>
          <w:rFonts w:ascii="宋体" w:hAnsi="宋体"/>
          <w:sz w:val="32"/>
          <w:szCs w:val="32"/>
        </w:rPr>
      </w:pPr>
    </w:p>
    <w:p>
      <w:pPr>
        <w:adjustRightInd w:val="0"/>
        <w:snapToGrid w:val="0"/>
        <w:spacing w:line="360" w:lineRule="auto"/>
        <w:ind w:left="0" w:firstLine="640" w:firstLineChars="200"/>
        <w:rPr>
          <w:rFonts w:ascii="宋体" w:hAnsi="宋体"/>
          <w:sz w:val="32"/>
          <w:szCs w:val="32"/>
        </w:rPr>
      </w:pPr>
    </w:p>
    <w:p>
      <w:pPr>
        <w:adjustRightInd w:val="0"/>
        <w:snapToGrid w:val="0"/>
        <w:spacing w:line="360" w:lineRule="auto"/>
        <w:ind w:left="0" w:firstLine="640" w:firstLineChars="200"/>
        <w:rPr>
          <w:rFonts w:ascii="宋体" w:hAnsi="宋体"/>
          <w:sz w:val="32"/>
          <w:szCs w:val="32"/>
        </w:rPr>
      </w:pPr>
    </w:p>
    <w:p>
      <w:pPr>
        <w:adjustRightInd w:val="0"/>
        <w:snapToGrid w:val="0"/>
        <w:spacing w:line="360" w:lineRule="auto"/>
        <w:ind w:left="0" w:firstLine="640" w:firstLineChars="200"/>
        <w:rPr>
          <w:rFonts w:ascii="宋体" w:hAnsi="宋体"/>
          <w:sz w:val="32"/>
          <w:szCs w:val="32"/>
        </w:rPr>
      </w:pPr>
    </w:p>
    <w:p>
      <w:pPr>
        <w:adjustRightInd w:val="0"/>
        <w:snapToGrid w:val="0"/>
        <w:spacing w:line="360" w:lineRule="auto"/>
        <w:ind w:left="0" w:firstLine="640" w:firstLineChars="200"/>
        <w:rPr>
          <w:rFonts w:ascii="宋体" w:hAnsi="宋体"/>
          <w:sz w:val="32"/>
          <w:szCs w:val="32"/>
        </w:rPr>
      </w:pPr>
    </w:p>
    <w:p>
      <w:pPr>
        <w:adjustRightInd w:val="0"/>
        <w:snapToGrid w:val="0"/>
        <w:spacing w:line="360" w:lineRule="auto"/>
        <w:ind w:left="0" w:firstLine="640" w:firstLineChars="200"/>
        <w:rPr>
          <w:rFonts w:ascii="宋体" w:hAnsi="宋体"/>
          <w:sz w:val="32"/>
          <w:szCs w:val="32"/>
        </w:rPr>
      </w:pP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797" w:right="1440" w:bottom="179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jc w:val="center"/>
    </w:pPr>
    <w:r>
      <w:fldChar w:fldCharType="begin"/>
    </w:r>
    <w:r>
      <w:instrText xml:space="preserve"> PAGE   \* MERGEFORMAT </w:instrText>
    </w:r>
    <w:r>
      <w:fldChar w:fldCharType="separate"/>
    </w:r>
    <w:r>
      <w:rPr>
        <w:lang w:val="zh-CN"/>
      </w:rPr>
      <w:t>19</w:t>
    </w:r>
    <w:r>
      <w:rPr>
        <w:lang w:val="zh-CN"/>
      </w:rPr>
      <w:fldChar w:fldCharType="end"/>
    </w:r>
  </w:p>
  <w:p>
    <w:pPr>
      <w:pStyle w:val="9"/>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270" w:hanging="270"/>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9"/>
                      <w:ind w:left="270" w:hanging="270"/>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70" w:hanging="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270" w:hanging="27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70" w:hanging="27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70" w:hanging="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05ED8"/>
    <w:multiLevelType w:val="multilevel"/>
    <w:tmpl w:val="4F605ED8"/>
    <w:lvl w:ilvl="0" w:tentative="0">
      <w:start w:val="1"/>
      <w:numFmt w:val="japaneseCounting"/>
      <w:lvlText w:val="（%1）"/>
      <w:lvlJc w:val="left"/>
      <w:pPr>
        <w:ind w:left="1718" w:hanging="1080"/>
      </w:pPr>
      <w:rPr>
        <w:rFonts w:hint="default"/>
        <w:color w:val="auto"/>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abstractNum w:abstractNumId="1">
    <w:nsid w:val="5A3771B7"/>
    <w:multiLevelType w:val="singleLevel"/>
    <w:tmpl w:val="5A3771B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JkYzMwYzlhZDRkOTk2ODZkZmFkNzc5YTlmODkifQ=="/>
  </w:docVars>
  <w:rsids>
    <w:rsidRoot w:val="3A414B6C"/>
    <w:rsid w:val="0000017D"/>
    <w:rsid w:val="000052BC"/>
    <w:rsid w:val="00037E97"/>
    <w:rsid w:val="00082832"/>
    <w:rsid w:val="00083481"/>
    <w:rsid w:val="000D2A5B"/>
    <w:rsid w:val="000E0C6A"/>
    <w:rsid w:val="00177B5E"/>
    <w:rsid w:val="00190CEF"/>
    <w:rsid w:val="001C2F72"/>
    <w:rsid w:val="001D73B1"/>
    <w:rsid w:val="00215B27"/>
    <w:rsid w:val="00220B80"/>
    <w:rsid w:val="00240C0E"/>
    <w:rsid w:val="00255812"/>
    <w:rsid w:val="00284F62"/>
    <w:rsid w:val="002A4838"/>
    <w:rsid w:val="002B153A"/>
    <w:rsid w:val="002B7CBF"/>
    <w:rsid w:val="002C2784"/>
    <w:rsid w:val="002D30B2"/>
    <w:rsid w:val="002D582A"/>
    <w:rsid w:val="00312DE5"/>
    <w:rsid w:val="003165E5"/>
    <w:rsid w:val="00386A73"/>
    <w:rsid w:val="003B2D99"/>
    <w:rsid w:val="003C317B"/>
    <w:rsid w:val="00412FB4"/>
    <w:rsid w:val="00435FF6"/>
    <w:rsid w:val="00463DAB"/>
    <w:rsid w:val="00474B90"/>
    <w:rsid w:val="004829F9"/>
    <w:rsid w:val="004A5D65"/>
    <w:rsid w:val="005040C8"/>
    <w:rsid w:val="005149DE"/>
    <w:rsid w:val="00570D9C"/>
    <w:rsid w:val="005727E1"/>
    <w:rsid w:val="00575205"/>
    <w:rsid w:val="00580E1E"/>
    <w:rsid w:val="005E3864"/>
    <w:rsid w:val="00612D36"/>
    <w:rsid w:val="006319B1"/>
    <w:rsid w:val="00641809"/>
    <w:rsid w:val="0065501A"/>
    <w:rsid w:val="006727AE"/>
    <w:rsid w:val="006774A3"/>
    <w:rsid w:val="0068305F"/>
    <w:rsid w:val="006C473C"/>
    <w:rsid w:val="006E4F04"/>
    <w:rsid w:val="006F37E3"/>
    <w:rsid w:val="00761EC8"/>
    <w:rsid w:val="00787043"/>
    <w:rsid w:val="007A71C6"/>
    <w:rsid w:val="007E1299"/>
    <w:rsid w:val="007F2EF3"/>
    <w:rsid w:val="00856C1B"/>
    <w:rsid w:val="008770C8"/>
    <w:rsid w:val="0088026F"/>
    <w:rsid w:val="008E51D8"/>
    <w:rsid w:val="00912B28"/>
    <w:rsid w:val="009130B1"/>
    <w:rsid w:val="009171E8"/>
    <w:rsid w:val="00937E93"/>
    <w:rsid w:val="0094701A"/>
    <w:rsid w:val="00964208"/>
    <w:rsid w:val="009661BB"/>
    <w:rsid w:val="00987778"/>
    <w:rsid w:val="009F6B00"/>
    <w:rsid w:val="00A5110D"/>
    <w:rsid w:val="00A51145"/>
    <w:rsid w:val="00A66142"/>
    <w:rsid w:val="00A73999"/>
    <w:rsid w:val="00AA2E88"/>
    <w:rsid w:val="00AA70C9"/>
    <w:rsid w:val="00AB4A97"/>
    <w:rsid w:val="00AD1110"/>
    <w:rsid w:val="00AE276E"/>
    <w:rsid w:val="00B14E31"/>
    <w:rsid w:val="00B16464"/>
    <w:rsid w:val="00B172A1"/>
    <w:rsid w:val="00B5793D"/>
    <w:rsid w:val="00B67D6B"/>
    <w:rsid w:val="00B968FA"/>
    <w:rsid w:val="00BD0D58"/>
    <w:rsid w:val="00BD5815"/>
    <w:rsid w:val="00BF1A83"/>
    <w:rsid w:val="00C0104B"/>
    <w:rsid w:val="00C0642E"/>
    <w:rsid w:val="00C24B8E"/>
    <w:rsid w:val="00C648F8"/>
    <w:rsid w:val="00C75685"/>
    <w:rsid w:val="00C96D2F"/>
    <w:rsid w:val="00CA33B0"/>
    <w:rsid w:val="00CE7E6A"/>
    <w:rsid w:val="00D0226E"/>
    <w:rsid w:val="00D1126C"/>
    <w:rsid w:val="00D21FB9"/>
    <w:rsid w:val="00D36587"/>
    <w:rsid w:val="00D65214"/>
    <w:rsid w:val="00D97CFC"/>
    <w:rsid w:val="00DA0A82"/>
    <w:rsid w:val="00DA677C"/>
    <w:rsid w:val="00DB61F6"/>
    <w:rsid w:val="00E30374"/>
    <w:rsid w:val="00E75FA4"/>
    <w:rsid w:val="00EF5656"/>
    <w:rsid w:val="00F06D48"/>
    <w:rsid w:val="00F45939"/>
    <w:rsid w:val="00F47217"/>
    <w:rsid w:val="00FB73E8"/>
    <w:rsid w:val="00FF3F48"/>
    <w:rsid w:val="00FF52AF"/>
    <w:rsid w:val="02C67975"/>
    <w:rsid w:val="03440783"/>
    <w:rsid w:val="065A22CC"/>
    <w:rsid w:val="0687230A"/>
    <w:rsid w:val="06F14775"/>
    <w:rsid w:val="11841F3B"/>
    <w:rsid w:val="140155BC"/>
    <w:rsid w:val="18CD10A9"/>
    <w:rsid w:val="1CF30633"/>
    <w:rsid w:val="248529DB"/>
    <w:rsid w:val="256B01E5"/>
    <w:rsid w:val="27990C2F"/>
    <w:rsid w:val="3A414B6C"/>
    <w:rsid w:val="3AF030A8"/>
    <w:rsid w:val="3BDA4C0A"/>
    <w:rsid w:val="3C654C6C"/>
    <w:rsid w:val="413E2B28"/>
    <w:rsid w:val="429A515D"/>
    <w:rsid w:val="4B840ABF"/>
    <w:rsid w:val="545B6BC3"/>
    <w:rsid w:val="5717653E"/>
    <w:rsid w:val="5C66535E"/>
    <w:rsid w:val="5D5246FB"/>
    <w:rsid w:val="5EEF75C9"/>
    <w:rsid w:val="67F655B2"/>
    <w:rsid w:val="68705863"/>
    <w:rsid w:val="6B7E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Calibri" w:hAnsi="Calibri" w:eastAsia="宋体" w:cs="Times New Roman"/>
      <w:kern w:val="2"/>
      <w:sz w:val="21"/>
      <w:szCs w:val="22"/>
      <w:lang w:val="en-US" w:eastAsia="zh-CN" w:bidi="ar-SA"/>
    </w:rPr>
  </w:style>
  <w:style w:type="paragraph" w:styleId="4">
    <w:name w:val="heading 1"/>
    <w:basedOn w:val="1"/>
    <w:next w:val="1"/>
    <w:link w:val="16"/>
    <w:qFormat/>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paragraph" w:styleId="5">
    <w:name w:val="heading 2"/>
    <w:basedOn w:val="1"/>
    <w:next w:val="1"/>
    <w:qFormat/>
    <w:uiPriority w:val="0"/>
    <w:pPr>
      <w:spacing w:before="100" w:beforeAutospacing="1" w:after="100" w:afterAutospacing="1" w:line="240" w:lineRule="auto"/>
      <w:ind w:left="0" w:firstLine="0" w:firstLineChars="0"/>
      <w:jc w:val="left"/>
      <w:outlineLvl w:val="1"/>
    </w:pPr>
    <w:rPr>
      <w:rFonts w:hint="eastAsia" w:ascii="宋体" w:hAnsi="宋体"/>
      <w:b/>
      <w:kern w:val="0"/>
      <w:sz w:val="36"/>
      <w:szCs w:val="36"/>
    </w:rPr>
  </w:style>
  <w:style w:type="paragraph" w:styleId="6">
    <w:name w:val="heading 3"/>
    <w:basedOn w:val="1"/>
    <w:next w:val="1"/>
    <w:qFormat/>
    <w:uiPriority w:val="0"/>
    <w:pPr>
      <w:spacing w:before="100" w:beforeAutospacing="1" w:after="100" w:afterAutospacing="1" w:line="240" w:lineRule="auto"/>
      <w:ind w:left="0" w:firstLine="0" w:firstLineChars="0"/>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rPr>
  </w:style>
  <w:style w:type="paragraph" w:styleId="7">
    <w:name w:val="Date"/>
    <w:basedOn w:val="1"/>
    <w:next w:val="1"/>
    <w:link w:val="20"/>
    <w:qFormat/>
    <w:uiPriority w:val="0"/>
    <w:pPr>
      <w:ind w:left="100" w:leftChars="2500"/>
    </w:pPr>
  </w:style>
  <w:style w:type="paragraph" w:styleId="8">
    <w:name w:val="Balloon Text"/>
    <w:basedOn w:val="1"/>
    <w:link w:val="15"/>
    <w:qFormat/>
    <w:uiPriority w:val="0"/>
    <w:pPr>
      <w:spacing w:line="240" w:lineRule="auto"/>
    </w:pPr>
    <w:rPr>
      <w:sz w:val="18"/>
      <w:szCs w:val="18"/>
    </w:rPr>
  </w:style>
  <w:style w:type="paragraph" w:styleId="9">
    <w:name w:val="footer"/>
    <w:basedOn w:val="1"/>
    <w:link w:val="18"/>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Normal (Web)"/>
    <w:basedOn w:val="1"/>
    <w:uiPriority w:val="99"/>
    <w:pPr>
      <w:spacing w:before="100" w:beforeAutospacing="1" w:after="100" w:afterAutospacing="1" w:line="240" w:lineRule="auto"/>
      <w:ind w:left="0" w:firstLine="0" w:firstLineChars="0"/>
      <w:jc w:val="left"/>
    </w:pPr>
    <w:rPr>
      <w:rFonts w:ascii="Times New Roman" w:hAnsi="Times New Roman"/>
      <w:kern w:val="0"/>
      <w:sz w:val="24"/>
      <w:szCs w:val="24"/>
    </w:rPr>
  </w:style>
  <w:style w:type="paragraph" w:styleId="14">
    <w:name w:val="List Paragraph"/>
    <w:basedOn w:val="1"/>
    <w:qFormat/>
    <w:uiPriority w:val="34"/>
    <w:pPr>
      <w:ind w:firstLine="420" w:firstLineChars="200"/>
    </w:pPr>
  </w:style>
  <w:style w:type="character" w:customStyle="1" w:styleId="15">
    <w:name w:val="批注框文本 Char"/>
    <w:basedOn w:val="13"/>
    <w:link w:val="8"/>
    <w:qFormat/>
    <w:uiPriority w:val="0"/>
    <w:rPr>
      <w:rFonts w:ascii="Calibri" w:hAnsi="Calibri" w:eastAsia="宋体" w:cs="Times New Roman"/>
      <w:kern w:val="2"/>
      <w:sz w:val="18"/>
      <w:szCs w:val="18"/>
    </w:rPr>
  </w:style>
  <w:style w:type="character" w:customStyle="1" w:styleId="16">
    <w:name w:val="标题 1 Char"/>
    <w:basedOn w:val="13"/>
    <w:link w:val="4"/>
    <w:qFormat/>
    <w:uiPriority w:val="0"/>
    <w:rPr>
      <w:rFonts w:ascii="宋体" w:hAnsi="宋体"/>
      <w:b/>
      <w:kern w:val="44"/>
      <w:sz w:val="48"/>
      <w:szCs w:val="48"/>
    </w:rPr>
  </w:style>
  <w:style w:type="character" w:customStyle="1" w:styleId="17">
    <w:name w:val="页眉 Char"/>
    <w:basedOn w:val="13"/>
    <w:link w:val="10"/>
    <w:qFormat/>
    <w:uiPriority w:val="99"/>
    <w:rPr>
      <w:rFonts w:ascii="Calibri" w:hAnsi="Calibri"/>
      <w:kern w:val="2"/>
      <w:sz w:val="18"/>
      <w:szCs w:val="18"/>
    </w:rPr>
  </w:style>
  <w:style w:type="character" w:customStyle="1" w:styleId="18">
    <w:name w:val="页脚 Char"/>
    <w:basedOn w:val="13"/>
    <w:link w:val="9"/>
    <w:qFormat/>
    <w:uiPriority w:val="99"/>
    <w:rPr>
      <w:rFonts w:ascii="Calibri" w:hAnsi="Calibri"/>
      <w:kern w:val="2"/>
      <w:sz w:val="18"/>
      <w:szCs w:val="18"/>
    </w:rPr>
  </w:style>
  <w:style w:type="paragraph" w:customStyle="1" w:styleId="19">
    <w:name w:val="正文1"/>
    <w:basedOn w:val="1"/>
    <w:qFormat/>
    <w:uiPriority w:val="0"/>
    <w:pPr>
      <w:widowControl/>
      <w:spacing w:line="240" w:lineRule="auto"/>
      <w:ind w:left="0" w:firstLine="0" w:firstLineChars="0"/>
    </w:pPr>
    <w:rPr>
      <w:rFonts w:ascii="宋体" w:hAnsi="宋体" w:cs="宋体"/>
      <w:szCs w:val="21"/>
    </w:rPr>
  </w:style>
  <w:style w:type="character" w:customStyle="1" w:styleId="20">
    <w:name w:val="日期 Char"/>
    <w:basedOn w:val="13"/>
    <w:link w:val="7"/>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315B9-7DBD-4201-BB36-451AAEF2B7C8}">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31</Pages>
  <Words>11169</Words>
  <Characters>11878</Characters>
  <Lines>14</Lines>
  <Paragraphs>25</Paragraphs>
  <TotalTime>357</TotalTime>
  <ScaleCrop>false</ScaleCrop>
  <LinksUpToDate>false</LinksUpToDate>
  <CharactersWithSpaces>11921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2021-07-21T00:24:00Z</dcterms:created>
  <dc:creator>Administrator</dc:creator>
  <cp:lastModifiedBy>Administrator</cp:lastModifiedBy>
  <cp:lastPrinted>2021-11-03T01:19:00Z</cp:lastPrinted>
  <dcterms:modified xsi:type="dcterms:W3CDTF">2022-11-25T03:54:36Z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6131ADE700E341438A9AECA40876985E</vt:lpwstr>
  </property>
</Properties>
</file>