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宋体"/>
          <w:b/>
          <w:bCs/>
          <w:color w:val="1E1E1E"/>
          <w:kern w:val="0"/>
          <w:sz w:val="38"/>
          <w:szCs w:val="38"/>
        </w:rPr>
      </w:pPr>
      <w:r>
        <w:rPr>
          <w:rFonts w:hint="eastAsia" w:ascii="微软雅黑" w:hAnsi="微软雅黑" w:eastAsia="微软雅黑" w:cs="宋体"/>
          <w:b/>
          <w:bCs/>
          <w:color w:val="1E1E1E"/>
          <w:kern w:val="0"/>
          <w:sz w:val="38"/>
          <w:szCs w:val="38"/>
        </w:rPr>
        <w:t>新邵县教师进修学校2020年度部门整体支出绩效自评报告</w:t>
      </w:r>
    </w:p>
    <w:p>
      <w:pPr>
        <w:shd w:val="clear" w:color="auto" w:fill="FFFFFF"/>
        <w:spacing w:line="600" w:lineRule="atLeast"/>
        <w:ind w:left="210" w:leftChars="100" w:firstLine="460" w:firstLineChars="20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根据《新邵县财政局关于编制2020年部门整体支出绩效目标的通知》等文件的要求，秉着独立、客观、公正的原则，根据设定的绩效目标，运用科学、合理的绩效评价指标、评价标准和评价方法，对整体支出的绩效目标完成情况、产出与效果、预算管理水平等进行绩效评价。现将绩效评价结果报告如下：</w:t>
      </w:r>
    </w:p>
    <w:p>
      <w:pPr>
        <w:shd w:val="clear" w:color="auto" w:fill="FFFFFF"/>
        <w:spacing w:line="600" w:lineRule="atLeast"/>
        <w:ind w:left="210" w:leftChars="100" w:firstLine="640" w:firstLineChars="200"/>
        <w:jc w:val="left"/>
        <w:rPr>
          <w:rFonts w:ascii="仿宋" w:hAnsi="仿宋" w:eastAsia="仿宋" w:cs="Times New Roman"/>
          <w:b/>
          <w:bCs/>
          <w:color w:val="1E1E1E"/>
          <w:kern w:val="0"/>
          <w:sz w:val="32"/>
          <w:szCs w:val="32"/>
        </w:rPr>
      </w:pPr>
      <w:r>
        <w:rPr>
          <w:rFonts w:hint="eastAsia" w:ascii="仿宋" w:hAnsi="仿宋" w:eastAsia="仿宋" w:cs="Times New Roman"/>
          <w:b/>
          <w:bCs/>
          <w:color w:val="1E1E1E"/>
          <w:kern w:val="0"/>
          <w:sz w:val="32"/>
          <w:szCs w:val="32"/>
        </w:rPr>
        <w:t>一、部门概况</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（一）、学校概况</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新邵教师进修学校是一所中等师范成人学校，主要职责是从事与教师继续教育相关的管理、研究、服务和教育信息资源开发与利用工作。学校师资力量雄厚，现有在职教师27人，其中正高级教师1人，高级8人，讲师  19人，退休27人。学校实行分层分块管理，下设办公室、世间师训处、财务室、综治办、远程教育处、学历教育管理处。学校以“学高为师、德高为范”为校训，以教育部《关于加强县级教师进修学校建设的指导意见》（教师【2002】3号）精神为指导，努力争创省级示范性教师进修学校。</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办学条件: 学校占地13亩，教学楼两栋，建筑面积4015平方米，学员宿舍一栋，面积1170平方米。有供教师培训的多功能中、小型报告厅共两间，电脑室、图书室、档案室、阅览室、工会活动室等一应俱全，普通教室20间，能满足中小学教师培训需要。学校环境优雅，交通便利，区位优势明显。</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办学理念 : 我校把服务全县基础教育、服务全县教育教学、服务全县中小学教师当作学校办学宗旨，内抓质量，外树形象，与时俱进，开拓进取，使我县的师资培训工作始终走在全市前列。</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教学成果 :我校今年培训总人数达4870人（网络培训2680人、送教下乡653人、集中培训1537人），开设班级33个。另有国培、省培600人次39多个班级都是我校教师担任辅导老师和管理者。</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学校荣誉</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1、2016年7月被评为2018年度新邵县教育系统优秀党支部；</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2、2016年11月被评为2018年度湖南省中小学教师网络研修工作先进单位；</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3、2018年11月被评为新邵县文明卫生单位；</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4、2018年12月被评为新邵县2018年综治工作先进单位；</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5、2019年12月被评为新邵县2019年综治工作先进单位；</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6、2020年12月被评为新邵县2020年综治工作先进单位；</w:t>
      </w:r>
    </w:p>
    <w:p>
      <w:pPr>
        <w:widowControl/>
        <w:spacing w:line="585" w:lineRule="atLeast"/>
        <w:ind w:firstLine="480"/>
        <w:jc w:val="left"/>
        <w:rPr>
          <w:rFonts w:ascii="微软雅黑" w:hAnsi="微软雅黑" w:eastAsia="微软雅黑" w:cs="宋体"/>
          <w:color w:val="1E1E1E"/>
          <w:kern w:val="0"/>
          <w:sz w:val="23"/>
          <w:szCs w:val="23"/>
        </w:rPr>
      </w:pP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（二）、主要工作</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（一）教师培训</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1、 “送培下乡”，培训重心下移，提高培训实效。</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为推进教师培训方式的改革，从2020年4月下旬开始，先后在龙溪铺镇、大新乡、潭溪镇、迎光乡、潭府乡、太芝庙镇等6个镇乡中心校开展 “送培下乡”活动，共培训小学教师653人。这次培训改变了以往的培训模式，由先前的“请上来”改变为“走下去”，由以“我”为中心改变为以“教师”为中心。</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2、短期集中培训，名优专家高端引领。</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2020年，县教师进修学校先后举办了初中政治、历史、地理教师岗位培训、中小学校本研修管理者培训、中小学校安全教育骨干教师培训班、小学班主任培训、初中班主任培训、初中物理、化学、生物教师岗位培训、新招聘教师适应性培训，共七期，培训教师共计1537人。聘请吴亚滨、周险峰、邓水平等省、市知名专家、名优教师来我县讲学，通过专题讲座、课例观摩、现场演练等培训方式，增强了教师的岗位适应能力和教育教学技能。</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3、精心设置培训课程，认真遴选授课教师。</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在课程设置上，注重科学性和实用性。课程设置涉及了师德师风、教育理论等常规问题的思考和认识；涉及到当今教育的热点问题，结合学科教学的特点如高效课堂教学等，也强调教学相长、师生互动，安排了专业课程的教学、说课及评课等环节。</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为做好中小学教师培训工作，我校建立了中小学教师培训名师师资库，师资库成员有湖南师范大学、长沙教育学院等高校知名教授、省继续教育中心的专家、市县中小学教研员、中小学有名望的校长和有名气的一线骨干教师。我校每年都要组织师资库的名师进行研讨活动，组织一线骨干教师参加国培高级研修，有效保证培训教学质量地提高。</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4、不断创新培训模式，确实提高培训质量。</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为提高培训质量，我校对培训模式进行了积极探索和不断创新，彻底抛弃传统的“满堂灌”“一言堂”的讲座式培训模式，做到了“四结合”，理论学习与实践操作相结合，本地学习与外地学习相结合，以“点”带“面”相结合，面授与网络培训相结合。采用案例教学、师生互动、学员互动、教学反思，在培训中还穿插了经验交流、远程研修等内容。培训中先安排本地一线骨干教师的研讨课，然后是长沙名师的示范观摩课，最后是课程专家的精彩点评和理论归纳提升。</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5、严格培训过程管理，注重学员信息反馈。</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每次培训都按连片镇乡进行分班，每个班都安排一位班主任全程参与管理和服务，培训实行严格的学分制管理，实行严格的考勤制度。每期培训结束后，班主任与师训处一起对参培教师进行综合考评。考评内容包括出勤到课率、教学中的互动参与度和心得总结的质量。评选优秀学员的首要条件是出满勤、不迟到早退，凡被班主任记载的，评优一票否决。对每一期培训，班主任和师训处认真进行总结，撰写总结材料。</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（二）、学历提升</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立足于社会需求，与湖南师大、电大等高校联合办学，开设汉语言文学、数学与应用数学、英语、教育管理、行政管理、学前教育等十多个专业。2020年招生专、本科学员  120人，学历培训的教师队伍精良、教学管理严格、办学效果良好；2020年专、本科毕业生合格率居全市之首，赢得了联办高校的高度评价。</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（三）、其它工作：</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1、学校领导对创卫、创文工作十分重视，把创卫创文工作摆上了学校工作的重要议事日程，共投入资金10多万元。进行了认真、扎实、全面、有效的工作，取得良好的成效，被评为新邵县文明校园。</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2、重视和谐校园建设，注重教职工思想政治教育和法治教育，积极调处学校内部、学校与周边的各种关系。教师精神状态饱满，爱岗敬业，遵纪守法，学校被评为2020年度县综治工作先进单位。</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二、部门整体支出规模、使用方向和内容（金额：万元）</w:t>
      </w:r>
    </w:p>
    <w:p>
      <w:pPr>
        <w:shd w:val="clear" w:color="auto" w:fill="FFFFFF"/>
        <w:spacing w:line="600" w:lineRule="atLeast"/>
        <w:ind w:left="558" w:leftChars="225" w:hanging="86" w:hangingChars="27"/>
        <w:rPr>
          <w:rFonts w:ascii="Times New Roman" w:hAnsi="Times New Roman" w:eastAsia="宋体" w:cs="Times New Roman"/>
          <w:color w:val="1E1E1E"/>
          <w:kern w:val="0"/>
          <w:szCs w:val="21"/>
        </w:rPr>
      </w:pPr>
      <w:r>
        <w:rPr>
          <w:rFonts w:hint="eastAsia" w:ascii="仿宋" w:hAnsi="仿宋" w:eastAsia="仿宋" w:cs="Times New Roman"/>
          <w:b/>
          <w:bCs/>
          <w:color w:val="1E1E1E"/>
          <w:kern w:val="0"/>
          <w:sz w:val="32"/>
          <w:szCs w:val="32"/>
        </w:rPr>
        <w:t>。</w:t>
      </w:r>
    </w:p>
    <w:p>
      <w:pPr>
        <w:shd w:val="clear" w:color="auto" w:fill="FFFFFF"/>
        <w:spacing w:line="600" w:lineRule="atLeast"/>
        <w:ind w:firstLine="320" w:firstLineChars="100"/>
        <w:rPr>
          <w:rFonts w:ascii="Times New Roman" w:hAnsi="Times New Roman" w:eastAsia="宋体" w:cs="Times New Roman"/>
          <w:color w:val="1E1E1E"/>
          <w:kern w:val="0"/>
          <w:szCs w:val="21"/>
        </w:rPr>
      </w:pPr>
      <w:r>
        <w:rPr>
          <w:rFonts w:hint="eastAsia" w:ascii="仿宋" w:hAnsi="仿宋" w:eastAsia="仿宋" w:cs="Times New Roman"/>
          <w:color w:val="1E1E1E"/>
          <w:kern w:val="0"/>
          <w:sz w:val="32"/>
          <w:szCs w:val="32"/>
        </w:rPr>
        <w:t>（一）年度预算收支情况</w:t>
      </w:r>
    </w:p>
    <w:p>
      <w:pPr>
        <w:shd w:val="clear" w:color="auto" w:fill="FFFFFF"/>
        <w:spacing w:line="600" w:lineRule="atLeast"/>
        <w:ind w:firstLine="640" w:firstLineChars="200"/>
        <w:rPr>
          <w:rFonts w:ascii="Times New Roman" w:hAnsi="Times New Roman" w:eastAsia="宋体" w:cs="Times New Roman"/>
          <w:color w:val="1E1E1E"/>
          <w:kern w:val="0"/>
          <w:szCs w:val="21"/>
        </w:rPr>
      </w:pPr>
      <w:r>
        <w:rPr>
          <w:rFonts w:hint="eastAsia" w:ascii="仿宋" w:hAnsi="仿宋" w:eastAsia="仿宋" w:cs="Times New Roman"/>
          <w:color w:val="1E1E1E"/>
          <w:kern w:val="0"/>
          <w:sz w:val="32"/>
          <w:szCs w:val="32"/>
        </w:rPr>
        <w:t>1.年初预算收支</w:t>
      </w:r>
    </w:p>
    <w:tbl>
      <w:tblPr>
        <w:tblStyle w:val="6"/>
        <w:tblW w:w="8685" w:type="dxa"/>
        <w:tblInd w:w="0" w:type="dxa"/>
        <w:tblLayout w:type="fixed"/>
        <w:tblCellMar>
          <w:top w:w="0" w:type="dxa"/>
          <w:left w:w="0" w:type="dxa"/>
          <w:bottom w:w="0" w:type="dxa"/>
          <w:right w:w="0" w:type="dxa"/>
        </w:tblCellMar>
      </w:tblPr>
      <w:tblGrid>
        <w:gridCol w:w="2130"/>
        <w:gridCol w:w="1740"/>
        <w:gridCol w:w="1620"/>
        <w:gridCol w:w="1350"/>
        <w:gridCol w:w="1845"/>
      </w:tblGrid>
      <w:tr>
        <w:tblPrEx>
          <w:tblCellMar>
            <w:top w:w="0" w:type="dxa"/>
            <w:left w:w="0" w:type="dxa"/>
            <w:bottom w:w="0" w:type="dxa"/>
            <w:right w:w="0" w:type="dxa"/>
          </w:tblCellMar>
        </w:tblPrEx>
        <w:trPr>
          <w:trHeight w:val="330" w:hRule="atLeast"/>
        </w:trPr>
        <w:tc>
          <w:tcPr>
            <w:tcW w:w="2130" w:type="dxa"/>
            <w:vMerge w:val="restart"/>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预算项目</w:t>
            </w:r>
          </w:p>
        </w:tc>
        <w:tc>
          <w:tcPr>
            <w:tcW w:w="3360" w:type="dxa"/>
            <w:gridSpan w:val="2"/>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预算金额</w:t>
            </w:r>
          </w:p>
        </w:tc>
        <w:tc>
          <w:tcPr>
            <w:tcW w:w="3195" w:type="dxa"/>
            <w:gridSpan w:val="2"/>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较上年增</w:t>
            </w:r>
            <w:r>
              <w:rPr>
                <w:rFonts w:hint="eastAsia" w:ascii="宋体" w:hAnsi="宋体" w:eastAsia="宋体" w:cs="宋体"/>
                <w:kern w:val="0"/>
                <w:sz w:val="24"/>
                <w:szCs w:val="24"/>
              </w:rPr>
              <w:t>加金额</w:t>
            </w:r>
          </w:p>
        </w:tc>
      </w:tr>
      <w:tr>
        <w:tblPrEx>
          <w:tblCellMar>
            <w:top w:w="0" w:type="dxa"/>
            <w:left w:w="0" w:type="dxa"/>
            <w:bottom w:w="0" w:type="dxa"/>
            <w:right w:w="0" w:type="dxa"/>
          </w:tblCellMar>
        </w:tblPrEx>
        <w:trPr>
          <w:trHeight w:val="390" w:hRule="atLeast"/>
        </w:trPr>
        <w:tc>
          <w:tcPr>
            <w:tcW w:w="213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740" w:type="dxa"/>
            <w:tcBorders>
              <w:top w:val="nil"/>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20</w:t>
            </w:r>
            <w:r>
              <w:rPr>
                <w:rFonts w:hint="eastAsia" w:ascii="宋体" w:hAnsi="宋体" w:eastAsia="宋体" w:cs="宋体"/>
                <w:kern w:val="0"/>
                <w:sz w:val="24"/>
                <w:szCs w:val="24"/>
              </w:rPr>
              <w:t>20</w:t>
            </w:r>
            <w:r>
              <w:rPr>
                <w:rFonts w:ascii="宋体" w:hAnsi="宋体" w:eastAsia="宋体" w:cs="宋体"/>
                <w:kern w:val="0"/>
                <w:sz w:val="24"/>
                <w:szCs w:val="24"/>
              </w:rPr>
              <w:t>年</w:t>
            </w:r>
          </w:p>
        </w:tc>
        <w:tc>
          <w:tcPr>
            <w:tcW w:w="1620" w:type="dxa"/>
            <w:tcBorders>
              <w:top w:val="nil"/>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201</w:t>
            </w:r>
            <w:r>
              <w:rPr>
                <w:rFonts w:hint="eastAsia" w:ascii="宋体" w:hAnsi="宋体" w:eastAsia="宋体" w:cs="宋体"/>
                <w:kern w:val="0"/>
                <w:sz w:val="24"/>
                <w:szCs w:val="24"/>
              </w:rPr>
              <w:t>9</w:t>
            </w:r>
            <w:r>
              <w:rPr>
                <w:rFonts w:ascii="宋体" w:hAnsi="宋体" w:eastAsia="宋体" w:cs="宋体"/>
                <w:kern w:val="0"/>
                <w:sz w:val="24"/>
                <w:szCs w:val="24"/>
              </w:rPr>
              <w:t>年</w:t>
            </w:r>
          </w:p>
        </w:tc>
        <w:tc>
          <w:tcPr>
            <w:tcW w:w="1350" w:type="dxa"/>
            <w:tcBorders>
              <w:top w:val="nil"/>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金额</w:t>
            </w:r>
          </w:p>
        </w:tc>
        <w:tc>
          <w:tcPr>
            <w:tcW w:w="1845" w:type="dxa"/>
            <w:tcBorders>
              <w:top w:val="nil"/>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比例</w:t>
            </w: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收入预算</w:t>
            </w:r>
          </w:p>
        </w:tc>
        <w:tc>
          <w:tcPr>
            <w:tcW w:w="17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304.64</w:t>
            </w:r>
          </w:p>
        </w:tc>
        <w:tc>
          <w:tcPr>
            <w:tcW w:w="1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536.5</w:t>
            </w:r>
          </w:p>
        </w:tc>
        <w:tc>
          <w:tcPr>
            <w:tcW w:w="135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-231.86</w:t>
            </w: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-43.22%</w:t>
            </w: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其中：财政经费拨款</w:t>
            </w:r>
          </w:p>
        </w:tc>
        <w:tc>
          <w:tcPr>
            <w:tcW w:w="17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269.84</w:t>
            </w:r>
          </w:p>
        </w:tc>
        <w:tc>
          <w:tcPr>
            <w:tcW w:w="1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536.5</w:t>
            </w:r>
          </w:p>
        </w:tc>
        <w:tc>
          <w:tcPr>
            <w:tcW w:w="135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-266.66</w:t>
            </w: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-49.70%</w:t>
            </w: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支出预算</w:t>
            </w:r>
          </w:p>
        </w:tc>
        <w:tc>
          <w:tcPr>
            <w:tcW w:w="17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304.64</w:t>
            </w:r>
          </w:p>
        </w:tc>
        <w:tc>
          <w:tcPr>
            <w:tcW w:w="1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536.5</w:t>
            </w:r>
          </w:p>
        </w:tc>
        <w:tc>
          <w:tcPr>
            <w:tcW w:w="135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-231.86</w:t>
            </w: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-43.22%</w:t>
            </w: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其中：基本支出</w:t>
            </w:r>
          </w:p>
        </w:tc>
        <w:tc>
          <w:tcPr>
            <w:tcW w:w="17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304.64</w:t>
            </w:r>
          </w:p>
        </w:tc>
        <w:tc>
          <w:tcPr>
            <w:tcW w:w="1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536.5</w:t>
            </w:r>
          </w:p>
        </w:tc>
        <w:tc>
          <w:tcPr>
            <w:tcW w:w="135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-231.86</w:t>
            </w: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-43.22%</w:t>
            </w:r>
          </w:p>
        </w:tc>
      </w:tr>
      <w:tr>
        <w:tblPrEx>
          <w:tblCellMar>
            <w:top w:w="0" w:type="dxa"/>
            <w:left w:w="0" w:type="dxa"/>
            <w:bottom w:w="0" w:type="dxa"/>
            <w:right w:w="0" w:type="dxa"/>
          </w:tblCellMar>
        </w:tblPrEx>
        <w:trPr>
          <w:trHeight w:val="510" w:hRule="atLeast"/>
        </w:trPr>
        <w:tc>
          <w:tcPr>
            <w:tcW w:w="213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其中：项目支出</w:t>
            </w:r>
          </w:p>
        </w:tc>
        <w:tc>
          <w:tcPr>
            <w:tcW w:w="17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5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0" w:hRule="atLeast"/>
        </w:trPr>
        <w:tc>
          <w:tcPr>
            <w:tcW w:w="2130" w:type="dxa"/>
            <w:tcBorders>
              <w:top w:val="nil"/>
              <w:left w:val="single" w:color="auto" w:sz="6" w:space="0"/>
              <w:bottom w:val="nil"/>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6"/>
                <w:szCs w:val="24"/>
              </w:rPr>
            </w:pPr>
          </w:p>
        </w:tc>
        <w:tc>
          <w:tcPr>
            <w:tcW w:w="1740" w:type="dxa"/>
            <w:tcBorders>
              <w:top w:val="nil"/>
              <w:left w:val="nil"/>
              <w:bottom w:val="nil"/>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6"/>
                <w:szCs w:val="24"/>
              </w:rPr>
            </w:pPr>
          </w:p>
        </w:tc>
        <w:tc>
          <w:tcPr>
            <w:tcW w:w="1620" w:type="dxa"/>
            <w:tcBorders>
              <w:top w:val="nil"/>
              <w:left w:val="nil"/>
              <w:bottom w:val="nil"/>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6"/>
                <w:szCs w:val="24"/>
              </w:rPr>
            </w:pPr>
          </w:p>
        </w:tc>
        <w:tc>
          <w:tcPr>
            <w:tcW w:w="1350" w:type="dxa"/>
            <w:tcBorders>
              <w:top w:val="nil"/>
              <w:left w:val="nil"/>
              <w:bottom w:val="nil"/>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6"/>
                <w:szCs w:val="24"/>
              </w:rPr>
            </w:pPr>
          </w:p>
        </w:tc>
        <w:tc>
          <w:tcPr>
            <w:tcW w:w="1845" w:type="dxa"/>
            <w:tcBorders>
              <w:top w:val="nil"/>
              <w:left w:val="nil"/>
              <w:bottom w:val="nil"/>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6"/>
                <w:szCs w:val="24"/>
              </w:rPr>
            </w:pPr>
          </w:p>
        </w:tc>
      </w:tr>
      <w:tr>
        <w:tblPrEx>
          <w:tblCellMar>
            <w:top w:w="0" w:type="dxa"/>
            <w:left w:w="0" w:type="dxa"/>
            <w:bottom w:w="0" w:type="dxa"/>
            <w:right w:w="0" w:type="dxa"/>
          </w:tblCellMar>
        </w:tblPrEx>
        <w:trPr>
          <w:trHeight w:val="135" w:hRule="atLeast"/>
        </w:trPr>
        <w:tc>
          <w:tcPr>
            <w:tcW w:w="213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14"/>
                <w:szCs w:val="24"/>
              </w:rPr>
            </w:pPr>
          </w:p>
        </w:tc>
        <w:tc>
          <w:tcPr>
            <w:tcW w:w="17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14"/>
                <w:szCs w:val="24"/>
              </w:rPr>
            </w:pPr>
          </w:p>
        </w:tc>
        <w:tc>
          <w:tcPr>
            <w:tcW w:w="16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14"/>
                <w:szCs w:val="24"/>
              </w:rPr>
            </w:pPr>
          </w:p>
        </w:tc>
        <w:tc>
          <w:tcPr>
            <w:tcW w:w="135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14"/>
                <w:szCs w:val="24"/>
              </w:rPr>
            </w:pP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14"/>
                <w:szCs w:val="24"/>
              </w:rPr>
            </w:pPr>
          </w:p>
        </w:tc>
      </w:tr>
    </w:tbl>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2020年和2019年财政投入变化不大，由于2020年相比2019年一些预算口径也发生较大变化，因此出现2020年数据比2019年有较大变化。</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2.财政预算整体支出使用范围、方向和内容</w:t>
      </w:r>
    </w:p>
    <w:tbl>
      <w:tblPr>
        <w:tblStyle w:val="6"/>
        <w:tblW w:w="8236" w:type="dxa"/>
        <w:tblInd w:w="0" w:type="dxa"/>
        <w:tblLayout w:type="fixed"/>
        <w:tblCellMar>
          <w:top w:w="0" w:type="dxa"/>
          <w:left w:w="0" w:type="dxa"/>
          <w:bottom w:w="0" w:type="dxa"/>
          <w:right w:w="0" w:type="dxa"/>
        </w:tblCellMar>
      </w:tblPr>
      <w:tblGrid>
        <w:gridCol w:w="2852"/>
        <w:gridCol w:w="1751"/>
        <w:gridCol w:w="1845"/>
        <w:gridCol w:w="1788"/>
      </w:tblGrid>
      <w:tr>
        <w:tblPrEx>
          <w:tblCellMar>
            <w:top w:w="0" w:type="dxa"/>
            <w:left w:w="0" w:type="dxa"/>
            <w:bottom w:w="0" w:type="dxa"/>
            <w:right w:w="0" w:type="dxa"/>
          </w:tblCellMar>
        </w:tblPrEx>
        <w:trPr>
          <w:trHeight w:val="489" w:hRule="atLeast"/>
        </w:trPr>
        <w:tc>
          <w:tcPr>
            <w:tcW w:w="2852" w:type="dxa"/>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支出项目</w:t>
            </w:r>
          </w:p>
        </w:tc>
        <w:tc>
          <w:tcPr>
            <w:tcW w:w="1751"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基本支出</w:t>
            </w:r>
          </w:p>
        </w:tc>
        <w:tc>
          <w:tcPr>
            <w:tcW w:w="1845"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项目支出</w:t>
            </w:r>
          </w:p>
        </w:tc>
        <w:tc>
          <w:tcPr>
            <w:tcW w:w="1788"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合计</w:t>
            </w:r>
          </w:p>
        </w:tc>
      </w:tr>
      <w:tr>
        <w:tblPrEx>
          <w:tblCellMar>
            <w:top w:w="0" w:type="dxa"/>
            <w:left w:w="0" w:type="dxa"/>
            <w:bottom w:w="0" w:type="dxa"/>
            <w:right w:w="0" w:type="dxa"/>
          </w:tblCellMar>
        </w:tblPrEx>
        <w:trPr>
          <w:trHeight w:val="435" w:hRule="atLeast"/>
        </w:trPr>
        <w:tc>
          <w:tcPr>
            <w:tcW w:w="28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工资福利支出</w:t>
            </w:r>
          </w:p>
        </w:tc>
        <w:tc>
          <w:tcPr>
            <w:tcW w:w="17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268.36</w:t>
            </w: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268.36</w:t>
            </w:r>
          </w:p>
        </w:tc>
      </w:tr>
      <w:tr>
        <w:tblPrEx>
          <w:tblCellMar>
            <w:top w:w="0" w:type="dxa"/>
            <w:left w:w="0" w:type="dxa"/>
            <w:bottom w:w="0" w:type="dxa"/>
            <w:right w:w="0" w:type="dxa"/>
          </w:tblCellMar>
        </w:tblPrEx>
        <w:trPr>
          <w:trHeight w:val="435" w:hRule="atLeast"/>
        </w:trPr>
        <w:tc>
          <w:tcPr>
            <w:tcW w:w="28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商品和服务支出</w:t>
            </w:r>
          </w:p>
        </w:tc>
        <w:tc>
          <w:tcPr>
            <w:tcW w:w="17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34.8</w:t>
            </w: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34.8</w:t>
            </w:r>
          </w:p>
        </w:tc>
      </w:tr>
      <w:tr>
        <w:tblPrEx>
          <w:tblCellMar>
            <w:top w:w="0" w:type="dxa"/>
            <w:left w:w="0" w:type="dxa"/>
            <w:bottom w:w="0" w:type="dxa"/>
            <w:right w:w="0" w:type="dxa"/>
          </w:tblCellMar>
        </w:tblPrEx>
        <w:trPr>
          <w:trHeight w:val="435" w:hRule="atLeast"/>
        </w:trPr>
        <w:tc>
          <w:tcPr>
            <w:tcW w:w="28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对个人和家庭的补助</w:t>
            </w:r>
          </w:p>
        </w:tc>
        <w:tc>
          <w:tcPr>
            <w:tcW w:w="17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1.48</w:t>
            </w: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1.48</w:t>
            </w:r>
          </w:p>
        </w:tc>
      </w:tr>
      <w:tr>
        <w:tblPrEx>
          <w:tblCellMar>
            <w:top w:w="0" w:type="dxa"/>
            <w:left w:w="0" w:type="dxa"/>
            <w:bottom w:w="0" w:type="dxa"/>
            <w:right w:w="0" w:type="dxa"/>
          </w:tblCellMar>
        </w:tblPrEx>
        <w:trPr>
          <w:trHeight w:val="435" w:hRule="atLeast"/>
        </w:trPr>
        <w:tc>
          <w:tcPr>
            <w:tcW w:w="28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5" w:hRule="atLeast"/>
        </w:trPr>
        <w:tc>
          <w:tcPr>
            <w:tcW w:w="2852" w:type="dxa"/>
            <w:tcBorders>
              <w:top w:val="nil"/>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合 计</w:t>
            </w:r>
          </w:p>
        </w:tc>
        <w:tc>
          <w:tcPr>
            <w:tcW w:w="1751" w:type="dxa"/>
            <w:tcBorders>
              <w:top w:val="nil"/>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304.64</w:t>
            </w:r>
          </w:p>
        </w:tc>
        <w:tc>
          <w:tcPr>
            <w:tcW w:w="1845" w:type="dxa"/>
            <w:tcBorders>
              <w:top w:val="nil"/>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88" w:type="dxa"/>
            <w:tcBorders>
              <w:top w:val="nil"/>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304.64</w:t>
            </w:r>
          </w:p>
        </w:tc>
      </w:tr>
    </w:tbl>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（二）年度收支决算情况</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1.年度收入决算</w:t>
      </w:r>
    </w:p>
    <w:tbl>
      <w:tblPr>
        <w:tblStyle w:val="6"/>
        <w:tblW w:w="8260" w:type="dxa"/>
        <w:tblInd w:w="0" w:type="dxa"/>
        <w:tblLayout w:type="fixed"/>
        <w:tblCellMar>
          <w:top w:w="0" w:type="dxa"/>
          <w:left w:w="0" w:type="dxa"/>
          <w:bottom w:w="0" w:type="dxa"/>
          <w:right w:w="0" w:type="dxa"/>
        </w:tblCellMar>
      </w:tblPr>
      <w:tblGrid>
        <w:gridCol w:w="2332"/>
        <w:gridCol w:w="1824"/>
        <w:gridCol w:w="2016"/>
        <w:gridCol w:w="2088"/>
      </w:tblGrid>
      <w:tr>
        <w:tblPrEx>
          <w:tblCellMar>
            <w:top w:w="0" w:type="dxa"/>
            <w:left w:w="0" w:type="dxa"/>
            <w:bottom w:w="0" w:type="dxa"/>
            <w:right w:w="0" w:type="dxa"/>
          </w:tblCellMar>
        </w:tblPrEx>
        <w:trPr>
          <w:trHeight w:val="570" w:hRule="atLeast"/>
        </w:trPr>
        <w:tc>
          <w:tcPr>
            <w:tcW w:w="2332" w:type="dxa"/>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收入来源</w:t>
            </w:r>
          </w:p>
        </w:tc>
        <w:tc>
          <w:tcPr>
            <w:tcW w:w="1824"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center"/>
              <w:rPr>
                <w:rFonts w:ascii="宋体" w:hAnsi="宋体" w:eastAsia="宋体" w:cs="宋体"/>
                <w:kern w:val="0"/>
                <w:sz w:val="24"/>
                <w:szCs w:val="24"/>
              </w:rPr>
            </w:pPr>
            <w:r>
              <w:rPr>
                <w:rFonts w:ascii="宋体" w:hAnsi="宋体" w:eastAsia="宋体" w:cs="宋体"/>
                <w:kern w:val="0"/>
                <w:sz w:val="24"/>
                <w:szCs w:val="24"/>
              </w:rPr>
              <w:t>预算金额</w:t>
            </w:r>
          </w:p>
        </w:tc>
        <w:tc>
          <w:tcPr>
            <w:tcW w:w="2016"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center"/>
              <w:rPr>
                <w:rFonts w:ascii="宋体" w:hAnsi="宋体" w:eastAsia="宋体" w:cs="宋体"/>
                <w:kern w:val="0"/>
                <w:sz w:val="24"/>
                <w:szCs w:val="24"/>
              </w:rPr>
            </w:pPr>
            <w:r>
              <w:rPr>
                <w:rFonts w:ascii="宋体" w:hAnsi="宋体" w:eastAsia="宋体" w:cs="宋体"/>
                <w:kern w:val="0"/>
                <w:sz w:val="24"/>
                <w:szCs w:val="24"/>
              </w:rPr>
              <w:t>决算金额</w:t>
            </w:r>
          </w:p>
        </w:tc>
        <w:tc>
          <w:tcPr>
            <w:tcW w:w="2088"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center"/>
              <w:rPr>
                <w:rFonts w:ascii="宋体" w:hAnsi="宋体" w:eastAsia="宋体" w:cs="宋体"/>
                <w:kern w:val="0"/>
                <w:sz w:val="24"/>
                <w:szCs w:val="24"/>
              </w:rPr>
            </w:pPr>
            <w:r>
              <w:rPr>
                <w:rFonts w:ascii="宋体" w:hAnsi="宋体" w:eastAsia="宋体" w:cs="宋体"/>
                <w:kern w:val="0"/>
                <w:sz w:val="24"/>
                <w:szCs w:val="24"/>
              </w:rPr>
              <w:t>差额</w:t>
            </w:r>
          </w:p>
        </w:tc>
      </w:tr>
      <w:tr>
        <w:tblPrEx>
          <w:tblCellMar>
            <w:top w:w="0" w:type="dxa"/>
            <w:left w:w="0" w:type="dxa"/>
            <w:bottom w:w="0" w:type="dxa"/>
            <w:right w:w="0" w:type="dxa"/>
          </w:tblCellMar>
        </w:tblPrEx>
        <w:trPr>
          <w:trHeight w:val="600" w:hRule="atLeast"/>
        </w:trPr>
        <w:tc>
          <w:tcPr>
            <w:tcW w:w="23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财政拨款收入</w:t>
            </w:r>
          </w:p>
        </w:tc>
        <w:tc>
          <w:tcPr>
            <w:tcW w:w="18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center"/>
              <w:rPr>
                <w:rFonts w:ascii="宋体" w:hAnsi="宋体" w:eastAsia="宋体" w:cs="宋体"/>
                <w:kern w:val="0"/>
                <w:sz w:val="24"/>
                <w:szCs w:val="24"/>
              </w:rPr>
            </w:pPr>
            <w:r>
              <w:rPr>
                <w:rFonts w:hint="eastAsia" w:ascii="宋体" w:hAnsi="宋体" w:eastAsia="宋体" w:cs="宋体"/>
                <w:kern w:val="0"/>
                <w:sz w:val="24"/>
                <w:szCs w:val="24"/>
              </w:rPr>
              <w:t>269.84</w:t>
            </w:r>
          </w:p>
        </w:tc>
        <w:tc>
          <w:tcPr>
            <w:tcW w:w="20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center"/>
              <w:rPr>
                <w:rFonts w:ascii="宋体" w:hAnsi="宋体" w:eastAsia="宋体" w:cs="宋体"/>
                <w:kern w:val="0"/>
                <w:sz w:val="24"/>
                <w:szCs w:val="24"/>
              </w:rPr>
            </w:pPr>
            <w:r>
              <w:rPr>
                <w:rFonts w:hint="eastAsia" w:ascii="宋体" w:hAnsi="宋体" w:eastAsia="宋体" w:cs="宋体"/>
                <w:kern w:val="0"/>
                <w:sz w:val="24"/>
                <w:szCs w:val="24"/>
              </w:rPr>
              <w:t>666.48</w:t>
            </w:r>
          </w:p>
        </w:tc>
        <w:tc>
          <w:tcPr>
            <w:tcW w:w="20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-396.64</w:t>
            </w:r>
          </w:p>
        </w:tc>
      </w:tr>
      <w:tr>
        <w:tblPrEx>
          <w:tblCellMar>
            <w:top w:w="0" w:type="dxa"/>
            <w:left w:w="0" w:type="dxa"/>
            <w:bottom w:w="0" w:type="dxa"/>
            <w:right w:w="0" w:type="dxa"/>
          </w:tblCellMar>
        </w:tblPrEx>
        <w:trPr>
          <w:trHeight w:val="600" w:hRule="atLeast"/>
        </w:trPr>
        <w:tc>
          <w:tcPr>
            <w:tcW w:w="233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小计</w:t>
            </w:r>
          </w:p>
        </w:tc>
        <w:tc>
          <w:tcPr>
            <w:tcW w:w="18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center"/>
              <w:rPr>
                <w:rFonts w:ascii="宋体" w:hAnsi="宋体" w:eastAsia="宋体" w:cs="宋体"/>
                <w:kern w:val="0"/>
                <w:sz w:val="24"/>
                <w:szCs w:val="24"/>
              </w:rPr>
            </w:pPr>
            <w:r>
              <w:rPr>
                <w:rFonts w:hint="eastAsia" w:ascii="宋体" w:hAnsi="宋体" w:eastAsia="宋体" w:cs="宋体"/>
                <w:kern w:val="0"/>
                <w:sz w:val="24"/>
                <w:szCs w:val="24"/>
              </w:rPr>
              <w:t>269.84</w:t>
            </w:r>
          </w:p>
        </w:tc>
        <w:tc>
          <w:tcPr>
            <w:tcW w:w="20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center"/>
              <w:rPr>
                <w:rFonts w:ascii="宋体" w:hAnsi="宋体" w:eastAsia="宋体" w:cs="宋体"/>
                <w:kern w:val="0"/>
                <w:sz w:val="24"/>
                <w:szCs w:val="24"/>
              </w:rPr>
            </w:pPr>
            <w:r>
              <w:rPr>
                <w:rFonts w:hint="eastAsia" w:ascii="宋体" w:hAnsi="宋体" w:eastAsia="宋体" w:cs="宋体"/>
                <w:kern w:val="0"/>
                <w:sz w:val="24"/>
                <w:szCs w:val="24"/>
              </w:rPr>
              <w:t>666.48</w:t>
            </w:r>
          </w:p>
        </w:tc>
        <w:tc>
          <w:tcPr>
            <w:tcW w:w="20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-396.64</w:t>
            </w:r>
          </w:p>
        </w:tc>
      </w:tr>
    </w:tbl>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差额是由于培训经费在教育局预算引起的</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2.年度预算支出决算及结余</w:t>
      </w:r>
    </w:p>
    <w:tbl>
      <w:tblPr>
        <w:tblStyle w:val="6"/>
        <w:tblW w:w="7950" w:type="dxa"/>
        <w:tblInd w:w="0" w:type="dxa"/>
        <w:tblLayout w:type="fixed"/>
        <w:tblCellMar>
          <w:top w:w="0" w:type="dxa"/>
          <w:left w:w="0" w:type="dxa"/>
          <w:bottom w:w="0" w:type="dxa"/>
          <w:right w:w="0" w:type="dxa"/>
        </w:tblCellMar>
      </w:tblPr>
      <w:tblGrid>
        <w:gridCol w:w="1798"/>
        <w:gridCol w:w="2236"/>
        <w:gridCol w:w="1966"/>
        <w:gridCol w:w="1950"/>
      </w:tblGrid>
      <w:tr>
        <w:tblPrEx>
          <w:tblCellMar>
            <w:top w:w="0" w:type="dxa"/>
            <w:left w:w="0" w:type="dxa"/>
            <w:bottom w:w="0" w:type="dxa"/>
            <w:right w:w="0" w:type="dxa"/>
          </w:tblCellMar>
        </w:tblPrEx>
        <w:trPr>
          <w:trHeight w:val="510" w:hRule="atLeast"/>
        </w:trPr>
        <w:tc>
          <w:tcPr>
            <w:tcW w:w="1798"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预算支出类别</w:t>
            </w:r>
          </w:p>
        </w:tc>
        <w:tc>
          <w:tcPr>
            <w:tcW w:w="2236"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预算金额</w:t>
            </w:r>
          </w:p>
        </w:tc>
        <w:tc>
          <w:tcPr>
            <w:tcW w:w="1966"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决算金额</w:t>
            </w:r>
          </w:p>
        </w:tc>
        <w:tc>
          <w:tcPr>
            <w:tcW w:w="195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增减金额</w:t>
            </w:r>
          </w:p>
        </w:tc>
      </w:tr>
      <w:tr>
        <w:tblPrEx>
          <w:tblCellMar>
            <w:top w:w="0" w:type="dxa"/>
            <w:left w:w="0" w:type="dxa"/>
            <w:bottom w:w="0" w:type="dxa"/>
            <w:right w:w="0" w:type="dxa"/>
          </w:tblCellMar>
        </w:tblPrEx>
        <w:trPr>
          <w:trHeight w:val="525" w:hRule="atLeast"/>
        </w:trPr>
        <w:tc>
          <w:tcPr>
            <w:tcW w:w="1798"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基本支出</w:t>
            </w:r>
          </w:p>
        </w:tc>
        <w:tc>
          <w:tcPr>
            <w:tcW w:w="2236" w:type="dxa"/>
            <w:tcBorders>
              <w:top w:val="nil"/>
              <w:left w:val="nil"/>
              <w:bottom w:val="single" w:color="000000" w:sz="6" w:space="0"/>
              <w:right w:val="single" w:color="000000" w:sz="6" w:space="0"/>
            </w:tcBorders>
            <w:tcMar>
              <w:top w:w="15" w:type="dxa"/>
              <w:left w:w="15" w:type="dxa"/>
              <w:bottom w:w="15" w:type="dxa"/>
              <w:right w:w="15" w:type="dxa"/>
            </w:tcMar>
          </w:tcPr>
          <w:p>
            <w:r>
              <w:rPr>
                <w:rFonts w:hint="eastAsia"/>
              </w:rPr>
              <w:t>304.64</w:t>
            </w:r>
          </w:p>
        </w:tc>
        <w:tc>
          <w:tcPr>
            <w:tcW w:w="1966" w:type="dxa"/>
            <w:tcBorders>
              <w:top w:val="nil"/>
              <w:left w:val="nil"/>
              <w:bottom w:val="single" w:color="000000" w:sz="6" w:space="0"/>
              <w:right w:val="single" w:color="000000" w:sz="6" w:space="0"/>
            </w:tcBorders>
            <w:tcMar>
              <w:top w:w="15" w:type="dxa"/>
              <w:left w:w="15" w:type="dxa"/>
              <w:bottom w:w="15" w:type="dxa"/>
              <w:right w:w="15" w:type="dxa"/>
            </w:tcMar>
          </w:tcPr>
          <w:p>
            <w:r>
              <w:t>666.48</w:t>
            </w:r>
          </w:p>
        </w:tc>
        <w:tc>
          <w:tcPr>
            <w:tcW w:w="1950" w:type="dxa"/>
            <w:tcBorders>
              <w:top w:val="nil"/>
              <w:left w:val="nil"/>
              <w:bottom w:val="single" w:color="000000" w:sz="6" w:space="0"/>
              <w:right w:val="single" w:color="000000" w:sz="6" w:space="0"/>
            </w:tcBorders>
            <w:tcMar>
              <w:top w:w="15" w:type="dxa"/>
              <w:left w:w="15" w:type="dxa"/>
              <w:bottom w:w="15" w:type="dxa"/>
              <w:right w:w="15" w:type="dxa"/>
            </w:tcMar>
          </w:tcPr>
          <w:p>
            <w:r>
              <w:t>-</w:t>
            </w:r>
            <w:r>
              <w:rPr>
                <w:rFonts w:hint="eastAsia"/>
              </w:rPr>
              <w:t>361.84</w:t>
            </w:r>
          </w:p>
        </w:tc>
      </w:tr>
      <w:tr>
        <w:tblPrEx>
          <w:tblCellMar>
            <w:top w:w="0" w:type="dxa"/>
            <w:left w:w="0" w:type="dxa"/>
            <w:bottom w:w="0" w:type="dxa"/>
            <w:right w:w="0" w:type="dxa"/>
          </w:tblCellMar>
        </w:tblPrEx>
        <w:trPr>
          <w:trHeight w:val="525" w:hRule="atLeast"/>
        </w:trPr>
        <w:tc>
          <w:tcPr>
            <w:tcW w:w="1798"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项目支出</w:t>
            </w:r>
          </w:p>
        </w:tc>
        <w:tc>
          <w:tcPr>
            <w:tcW w:w="223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96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95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525" w:hRule="atLeast"/>
        </w:trPr>
        <w:tc>
          <w:tcPr>
            <w:tcW w:w="1798"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jc w:val="left"/>
              <w:rPr>
                <w:rFonts w:ascii="宋体" w:hAnsi="宋体" w:eastAsia="宋体" w:cs="宋体"/>
                <w:kern w:val="0"/>
                <w:sz w:val="24"/>
                <w:szCs w:val="24"/>
              </w:rPr>
            </w:pPr>
          </w:p>
        </w:tc>
        <w:tc>
          <w:tcPr>
            <w:tcW w:w="223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96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95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64" w:hRule="atLeast"/>
        </w:trPr>
        <w:tc>
          <w:tcPr>
            <w:tcW w:w="1798"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小计</w:t>
            </w:r>
          </w:p>
        </w:tc>
        <w:tc>
          <w:tcPr>
            <w:tcW w:w="2236"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tcPr>
          <w:p>
            <w:r>
              <w:t>304.64</w:t>
            </w:r>
          </w:p>
        </w:tc>
        <w:tc>
          <w:tcPr>
            <w:tcW w:w="1966"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tcPr>
          <w:p>
            <w:r>
              <w:t>666.48</w:t>
            </w:r>
          </w:p>
        </w:tc>
        <w:tc>
          <w:tcPr>
            <w:tcW w:w="195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tcPr>
          <w:p>
            <w:r>
              <w:t>-361.84</w:t>
            </w:r>
          </w:p>
        </w:tc>
      </w:tr>
    </w:tbl>
    <w:p>
      <w:pPr>
        <w:widowControl/>
        <w:spacing w:line="585" w:lineRule="atLeast"/>
        <w:ind w:firstLine="480"/>
        <w:jc w:val="left"/>
        <w:rPr>
          <w:rFonts w:ascii="微软雅黑" w:hAnsi="微软雅黑" w:eastAsia="微软雅黑" w:cs="宋体"/>
          <w:color w:val="1E1E1E"/>
          <w:kern w:val="0"/>
          <w:sz w:val="22"/>
        </w:rPr>
      </w:pPr>
      <w:r>
        <w:rPr>
          <w:rFonts w:hint="eastAsia" w:ascii="微软雅黑" w:hAnsi="微软雅黑" w:eastAsia="微软雅黑" w:cs="宋体"/>
          <w:color w:val="1E1E1E"/>
          <w:kern w:val="0"/>
          <w:sz w:val="24"/>
          <w:szCs w:val="24"/>
        </w:rPr>
        <w:t>差额是由于预算口径与决算口径不同引起的。</w:t>
      </w:r>
    </w:p>
    <w:p>
      <w:pPr>
        <w:widowControl/>
        <w:spacing w:line="585" w:lineRule="atLeast"/>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三、部门整体支出管理及使用情况</w:t>
      </w:r>
    </w:p>
    <w:p>
      <w:pPr>
        <w:widowControl/>
        <w:spacing w:line="585" w:lineRule="atLeast"/>
        <w:ind w:firstLine="480"/>
        <w:jc w:val="left"/>
        <w:outlineLvl w:val="1"/>
        <w:rPr>
          <w:rFonts w:ascii="微软雅黑" w:hAnsi="微软雅黑" w:eastAsia="微软雅黑" w:cs="宋体"/>
          <w:b/>
          <w:bCs/>
          <w:color w:val="1E1E1E"/>
          <w:kern w:val="0"/>
          <w:sz w:val="36"/>
          <w:szCs w:val="36"/>
        </w:rPr>
      </w:pPr>
      <w:r>
        <w:rPr>
          <w:rFonts w:hint="eastAsia" w:ascii="微软雅黑" w:hAnsi="微软雅黑" w:eastAsia="微软雅黑" w:cs="宋体"/>
          <w:b/>
          <w:bCs/>
          <w:color w:val="1E1E1E"/>
          <w:kern w:val="0"/>
          <w:sz w:val="36"/>
          <w:szCs w:val="36"/>
        </w:rPr>
        <w:t>（一）基本支出管理</w:t>
      </w:r>
    </w:p>
    <w:p>
      <w:pPr>
        <w:widowControl/>
        <w:spacing w:line="585" w:lineRule="atLeast"/>
        <w:ind w:firstLine="480"/>
        <w:jc w:val="left"/>
        <w:outlineLvl w:val="2"/>
        <w:rPr>
          <w:rFonts w:ascii="微软雅黑" w:hAnsi="微软雅黑" w:eastAsia="微软雅黑" w:cs="宋体"/>
          <w:b/>
          <w:bCs/>
          <w:color w:val="1E1E1E"/>
          <w:kern w:val="0"/>
          <w:sz w:val="27"/>
          <w:szCs w:val="27"/>
        </w:rPr>
      </w:pPr>
      <w:r>
        <w:rPr>
          <w:rFonts w:hint="eastAsia" w:ascii="微软雅黑" w:hAnsi="微软雅黑" w:eastAsia="微软雅黑" w:cs="宋体"/>
          <w:b/>
          <w:bCs/>
          <w:color w:val="1E1E1E"/>
          <w:kern w:val="0"/>
          <w:sz w:val="27"/>
          <w:szCs w:val="27"/>
        </w:rPr>
        <w:t>1、基本支出总额使用和管理</w:t>
      </w:r>
    </w:p>
    <w:tbl>
      <w:tblPr>
        <w:tblStyle w:val="6"/>
        <w:tblW w:w="8100" w:type="dxa"/>
        <w:tblInd w:w="0" w:type="dxa"/>
        <w:tblLayout w:type="fixed"/>
        <w:tblCellMar>
          <w:top w:w="0" w:type="dxa"/>
          <w:left w:w="0" w:type="dxa"/>
          <w:bottom w:w="0" w:type="dxa"/>
          <w:right w:w="0" w:type="dxa"/>
        </w:tblCellMar>
      </w:tblPr>
      <w:tblGrid>
        <w:gridCol w:w="2385"/>
        <w:gridCol w:w="1665"/>
        <w:gridCol w:w="1990"/>
        <w:gridCol w:w="2060"/>
      </w:tblGrid>
      <w:tr>
        <w:tblPrEx>
          <w:tblCellMar>
            <w:top w:w="0" w:type="dxa"/>
            <w:left w:w="0" w:type="dxa"/>
            <w:bottom w:w="0" w:type="dxa"/>
            <w:right w:w="0" w:type="dxa"/>
          </w:tblCellMar>
        </w:tblPrEx>
        <w:trPr>
          <w:trHeight w:val="405" w:hRule="atLeast"/>
        </w:trPr>
        <w:tc>
          <w:tcPr>
            <w:tcW w:w="2385" w:type="dxa"/>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预决算支出项目</w:t>
            </w:r>
          </w:p>
        </w:tc>
        <w:tc>
          <w:tcPr>
            <w:tcW w:w="1665"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预算金额</w:t>
            </w:r>
          </w:p>
        </w:tc>
        <w:tc>
          <w:tcPr>
            <w:tcW w:w="1990"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决算金额</w:t>
            </w:r>
          </w:p>
        </w:tc>
        <w:tc>
          <w:tcPr>
            <w:tcW w:w="2060"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节约/超支金额</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工资福利支出</w:t>
            </w:r>
          </w:p>
        </w:tc>
        <w:tc>
          <w:tcPr>
            <w:tcW w:w="1665" w:type="dxa"/>
            <w:tcBorders>
              <w:top w:val="nil"/>
              <w:left w:val="nil"/>
              <w:bottom w:val="single" w:color="auto" w:sz="6" w:space="0"/>
              <w:right w:val="single" w:color="auto" w:sz="6" w:space="0"/>
            </w:tcBorders>
            <w:tcMar>
              <w:top w:w="0" w:type="dxa"/>
              <w:left w:w="105" w:type="dxa"/>
              <w:bottom w:w="0" w:type="dxa"/>
              <w:right w:w="105" w:type="dxa"/>
            </w:tcMar>
          </w:tcPr>
          <w:p>
            <w:r>
              <w:t>268.36</w:t>
            </w:r>
          </w:p>
        </w:tc>
        <w:tc>
          <w:tcPr>
            <w:tcW w:w="19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381.53</w:t>
            </w:r>
          </w:p>
        </w:tc>
        <w:tc>
          <w:tcPr>
            <w:tcW w:w="20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-113.17</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商品和服务支出</w:t>
            </w:r>
          </w:p>
        </w:tc>
        <w:tc>
          <w:tcPr>
            <w:tcW w:w="1665" w:type="dxa"/>
            <w:tcBorders>
              <w:top w:val="nil"/>
              <w:left w:val="nil"/>
              <w:bottom w:val="single" w:color="auto" w:sz="6" w:space="0"/>
              <w:right w:val="single" w:color="auto" w:sz="6" w:space="0"/>
            </w:tcBorders>
            <w:tcMar>
              <w:top w:w="0" w:type="dxa"/>
              <w:left w:w="105" w:type="dxa"/>
              <w:bottom w:w="0" w:type="dxa"/>
              <w:right w:w="105" w:type="dxa"/>
            </w:tcMar>
          </w:tcPr>
          <w:p>
            <w:r>
              <w:t>34.8</w:t>
            </w:r>
          </w:p>
        </w:tc>
        <w:tc>
          <w:tcPr>
            <w:tcW w:w="19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259.77</w:t>
            </w:r>
          </w:p>
        </w:tc>
        <w:tc>
          <w:tcPr>
            <w:tcW w:w="20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-224.97</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对个人和家庭的补助</w:t>
            </w:r>
          </w:p>
        </w:tc>
        <w:tc>
          <w:tcPr>
            <w:tcW w:w="1665" w:type="dxa"/>
            <w:tcBorders>
              <w:top w:val="nil"/>
              <w:left w:val="nil"/>
              <w:bottom w:val="single" w:color="auto" w:sz="6" w:space="0"/>
              <w:right w:val="single" w:color="auto" w:sz="6" w:space="0"/>
            </w:tcBorders>
            <w:tcMar>
              <w:top w:w="0" w:type="dxa"/>
              <w:left w:w="105" w:type="dxa"/>
              <w:bottom w:w="0" w:type="dxa"/>
              <w:right w:w="105" w:type="dxa"/>
            </w:tcMar>
          </w:tcPr>
          <w:p>
            <w:r>
              <w:t>1.48</w:t>
            </w:r>
          </w:p>
        </w:tc>
        <w:tc>
          <w:tcPr>
            <w:tcW w:w="19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25.17</w:t>
            </w:r>
          </w:p>
        </w:tc>
        <w:tc>
          <w:tcPr>
            <w:tcW w:w="20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-23.69</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6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9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20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95" w:hRule="atLeast"/>
        </w:trPr>
        <w:tc>
          <w:tcPr>
            <w:tcW w:w="2385" w:type="dxa"/>
            <w:tcBorders>
              <w:top w:val="nil"/>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665" w:type="dxa"/>
            <w:tcBorders>
              <w:top w:val="nil"/>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304.64</w:t>
            </w:r>
          </w:p>
        </w:tc>
        <w:tc>
          <w:tcPr>
            <w:tcW w:w="1990" w:type="dxa"/>
            <w:tcBorders>
              <w:top w:val="nil"/>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666.48</w:t>
            </w:r>
          </w:p>
        </w:tc>
        <w:tc>
          <w:tcPr>
            <w:tcW w:w="2060" w:type="dxa"/>
            <w:tcBorders>
              <w:top w:val="nil"/>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-361.83</w:t>
            </w:r>
          </w:p>
        </w:tc>
      </w:tr>
    </w:tbl>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2、基本支出中各费用明细支出管理</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（1）工资福利支出</w:t>
      </w:r>
    </w:p>
    <w:tbl>
      <w:tblPr>
        <w:tblStyle w:val="6"/>
        <w:tblW w:w="7785" w:type="dxa"/>
        <w:tblInd w:w="0" w:type="dxa"/>
        <w:tblLayout w:type="fixed"/>
        <w:tblCellMar>
          <w:top w:w="0" w:type="dxa"/>
          <w:left w:w="0" w:type="dxa"/>
          <w:bottom w:w="0" w:type="dxa"/>
          <w:right w:w="0" w:type="dxa"/>
        </w:tblCellMar>
      </w:tblPr>
      <w:tblGrid>
        <w:gridCol w:w="2430"/>
        <w:gridCol w:w="1140"/>
        <w:gridCol w:w="1140"/>
        <w:gridCol w:w="1410"/>
        <w:gridCol w:w="1665"/>
      </w:tblGrid>
      <w:tr>
        <w:tblPrEx>
          <w:tblCellMar>
            <w:top w:w="0" w:type="dxa"/>
            <w:left w:w="0" w:type="dxa"/>
            <w:bottom w:w="0" w:type="dxa"/>
            <w:right w:w="0" w:type="dxa"/>
          </w:tblCellMar>
        </w:tblPrEx>
        <w:trPr>
          <w:trHeight w:val="885" w:hRule="atLeast"/>
        </w:trPr>
        <w:tc>
          <w:tcPr>
            <w:tcW w:w="2430"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费用项目</w:t>
            </w:r>
          </w:p>
        </w:tc>
        <w:tc>
          <w:tcPr>
            <w:tcW w:w="114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预算金额</w:t>
            </w:r>
          </w:p>
        </w:tc>
        <w:tc>
          <w:tcPr>
            <w:tcW w:w="114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决算金额</w:t>
            </w:r>
          </w:p>
        </w:tc>
        <w:tc>
          <w:tcPr>
            <w:tcW w:w="141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节约/超支金额</w:t>
            </w:r>
          </w:p>
        </w:tc>
        <w:tc>
          <w:tcPr>
            <w:tcW w:w="1665"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节约/超支率</w:t>
            </w: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基本工资</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132.78</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138.43</w:t>
            </w: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-5.65</w:t>
            </w: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-4.26%</w:t>
            </w: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津贴补贴</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5.77</w:t>
            </w: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-5.77</w:t>
            </w: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奖金</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11.07</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78.14</w:t>
            </w: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-67.07</w:t>
            </w: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-605.87%</w:t>
            </w: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伙食补助费</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绩效工资</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51.75</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60.22</w:t>
            </w: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-8.47</w:t>
            </w: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-16.37%</w:t>
            </w: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机关事业单位基本养老保险缴费</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29.53</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30.70</w:t>
            </w: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-1.17</w:t>
            </w: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-3.96%</w:t>
            </w: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职业年金缴费</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职工基本医疗保险缴费</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14.97</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16.45</w:t>
            </w: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-1.48</w:t>
            </w: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-9.89%</w:t>
            </w: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公务员医疗补助缴费</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其他社会保障缴费</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4.80</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4.45</w:t>
            </w: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0.35</w:t>
            </w: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7.29%</w:t>
            </w: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住房公积金</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23.47</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24.53</w:t>
            </w: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-1.06</w:t>
            </w: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-4.52%</w:t>
            </w: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医疗费</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其他工资福利支出</w:t>
            </w: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14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22.85</w:t>
            </w:r>
          </w:p>
        </w:tc>
        <w:tc>
          <w:tcPr>
            <w:tcW w:w="141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-22.85</w:t>
            </w:r>
          </w:p>
        </w:tc>
        <w:tc>
          <w:tcPr>
            <w:tcW w:w="1665"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05" w:hRule="atLeast"/>
        </w:trPr>
        <w:tc>
          <w:tcPr>
            <w:tcW w:w="243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14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268.36</w:t>
            </w:r>
          </w:p>
        </w:tc>
        <w:tc>
          <w:tcPr>
            <w:tcW w:w="114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381.53</w:t>
            </w:r>
          </w:p>
        </w:tc>
        <w:tc>
          <w:tcPr>
            <w:tcW w:w="141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-113.17</w:t>
            </w:r>
          </w:p>
        </w:tc>
        <w:tc>
          <w:tcPr>
            <w:tcW w:w="16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-42.17%</w:t>
            </w:r>
          </w:p>
        </w:tc>
      </w:tr>
    </w:tbl>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2020年基本工资、绩效工资等控制在年初预算范围内，奖金超支的主要原因是补发上年度绩效考核奖金等，其他工资福利支出年初没有列入预算</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（2）商品和服务支出</w:t>
      </w:r>
    </w:p>
    <w:tbl>
      <w:tblPr>
        <w:tblStyle w:val="6"/>
        <w:tblW w:w="8145" w:type="dxa"/>
        <w:tblInd w:w="0" w:type="dxa"/>
        <w:tblLayout w:type="fixed"/>
        <w:tblCellMar>
          <w:top w:w="0" w:type="dxa"/>
          <w:left w:w="0" w:type="dxa"/>
          <w:bottom w:w="0" w:type="dxa"/>
          <w:right w:w="0" w:type="dxa"/>
        </w:tblCellMar>
      </w:tblPr>
      <w:tblGrid>
        <w:gridCol w:w="2133"/>
        <w:gridCol w:w="1398"/>
        <w:gridCol w:w="1533"/>
        <w:gridCol w:w="1428"/>
        <w:gridCol w:w="1653"/>
      </w:tblGrid>
      <w:tr>
        <w:tblPrEx>
          <w:tblCellMar>
            <w:top w:w="0" w:type="dxa"/>
            <w:left w:w="0" w:type="dxa"/>
            <w:bottom w:w="0" w:type="dxa"/>
            <w:right w:w="0" w:type="dxa"/>
          </w:tblCellMar>
        </w:tblPrEx>
        <w:trPr>
          <w:trHeight w:val="345" w:hRule="atLeast"/>
        </w:trPr>
        <w:tc>
          <w:tcPr>
            <w:tcW w:w="2133" w:type="dxa"/>
            <w:tcBorders>
              <w:top w:val="single" w:color="auto" w:sz="6" w:space="0"/>
              <w:left w:val="single" w:color="auto" w:sz="6" w:space="0"/>
              <w:bottom w:val="single" w:color="auto" w:sz="6" w:space="0"/>
              <w:right w:val="single" w:color="auto" w:sz="6" w:space="0"/>
            </w:tcBorders>
            <w:shd w:val="clear" w:color="auto" w:fill="D9D9D9"/>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支出项目</w:t>
            </w:r>
          </w:p>
        </w:tc>
        <w:tc>
          <w:tcPr>
            <w:tcW w:w="1398"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预算金额</w:t>
            </w:r>
          </w:p>
        </w:tc>
        <w:tc>
          <w:tcPr>
            <w:tcW w:w="1533"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决算金额</w:t>
            </w:r>
          </w:p>
        </w:tc>
        <w:tc>
          <w:tcPr>
            <w:tcW w:w="1428"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增减额</w:t>
            </w:r>
          </w:p>
        </w:tc>
        <w:tc>
          <w:tcPr>
            <w:tcW w:w="1653" w:type="dxa"/>
            <w:tcBorders>
              <w:top w:val="single" w:color="auto" w:sz="6" w:space="0"/>
              <w:left w:val="nil"/>
              <w:bottom w:val="single" w:color="auto" w:sz="6" w:space="0"/>
              <w:right w:val="single" w:color="auto" w:sz="6" w:space="0"/>
            </w:tcBorders>
            <w:shd w:val="clear" w:color="auto" w:fill="D9D9D9"/>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增减率</w:t>
            </w: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办公费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21.06</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13.06</w:t>
            </w: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163.25%</w:t>
            </w: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印刷费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5.82</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4.82</w:t>
            </w: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482%</w:t>
            </w: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咨询费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水费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0.48</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-1.52</w:t>
            </w: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w:t>
            </w: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手续费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电费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0.86</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-2.14</w:t>
            </w: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-71.33%</w:t>
            </w: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邮电费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0.82</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取暖费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物业管理费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差旅费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-0.6</w:t>
            </w: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因公出国（境）费用</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维修（护）费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-90%</w:t>
            </w: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租赁费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0.54</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会议费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1.89</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培训费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26.03</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520.6%</w:t>
            </w: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公务接待费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w:t>
            </w: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专用材料费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4.13</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被装购置费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专用燃料费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劳务费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w:t>
            </w: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96.97</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90.57</w:t>
            </w: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1415.16%</w:t>
            </w: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委托业务费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42.64</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工会经费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5.22</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4.22</w:t>
            </w: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422%</w:t>
            </w: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福利费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公务用车运行维护费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其他交通费</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0.9</w:t>
            </w: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12.38</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11.48</w:t>
            </w: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1275.56%</w:t>
            </w: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税金及附加费用</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其他商品和服务支出</w:t>
            </w:r>
          </w:p>
        </w:tc>
        <w:tc>
          <w:tcPr>
            <w:tcW w:w="1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53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39.04</w:t>
            </w:r>
          </w:p>
        </w:tc>
        <w:tc>
          <w:tcPr>
            <w:tcW w:w="14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c>
          <w:tcPr>
            <w:tcW w:w="16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2133" w:type="dxa"/>
            <w:tcBorders>
              <w:top w:val="nil"/>
              <w:left w:val="single" w:color="auto" w:sz="6" w:space="0"/>
              <w:bottom w:val="single" w:color="auto" w:sz="6" w:space="0"/>
              <w:right w:val="single" w:color="auto" w:sz="6" w:space="0"/>
            </w:tcBorders>
            <w:shd w:val="clear" w:color="auto" w:fill="C0C0C0"/>
            <w:tcMar>
              <w:top w:w="0" w:type="dxa"/>
              <w:left w:w="105" w:type="dxa"/>
              <w:bottom w:w="0" w:type="dxa"/>
              <w:right w:w="10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398" w:type="dxa"/>
            <w:tcBorders>
              <w:top w:val="nil"/>
              <w:left w:val="nil"/>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34.8</w:t>
            </w:r>
          </w:p>
        </w:tc>
        <w:tc>
          <w:tcPr>
            <w:tcW w:w="1533" w:type="dxa"/>
            <w:tcBorders>
              <w:top w:val="nil"/>
              <w:left w:val="nil"/>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259.77</w:t>
            </w:r>
          </w:p>
        </w:tc>
        <w:tc>
          <w:tcPr>
            <w:tcW w:w="1428" w:type="dxa"/>
            <w:tcBorders>
              <w:top w:val="nil"/>
              <w:left w:val="nil"/>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224.97</w:t>
            </w:r>
          </w:p>
        </w:tc>
        <w:tc>
          <w:tcPr>
            <w:tcW w:w="1653" w:type="dxa"/>
            <w:tcBorders>
              <w:top w:val="nil"/>
              <w:left w:val="nil"/>
              <w:bottom w:val="single" w:color="auto" w:sz="6" w:space="0"/>
              <w:right w:val="single" w:color="auto" w:sz="6" w:space="0"/>
            </w:tcBorders>
            <w:shd w:val="clear" w:color="auto" w:fill="C0C0C0"/>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646.47%</w:t>
            </w:r>
          </w:p>
        </w:tc>
      </w:tr>
    </w:tbl>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商品和服务支出中办公费、印刷费、培训费、劳务费、工会经费、其他交通费用超支主要是由于我校的培训经费在教育局统一预算及扶贫和创文、创卫工作开支较大,专用材料费等也没有列入年初预算。</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（3）对个人和家庭的补助</w:t>
      </w:r>
    </w:p>
    <w:tbl>
      <w:tblPr>
        <w:tblStyle w:val="6"/>
        <w:tblW w:w="8370" w:type="dxa"/>
        <w:tblInd w:w="0" w:type="dxa"/>
        <w:tblLayout w:type="fixed"/>
        <w:tblCellMar>
          <w:top w:w="0" w:type="dxa"/>
          <w:left w:w="0" w:type="dxa"/>
          <w:bottom w:w="0" w:type="dxa"/>
          <w:right w:w="0" w:type="dxa"/>
        </w:tblCellMar>
      </w:tblPr>
      <w:tblGrid>
        <w:gridCol w:w="2014"/>
        <w:gridCol w:w="1306"/>
        <w:gridCol w:w="1830"/>
        <w:gridCol w:w="1748"/>
        <w:gridCol w:w="1472"/>
      </w:tblGrid>
      <w:tr>
        <w:tblPrEx>
          <w:tblCellMar>
            <w:top w:w="0" w:type="dxa"/>
            <w:left w:w="0" w:type="dxa"/>
            <w:bottom w:w="0" w:type="dxa"/>
            <w:right w:w="0" w:type="dxa"/>
          </w:tblCellMar>
        </w:tblPrEx>
        <w:trPr>
          <w:trHeight w:val="465" w:hRule="atLeast"/>
        </w:trPr>
        <w:tc>
          <w:tcPr>
            <w:tcW w:w="2014"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支出项目</w:t>
            </w:r>
          </w:p>
        </w:tc>
        <w:tc>
          <w:tcPr>
            <w:tcW w:w="1306"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预算金额</w:t>
            </w:r>
          </w:p>
        </w:tc>
        <w:tc>
          <w:tcPr>
            <w:tcW w:w="183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决算金额</w:t>
            </w:r>
          </w:p>
        </w:tc>
        <w:tc>
          <w:tcPr>
            <w:tcW w:w="1748"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结余/超支金额</w:t>
            </w:r>
          </w:p>
        </w:tc>
        <w:tc>
          <w:tcPr>
            <w:tcW w:w="1472"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结余/超支率</w:t>
            </w: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离休费</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2.50</w:t>
            </w: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退休费</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13.77</w:t>
            </w: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51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退职（役）费</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抚恤金</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生活补助</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1.48</w:t>
            </w: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1.48</w:t>
            </w: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救济费</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医疗费</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助学金</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奖励金</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生产补贴</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住房公积金</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提租补贴</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物业服务补贴</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2014"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其他对个人和家庭的补助支出</w:t>
            </w:r>
          </w:p>
        </w:tc>
        <w:tc>
          <w:tcPr>
            <w:tcW w:w="1306"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830"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7.42</w:t>
            </w:r>
          </w:p>
        </w:tc>
        <w:tc>
          <w:tcPr>
            <w:tcW w:w="1748"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1472" w:type="dxa"/>
            <w:tcBorders>
              <w:top w:val="nil"/>
              <w:left w:val="nil"/>
              <w:bottom w:val="single" w:color="000000" w:sz="6" w:space="0"/>
              <w:right w:val="single" w:color="000000" w:sz="6"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2014"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306"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1.48</w:t>
            </w:r>
          </w:p>
        </w:tc>
        <w:tc>
          <w:tcPr>
            <w:tcW w:w="183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25.17</w:t>
            </w:r>
          </w:p>
        </w:tc>
        <w:tc>
          <w:tcPr>
            <w:tcW w:w="1748"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23.69</w:t>
            </w:r>
          </w:p>
        </w:tc>
        <w:tc>
          <w:tcPr>
            <w:tcW w:w="1472"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1600.68%</w:t>
            </w:r>
          </w:p>
        </w:tc>
      </w:tr>
    </w:tbl>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退休费及离休费是发放给离退休人员的节日补助及体检开支，其他对个人和家庭的补助支出是对在职人员的中餐生活补助等开支，未列入预算。</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（二）“三公经费”支出使用和管理</w:t>
      </w: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1、“三公经费”预算执行</w:t>
      </w:r>
    </w:p>
    <w:tbl>
      <w:tblPr>
        <w:tblStyle w:val="6"/>
        <w:tblW w:w="8430" w:type="dxa"/>
        <w:tblInd w:w="0" w:type="dxa"/>
        <w:tblLayout w:type="fixed"/>
        <w:tblCellMar>
          <w:top w:w="0" w:type="dxa"/>
          <w:left w:w="0" w:type="dxa"/>
          <w:bottom w:w="0" w:type="dxa"/>
          <w:right w:w="0" w:type="dxa"/>
        </w:tblCellMar>
      </w:tblPr>
      <w:tblGrid>
        <w:gridCol w:w="1633"/>
        <w:gridCol w:w="1063"/>
        <w:gridCol w:w="1123"/>
        <w:gridCol w:w="1003"/>
        <w:gridCol w:w="1168"/>
        <w:gridCol w:w="1153"/>
        <w:gridCol w:w="1287"/>
      </w:tblGrid>
      <w:tr>
        <w:tblPrEx>
          <w:tblCellMar>
            <w:top w:w="0" w:type="dxa"/>
            <w:left w:w="0" w:type="dxa"/>
            <w:bottom w:w="0" w:type="dxa"/>
            <w:right w:w="0" w:type="dxa"/>
          </w:tblCellMar>
        </w:tblPrEx>
        <w:trPr>
          <w:trHeight w:val="360" w:hRule="atLeast"/>
        </w:trPr>
        <w:tc>
          <w:tcPr>
            <w:tcW w:w="1633" w:type="dxa"/>
            <w:vMerge w:val="restart"/>
            <w:tcBorders>
              <w:top w:val="single" w:color="000000" w:sz="6" w:space="0"/>
              <w:left w:val="single" w:color="000000" w:sz="6" w:space="0"/>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费用项目</w:t>
            </w:r>
          </w:p>
        </w:tc>
        <w:tc>
          <w:tcPr>
            <w:tcW w:w="2186" w:type="dxa"/>
            <w:gridSpan w:val="2"/>
            <w:tcBorders>
              <w:top w:val="single" w:color="000000" w:sz="6" w:space="0"/>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本年预算</w:t>
            </w:r>
          </w:p>
        </w:tc>
        <w:tc>
          <w:tcPr>
            <w:tcW w:w="2171" w:type="dxa"/>
            <w:gridSpan w:val="2"/>
            <w:tcBorders>
              <w:top w:val="single" w:color="000000" w:sz="6" w:space="0"/>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本年决算</w:t>
            </w:r>
          </w:p>
        </w:tc>
        <w:tc>
          <w:tcPr>
            <w:tcW w:w="2440" w:type="dxa"/>
            <w:gridSpan w:val="2"/>
            <w:tcBorders>
              <w:top w:val="single" w:color="000000" w:sz="6" w:space="0"/>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结余/超支</w:t>
            </w:r>
          </w:p>
        </w:tc>
      </w:tr>
      <w:tr>
        <w:tblPrEx>
          <w:tblCellMar>
            <w:top w:w="0" w:type="dxa"/>
            <w:left w:w="0" w:type="dxa"/>
            <w:bottom w:w="0" w:type="dxa"/>
            <w:right w:w="0" w:type="dxa"/>
          </w:tblCellMar>
        </w:tblPrEx>
        <w:trPr>
          <w:trHeight w:val="585" w:hRule="atLeast"/>
        </w:trPr>
        <w:tc>
          <w:tcPr>
            <w:tcW w:w="163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63"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基本支出</w:t>
            </w:r>
          </w:p>
        </w:tc>
        <w:tc>
          <w:tcPr>
            <w:tcW w:w="1123"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项目支出</w:t>
            </w:r>
          </w:p>
        </w:tc>
        <w:tc>
          <w:tcPr>
            <w:tcW w:w="1003"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基本支出</w:t>
            </w:r>
          </w:p>
        </w:tc>
        <w:tc>
          <w:tcPr>
            <w:tcW w:w="1168"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项目支出</w:t>
            </w:r>
          </w:p>
        </w:tc>
        <w:tc>
          <w:tcPr>
            <w:tcW w:w="1153"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基本支出</w:t>
            </w:r>
          </w:p>
        </w:tc>
        <w:tc>
          <w:tcPr>
            <w:tcW w:w="1287"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项目支出</w:t>
            </w:r>
          </w:p>
        </w:tc>
      </w:tr>
      <w:tr>
        <w:tblPrEx>
          <w:tblCellMar>
            <w:top w:w="0" w:type="dxa"/>
            <w:left w:w="0" w:type="dxa"/>
            <w:bottom w:w="0" w:type="dxa"/>
            <w:right w:w="0" w:type="dxa"/>
          </w:tblCellMar>
        </w:tblPrEx>
        <w:trPr>
          <w:trHeight w:val="360" w:hRule="atLeast"/>
        </w:trPr>
        <w:tc>
          <w:tcPr>
            <w:tcW w:w="1633" w:type="dxa"/>
            <w:tcBorders>
              <w:top w:val="nil"/>
              <w:left w:val="single" w:color="000000" w:sz="6" w:space="0"/>
              <w:bottom w:val="single" w:color="000000" w:sz="6" w:space="0"/>
              <w:right w:val="single" w:color="000000" w:sz="6" w:space="0"/>
            </w:tcBorders>
            <w:tcMar>
              <w:top w:w="0" w:type="dxa"/>
              <w:left w:w="15" w:type="dxa"/>
              <w:bottom w:w="0" w:type="dxa"/>
              <w:right w:w="1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公务接待费</w:t>
            </w:r>
          </w:p>
        </w:tc>
        <w:tc>
          <w:tcPr>
            <w:tcW w:w="106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12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00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168"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5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287"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05" w:hRule="atLeast"/>
        </w:trPr>
        <w:tc>
          <w:tcPr>
            <w:tcW w:w="1633" w:type="dxa"/>
            <w:tcBorders>
              <w:top w:val="nil"/>
              <w:left w:val="single" w:color="000000" w:sz="6" w:space="0"/>
              <w:bottom w:val="single" w:color="000000" w:sz="6" w:space="0"/>
              <w:right w:val="single" w:color="000000" w:sz="6" w:space="0"/>
            </w:tcBorders>
            <w:tcMar>
              <w:top w:w="0" w:type="dxa"/>
              <w:left w:w="15" w:type="dxa"/>
              <w:bottom w:w="0" w:type="dxa"/>
              <w:right w:w="1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公车运行维护费</w:t>
            </w:r>
          </w:p>
        </w:tc>
        <w:tc>
          <w:tcPr>
            <w:tcW w:w="106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2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00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68"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5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287"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35" w:hRule="atLeast"/>
        </w:trPr>
        <w:tc>
          <w:tcPr>
            <w:tcW w:w="1633" w:type="dxa"/>
            <w:tcBorders>
              <w:top w:val="nil"/>
              <w:left w:val="single" w:color="000000" w:sz="6" w:space="0"/>
              <w:bottom w:val="single" w:color="000000" w:sz="6" w:space="0"/>
              <w:right w:val="single" w:color="000000" w:sz="6" w:space="0"/>
            </w:tcBorders>
            <w:tcMar>
              <w:top w:w="0" w:type="dxa"/>
              <w:left w:w="15" w:type="dxa"/>
              <w:bottom w:w="0" w:type="dxa"/>
              <w:right w:w="1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公务车购置费</w:t>
            </w:r>
          </w:p>
        </w:tc>
        <w:tc>
          <w:tcPr>
            <w:tcW w:w="106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2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00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68"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5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287"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1633" w:type="dxa"/>
            <w:tcBorders>
              <w:top w:val="nil"/>
              <w:left w:val="single" w:color="000000" w:sz="6" w:space="0"/>
              <w:bottom w:val="single" w:color="000000" w:sz="6" w:space="0"/>
              <w:right w:val="single" w:color="000000" w:sz="6" w:space="0"/>
            </w:tcBorders>
            <w:tcMar>
              <w:top w:w="0" w:type="dxa"/>
              <w:left w:w="15" w:type="dxa"/>
              <w:bottom w:w="0" w:type="dxa"/>
              <w:right w:w="1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因公出国费用</w:t>
            </w:r>
          </w:p>
        </w:tc>
        <w:tc>
          <w:tcPr>
            <w:tcW w:w="106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2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00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68"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5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287"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1633" w:type="dxa"/>
            <w:tcBorders>
              <w:top w:val="nil"/>
              <w:left w:val="single" w:color="000000" w:sz="6" w:space="0"/>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106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2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00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68"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153"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c>
          <w:tcPr>
            <w:tcW w:w="1287" w:type="dxa"/>
            <w:tcBorders>
              <w:top w:val="nil"/>
              <w:left w:val="nil"/>
              <w:bottom w:val="single" w:color="000000" w:sz="6" w:space="0"/>
              <w:right w:val="single" w:color="000000" w:sz="6" w:space="0"/>
            </w:tcBorders>
            <w:tcMar>
              <w:top w:w="0" w:type="dxa"/>
              <w:left w:w="15" w:type="dxa"/>
              <w:bottom w:w="0" w:type="dxa"/>
              <w:right w:w="15" w:type="dxa"/>
            </w:tcMa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05" w:hRule="atLeast"/>
        </w:trPr>
        <w:tc>
          <w:tcPr>
            <w:tcW w:w="1633" w:type="dxa"/>
            <w:tcBorders>
              <w:top w:val="nil"/>
              <w:left w:val="single" w:color="000000" w:sz="6" w:space="0"/>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063"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tcPr>
          <w:p>
            <w:pPr>
              <w:widowControl/>
              <w:jc w:val="center"/>
              <w:rPr>
                <w:rFonts w:ascii="宋体" w:hAnsi="宋体" w:eastAsia="宋体" w:cs="宋体"/>
                <w:kern w:val="0"/>
                <w:sz w:val="24"/>
                <w:szCs w:val="24"/>
              </w:rPr>
            </w:pPr>
          </w:p>
        </w:tc>
        <w:tc>
          <w:tcPr>
            <w:tcW w:w="1123"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tcPr>
          <w:p>
            <w:pPr>
              <w:widowControl/>
              <w:jc w:val="center"/>
              <w:rPr>
                <w:rFonts w:ascii="宋体" w:hAnsi="宋体" w:eastAsia="宋体" w:cs="宋体"/>
                <w:kern w:val="0"/>
                <w:sz w:val="24"/>
                <w:szCs w:val="24"/>
              </w:rPr>
            </w:pPr>
          </w:p>
        </w:tc>
        <w:tc>
          <w:tcPr>
            <w:tcW w:w="1003"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tcPr>
          <w:p>
            <w:pPr>
              <w:widowControl/>
              <w:jc w:val="center"/>
              <w:rPr>
                <w:rFonts w:ascii="宋体" w:hAnsi="宋体" w:eastAsia="宋体" w:cs="宋体"/>
                <w:kern w:val="0"/>
                <w:sz w:val="24"/>
                <w:szCs w:val="24"/>
              </w:rPr>
            </w:pPr>
          </w:p>
        </w:tc>
        <w:tc>
          <w:tcPr>
            <w:tcW w:w="1168"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tcPr>
          <w:p>
            <w:pPr>
              <w:widowControl/>
              <w:jc w:val="center"/>
              <w:rPr>
                <w:rFonts w:ascii="宋体" w:hAnsi="宋体" w:eastAsia="宋体" w:cs="宋体"/>
                <w:kern w:val="0"/>
                <w:sz w:val="24"/>
                <w:szCs w:val="24"/>
              </w:rPr>
            </w:pPr>
          </w:p>
        </w:tc>
        <w:tc>
          <w:tcPr>
            <w:tcW w:w="1153"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tcPr>
          <w:p>
            <w:pPr>
              <w:widowControl/>
              <w:jc w:val="center"/>
              <w:rPr>
                <w:rFonts w:ascii="宋体" w:hAnsi="宋体" w:eastAsia="宋体" w:cs="宋体"/>
                <w:kern w:val="0"/>
                <w:sz w:val="24"/>
                <w:szCs w:val="24"/>
              </w:rPr>
            </w:pPr>
          </w:p>
        </w:tc>
        <w:tc>
          <w:tcPr>
            <w:tcW w:w="1287"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tcPr>
          <w:p>
            <w:pPr>
              <w:widowControl/>
              <w:jc w:val="center"/>
              <w:rPr>
                <w:rFonts w:ascii="宋体" w:hAnsi="宋体" w:eastAsia="宋体" w:cs="宋体"/>
                <w:kern w:val="0"/>
                <w:sz w:val="24"/>
                <w:szCs w:val="24"/>
              </w:rPr>
            </w:pPr>
          </w:p>
        </w:tc>
      </w:tr>
    </w:tbl>
    <w:p>
      <w:pPr>
        <w:widowControl/>
        <w:spacing w:line="585" w:lineRule="atLeast"/>
        <w:ind w:firstLine="480"/>
        <w:jc w:val="left"/>
        <w:rPr>
          <w:rFonts w:ascii="微软雅黑" w:hAnsi="微软雅黑" w:eastAsia="微软雅黑" w:cs="宋体"/>
          <w:color w:val="1E1E1E"/>
          <w:kern w:val="0"/>
          <w:sz w:val="23"/>
          <w:szCs w:val="23"/>
        </w:rPr>
      </w:pPr>
    </w:p>
    <w:p>
      <w:pPr>
        <w:widowControl/>
        <w:spacing w:line="585" w:lineRule="atLeast"/>
        <w:ind w:firstLine="480"/>
        <w:jc w:val="left"/>
        <w:rPr>
          <w:rFonts w:ascii="微软雅黑" w:hAnsi="微软雅黑" w:eastAsia="微软雅黑" w:cs="宋体"/>
          <w:color w:val="1E1E1E"/>
          <w:kern w:val="0"/>
          <w:sz w:val="23"/>
          <w:szCs w:val="23"/>
        </w:rPr>
      </w:pPr>
      <w:r>
        <w:rPr>
          <w:rFonts w:hint="eastAsia" w:ascii="微软雅黑" w:hAnsi="微软雅黑" w:eastAsia="微软雅黑" w:cs="宋体"/>
          <w:color w:val="1E1E1E"/>
          <w:kern w:val="0"/>
          <w:sz w:val="23"/>
          <w:szCs w:val="23"/>
        </w:rPr>
        <w:t>2、“三公经费”与上年度比较</w:t>
      </w:r>
    </w:p>
    <w:tbl>
      <w:tblPr>
        <w:tblStyle w:val="6"/>
        <w:tblW w:w="7950" w:type="dxa"/>
        <w:tblInd w:w="0" w:type="dxa"/>
        <w:tblLayout w:type="fixed"/>
        <w:tblCellMar>
          <w:top w:w="0" w:type="dxa"/>
          <w:left w:w="0" w:type="dxa"/>
          <w:bottom w:w="0" w:type="dxa"/>
          <w:right w:w="0" w:type="dxa"/>
        </w:tblCellMar>
      </w:tblPr>
      <w:tblGrid>
        <w:gridCol w:w="1797"/>
        <w:gridCol w:w="1183"/>
        <w:gridCol w:w="1257"/>
        <w:gridCol w:w="1243"/>
        <w:gridCol w:w="2470"/>
      </w:tblGrid>
      <w:tr>
        <w:tblPrEx>
          <w:tblCellMar>
            <w:top w:w="0" w:type="dxa"/>
            <w:left w:w="0" w:type="dxa"/>
            <w:bottom w:w="0" w:type="dxa"/>
            <w:right w:w="0" w:type="dxa"/>
          </w:tblCellMar>
        </w:tblPrEx>
        <w:trPr>
          <w:trHeight w:val="330" w:hRule="atLeast"/>
        </w:trPr>
        <w:tc>
          <w:tcPr>
            <w:tcW w:w="1797" w:type="dxa"/>
            <w:tcBorders>
              <w:top w:val="single" w:color="000000" w:sz="6" w:space="0"/>
              <w:left w:val="single" w:color="000000" w:sz="6" w:space="0"/>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费用项目</w:t>
            </w:r>
          </w:p>
        </w:tc>
        <w:tc>
          <w:tcPr>
            <w:tcW w:w="1183" w:type="dxa"/>
            <w:tcBorders>
              <w:top w:val="single" w:color="000000" w:sz="6" w:space="0"/>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本年金额</w:t>
            </w:r>
          </w:p>
        </w:tc>
        <w:tc>
          <w:tcPr>
            <w:tcW w:w="1257" w:type="dxa"/>
            <w:tcBorders>
              <w:top w:val="single" w:color="000000" w:sz="6" w:space="0"/>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上年金额</w:t>
            </w:r>
          </w:p>
        </w:tc>
        <w:tc>
          <w:tcPr>
            <w:tcW w:w="1243" w:type="dxa"/>
            <w:tcBorders>
              <w:top w:val="single" w:color="000000" w:sz="6" w:space="0"/>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增减额</w:t>
            </w:r>
          </w:p>
        </w:tc>
        <w:tc>
          <w:tcPr>
            <w:tcW w:w="2470" w:type="dxa"/>
            <w:tcBorders>
              <w:top w:val="single" w:color="000000" w:sz="6" w:space="0"/>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增减率%</w:t>
            </w:r>
          </w:p>
        </w:tc>
      </w:tr>
      <w:tr>
        <w:tblPrEx>
          <w:tblCellMar>
            <w:top w:w="0" w:type="dxa"/>
            <w:left w:w="0" w:type="dxa"/>
            <w:bottom w:w="0" w:type="dxa"/>
            <w:right w:w="0" w:type="dxa"/>
          </w:tblCellMar>
        </w:tblPrEx>
        <w:trPr>
          <w:trHeight w:val="330" w:hRule="atLeast"/>
        </w:trPr>
        <w:tc>
          <w:tcPr>
            <w:tcW w:w="1797" w:type="dxa"/>
            <w:tcBorders>
              <w:top w:val="nil"/>
              <w:left w:val="single" w:color="000000" w:sz="6" w:space="0"/>
              <w:bottom w:val="single" w:color="000000" w:sz="6" w:space="0"/>
              <w:right w:val="single" w:color="000000" w:sz="6" w:space="0"/>
            </w:tcBorders>
            <w:tcMar>
              <w:top w:w="0" w:type="dxa"/>
              <w:left w:w="15" w:type="dxa"/>
              <w:bottom w:w="0" w:type="dxa"/>
              <w:right w:w="1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公务接待费</w:t>
            </w:r>
          </w:p>
        </w:tc>
        <w:tc>
          <w:tcPr>
            <w:tcW w:w="1183"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1257"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2.5</w:t>
            </w:r>
          </w:p>
        </w:tc>
        <w:tc>
          <w:tcPr>
            <w:tcW w:w="1243"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r>
              <w:rPr>
                <w:rFonts w:hint="eastAsia" w:ascii="宋体" w:hAnsi="宋体" w:eastAsia="宋体" w:cs="宋体"/>
                <w:kern w:val="0"/>
                <w:sz w:val="24"/>
                <w:szCs w:val="24"/>
              </w:rPr>
              <w:t>-2.5</w:t>
            </w:r>
          </w:p>
        </w:tc>
        <w:tc>
          <w:tcPr>
            <w:tcW w:w="2470"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30" w:hRule="atLeast"/>
        </w:trPr>
        <w:tc>
          <w:tcPr>
            <w:tcW w:w="1797" w:type="dxa"/>
            <w:tcBorders>
              <w:top w:val="nil"/>
              <w:left w:val="single" w:color="000000" w:sz="6" w:space="0"/>
              <w:bottom w:val="single" w:color="000000" w:sz="6" w:space="0"/>
              <w:right w:val="single" w:color="000000" w:sz="6" w:space="0"/>
            </w:tcBorders>
            <w:tcMar>
              <w:top w:w="0" w:type="dxa"/>
              <w:left w:w="15" w:type="dxa"/>
              <w:bottom w:w="0" w:type="dxa"/>
              <w:right w:w="1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公车运行维护费</w:t>
            </w:r>
          </w:p>
        </w:tc>
        <w:tc>
          <w:tcPr>
            <w:tcW w:w="1183"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1257"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1243"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2470"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30" w:hRule="atLeast"/>
        </w:trPr>
        <w:tc>
          <w:tcPr>
            <w:tcW w:w="1797" w:type="dxa"/>
            <w:tcBorders>
              <w:top w:val="nil"/>
              <w:left w:val="single" w:color="000000" w:sz="6" w:space="0"/>
              <w:bottom w:val="single" w:color="000000" w:sz="6" w:space="0"/>
              <w:right w:val="single" w:color="000000" w:sz="6" w:space="0"/>
            </w:tcBorders>
            <w:tcMar>
              <w:top w:w="0" w:type="dxa"/>
              <w:left w:w="15" w:type="dxa"/>
              <w:bottom w:w="0" w:type="dxa"/>
              <w:right w:w="1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公务车辆购置费</w:t>
            </w:r>
          </w:p>
        </w:tc>
        <w:tc>
          <w:tcPr>
            <w:tcW w:w="1183"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1257"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1243"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2470"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30" w:hRule="atLeast"/>
        </w:trPr>
        <w:tc>
          <w:tcPr>
            <w:tcW w:w="1797" w:type="dxa"/>
            <w:tcBorders>
              <w:top w:val="nil"/>
              <w:left w:val="single" w:color="000000" w:sz="6" w:space="0"/>
              <w:bottom w:val="single" w:color="000000" w:sz="6" w:space="0"/>
              <w:right w:val="single" w:color="000000" w:sz="6" w:space="0"/>
            </w:tcBorders>
            <w:tcMar>
              <w:top w:w="0" w:type="dxa"/>
              <w:left w:w="15" w:type="dxa"/>
              <w:bottom w:w="0" w:type="dxa"/>
              <w:right w:w="1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因公出国(境)费用</w:t>
            </w:r>
          </w:p>
        </w:tc>
        <w:tc>
          <w:tcPr>
            <w:tcW w:w="1183"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1257"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1243"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2470"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30" w:hRule="atLeast"/>
        </w:trPr>
        <w:tc>
          <w:tcPr>
            <w:tcW w:w="1797" w:type="dxa"/>
            <w:tcBorders>
              <w:top w:val="nil"/>
              <w:left w:val="single" w:color="000000" w:sz="6" w:space="0"/>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1183"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1257"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1243"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c>
          <w:tcPr>
            <w:tcW w:w="2470" w:type="dxa"/>
            <w:tcBorders>
              <w:top w:val="nil"/>
              <w:left w:val="nil"/>
              <w:bottom w:val="single" w:color="000000" w:sz="6" w:space="0"/>
              <w:right w:val="single" w:color="000000" w:sz="6" w:space="0"/>
            </w:tcBorders>
            <w:tcMar>
              <w:top w:w="0" w:type="dxa"/>
              <w:left w:w="15" w:type="dxa"/>
              <w:bottom w:w="0" w:type="dxa"/>
              <w:right w:w="1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75" w:hRule="atLeast"/>
        </w:trPr>
        <w:tc>
          <w:tcPr>
            <w:tcW w:w="1797" w:type="dxa"/>
            <w:tcBorders>
              <w:top w:val="nil"/>
              <w:left w:val="single" w:color="000000" w:sz="6" w:space="0"/>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183"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p>
        </w:tc>
        <w:tc>
          <w:tcPr>
            <w:tcW w:w="1257"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p>
        </w:tc>
        <w:tc>
          <w:tcPr>
            <w:tcW w:w="1243"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p>
        </w:tc>
        <w:tc>
          <w:tcPr>
            <w:tcW w:w="2470" w:type="dxa"/>
            <w:tcBorders>
              <w:top w:val="nil"/>
              <w:left w:val="nil"/>
              <w:bottom w:val="single" w:color="000000" w:sz="6" w:space="0"/>
              <w:right w:val="single" w:color="000000" w:sz="6" w:space="0"/>
            </w:tcBorders>
            <w:shd w:val="clear" w:color="auto" w:fill="D9D9D9"/>
            <w:tcMar>
              <w:top w:w="0" w:type="dxa"/>
              <w:left w:w="15" w:type="dxa"/>
              <w:bottom w:w="0" w:type="dxa"/>
              <w:right w:w="15" w:type="dxa"/>
            </w:tcMar>
            <w:vAlign w:val="center"/>
          </w:tcPr>
          <w:p>
            <w:pPr>
              <w:widowControl/>
              <w:ind w:firstLine="480"/>
              <w:jc w:val="left"/>
              <w:rPr>
                <w:rFonts w:ascii="宋体" w:hAnsi="宋体" w:eastAsia="宋体" w:cs="宋体"/>
                <w:kern w:val="0"/>
                <w:sz w:val="24"/>
                <w:szCs w:val="24"/>
              </w:rPr>
            </w:pPr>
          </w:p>
        </w:tc>
      </w:tr>
    </w:tbl>
    <w:p>
      <w:pPr>
        <w:widowControl/>
        <w:spacing w:before="156" w:beforeLines="50" w:line="502" w:lineRule="atLeast"/>
        <w:ind w:firstLine="48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严控“三公”经费，节约开支。</w:t>
      </w:r>
    </w:p>
    <w:p>
      <w:pPr>
        <w:widowControl/>
        <w:spacing w:before="156" w:beforeLines="50" w:line="502" w:lineRule="atLeast"/>
        <w:ind w:firstLine="48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（三）专项支出管理</w:t>
      </w:r>
    </w:p>
    <w:p>
      <w:pPr>
        <w:widowControl/>
        <w:spacing w:before="156" w:beforeLines="50" w:line="502" w:lineRule="atLeast"/>
        <w:ind w:firstLine="48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本单位无专项资金预算。</w:t>
      </w:r>
    </w:p>
    <w:p>
      <w:pPr>
        <w:widowControl/>
        <w:spacing w:before="156" w:beforeLines="50"/>
        <w:ind w:firstLine="480"/>
        <w:jc w:val="left"/>
        <w:outlineLvl w:val="0"/>
        <w:rPr>
          <w:rFonts w:ascii="仿宋" w:hAnsi="仿宋" w:eastAsia="仿宋" w:cs="宋体"/>
          <w:b/>
          <w:bCs/>
          <w:color w:val="4C4C4C"/>
          <w:kern w:val="36"/>
          <w:sz w:val="28"/>
          <w:szCs w:val="28"/>
        </w:rPr>
      </w:pPr>
      <w:r>
        <w:rPr>
          <w:rFonts w:hint="eastAsia" w:ascii="仿宋" w:hAnsi="仿宋" w:eastAsia="仿宋" w:cs="宋体"/>
          <w:b/>
          <w:bCs/>
          <w:color w:val="4C4C4C"/>
          <w:kern w:val="36"/>
          <w:sz w:val="28"/>
          <w:szCs w:val="28"/>
        </w:rPr>
        <w:t>四、部门整体支出绩效评价</w:t>
      </w:r>
    </w:p>
    <w:p>
      <w:pPr>
        <w:widowControl/>
        <w:spacing w:before="156" w:beforeLines="50" w:line="502" w:lineRule="atLeast"/>
        <w:ind w:firstLine="48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根据年度重点和日常工作安排，各项工作取得了哪些新成绩和突破；前面通过对部门整体支出情况的概述和实际支出情况的分析，部门整体支出绩效目标管理情况评价如下：</w:t>
      </w:r>
    </w:p>
    <w:p>
      <w:pPr>
        <w:widowControl/>
        <w:spacing w:before="156" w:beforeLines="50" w:line="502" w:lineRule="atLeast"/>
        <w:ind w:firstLine="48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（一）经济性评价，包括预算配置方面、预算执行方面等。</w:t>
      </w:r>
    </w:p>
    <w:p>
      <w:pPr>
        <w:widowControl/>
        <w:spacing w:before="156" w:beforeLines="50" w:line="502" w:lineRule="atLeast"/>
        <w:ind w:firstLine="480"/>
        <w:jc w:val="left"/>
        <w:rPr>
          <w:rFonts w:ascii="仿宋" w:hAnsi="仿宋" w:eastAsia="仿宋" w:cs="宋体"/>
          <w:color w:val="555555"/>
          <w:kern w:val="0"/>
          <w:sz w:val="28"/>
          <w:szCs w:val="28"/>
        </w:rPr>
      </w:pPr>
      <w:r>
        <w:rPr>
          <w:rFonts w:hint="eastAsia" w:ascii="仿宋" w:hAnsi="仿宋" w:eastAsia="仿宋"/>
          <w:color w:val="555555"/>
          <w:sz w:val="28"/>
          <w:szCs w:val="28"/>
        </w:rPr>
        <w:t>供养人员控制在预算编制以内；“三公”经费支出总额控制在预算。预算执行方面。支出总额控制在预算总额以内；三公经费总体控制较好，较上年下降。预算管理方面，制度执行总体较为有效，仍需进一步强化。资金使用管理需进一步加强。总体执行较好。</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（二）行政效能评价，包括制定、完善、落实相关制度，强化内部管理等方面。</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1.高度重视预算绩效工作。成立为以校长为组长，其他领导为副组长，办公室及财务室人员为成员的预算绩效工作领导小组，进一步强化财政预算支出绩效管理。</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2.加强对财政预算资金管理方面制度的培训，不断提高业务工作能力。</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3.建立了单位整体支出管理方面的内控制度，并不断进行完善和修订。财务管理制度、票据管理办法 、财务会审制度、固定资产管理制度等办法，对招待费、租赁车辆等支出进行了有效管控。</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4、严格控制执行，特别是三公经费的预算控制。加强对租赁车辆的管理，严格招待费用审核审批程度，“三公”经费较好地控制在预算范围之内。</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（三）项目产出及实现的社会效益，部门履行职责对社会发展所带来的直接或间接影响。我校的教师培训工作有声有色，对全县教育教学及教师的能力提升起了一个很大的作用，社会反响很好。</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本单位无项目</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（四）社会公众满意度</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olor w:val="555555"/>
          <w:sz w:val="28"/>
          <w:szCs w:val="28"/>
        </w:rPr>
        <w:t>2020年，在上级的正确领导下，认真贯彻落实党的精神和政府决策部署，勤奋工作，创先争优，圆满完成各项工作任务。群众满意度高。</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（五）部门整体绩效得分</w:t>
      </w:r>
    </w:p>
    <w:p>
      <w:pPr>
        <w:widowControl/>
        <w:spacing w:before="156" w:beforeLines="50" w:line="502" w:lineRule="atLeast"/>
        <w:jc w:val="left"/>
        <w:rPr>
          <w:rFonts w:ascii="仿宋" w:hAnsi="仿宋" w:eastAsia="仿宋"/>
          <w:color w:val="555555"/>
          <w:sz w:val="28"/>
          <w:szCs w:val="28"/>
        </w:rPr>
      </w:pPr>
      <w:r>
        <w:rPr>
          <w:rFonts w:hint="eastAsia" w:ascii="仿宋" w:hAnsi="仿宋" w:eastAsia="仿宋"/>
          <w:color w:val="555555"/>
          <w:sz w:val="28"/>
          <w:szCs w:val="28"/>
        </w:rPr>
        <w:t>根据部门整体支出绩效评价指标体系，本单位2020年度评价得</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olor w:val="555555"/>
          <w:sz w:val="28"/>
          <w:szCs w:val="28"/>
        </w:rPr>
        <w:t>分为96分</w:t>
      </w:r>
    </w:p>
    <w:p>
      <w:pPr>
        <w:widowControl/>
        <w:spacing w:before="156" w:beforeLines="50" w:line="502" w:lineRule="atLeast"/>
        <w:jc w:val="left"/>
        <w:rPr>
          <w:rFonts w:ascii="仿宋" w:hAnsi="仿宋" w:eastAsia="仿宋" w:cs="宋体"/>
          <w:b/>
          <w:color w:val="555555"/>
          <w:kern w:val="0"/>
          <w:sz w:val="28"/>
          <w:szCs w:val="28"/>
        </w:rPr>
      </w:pPr>
      <w:r>
        <w:rPr>
          <w:rFonts w:hint="eastAsia" w:ascii="仿宋" w:hAnsi="仿宋" w:eastAsia="仿宋" w:cs="宋体"/>
          <w:b/>
          <w:color w:val="555555"/>
          <w:kern w:val="0"/>
          <w:sz w:val="28"/>
          <w:szCs w:val="28"/>
        </w:rPr>
        <w:t>五、存在的主要问题</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预算管理方面，制度执行总体较为有效，仍需进一步强化。</w:t>
      </w:r>
    </w:p>
    <w:p>
      <w:pPr>
        <w:widowControl/>
        <w:spacing w:before="156" w:beforeLines="50" w:line="502" w:lineRule="atLeast"/>
        <w:jc w:val="left"/>
        <w:rPr>
          <w:rFonts w:ascii="仿宋" w:hAnsi="仿宋" w:eastAsia="仿宋" w:cs="宋体"/>
          <w:b/>
          <w:color w:val="555555"/>
          <w:kern w:val="0"/>
          <w:sz w:val="28"/>
          <w:szCs w:val="28"/>
        </w:rPr>
      </w:pPr>
      <w:r>
        <w:rPr>
          <w:rFonts w:hint="eastAsia" w:ascii="仿宋" w:hAnsi="仿宋" w:eastAsia="仿宋" w:cs="宋体"/>
          <w:b/>
          <w:color w:val="555555"/>
          <w:kern w:val="0"/>
          <w:sz w:val="28"/>
          <w:szCs w:val="28"/>
        </w:rPr>
        <w:t>六、改进意见及建议</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（一）后续工作计划。</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olor w:val="555555"/>
          <w:sz w:val="28"/>
          <w:szCs w:val="28"/>
        </w:rPr>
        <w:t>进一步加强财政预算绩效管理。严格按照部门预算要求，牢固树立“成本效益”观念，进一步加强预算管理，规范预算执行，不断优化预算支出结构，实话资金跟踪问效制度。</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（二）主要经验做法、存在的问题和建议。主要包括资金安排、使用过程中的经验、做法、存在的问题、改进措施和有关建议等。</w:t>
      </w:r>
    </w:p>
    <w:p>
      <w:pPr>
        <w:widowControl/>
        <w:spacing w:before="156" w:beforeLines="50" w:line="502" w:lineRule="atLeast"/>
        <w:jc w:val="left"/>
        <w:rPr>
          <w:rFonts w:ascii="仿宋" w:hAnsi="仿宋" w:eastAsia="仿宋"/>
          <w:color w:val="555555"/>
          <w:sz w:val="28"/>
          <w:szCs w:val="28"/>
        </w:rPr>
      </w:pPr>
      <w:r>
        <w:rPr>
          <w:rFonts w:hint="eastAsia" w:ascii="仿宋" w:hAnsi="仿宋" w:eastAsia="仿宋"/>
          <w:color w:val="555555"/>
          <w:sz w:val="28"/>
          <w:szCs w:val="28"/>
        </w:rPr>
        <w:t>1、是加强政策学习，组织单位人员认真学习《预算法》等相关法规、制度，提高单位领导对全面预算管理的重视程度，增强财务人员的预算意识，科学编制部门预算。</w:t>
      </w:r>
    </w:p>
    <w:p>
      <w:pPr>
        <w:widowControl/>
        <w:spacing w:before="156" w:beforeLines="50" w:line="502" w:lineRule="atLeast"/>
        <w:jc w:val="left"/>
        <w:rPr>
          <w:rFonts w:ascii="仿宋" w:hAnsi="仿宋" w:eastAsia="仿宋"/>
          <w:color w:val="555555"/>
          <w:sz w:val="28"/>
          <w:szCs w:val="28"/>
        </w:rPr>
      </w:pPr>
      <w:r>
        <w:rPr>
          <w:rFonts w:hint="eastAsia" w:ascii="仿宋" w:hAnsi="仿宋" w:eastAsia="仿宋"/>
          <w:color w:val="555555"/>
          <w:sz w:val="28"/>
          <w:szCs w:val="28"/>
        </w:rPr>
        <w:t>2、加快预算执行进度。部门预算批复后，应结合单位实际情况进行预算执行进度分析，科学合理安排支出，降低预算支出的波动幅度。严格执行项目支出预算，积极组织项目的实施，通过加强对项目支出预算执行的管理，提高财政资金使用绩效。</w:t>
      </w:r>
    </w:p>
    <w:p>
      <w:pPr>
        <w:widowControl/>
        <w:spacing w:before="156" w:beforeLines="50" w:line="502" w:lineRule="atLeast"/>
        <w:jc w:val="center"/>
        <w:rPr>
          <w:rFonts w:ascii="仿宋" w:hAnsi="仿宋" w:eastAsia="仿宋" w:cs="宋体"/>
          <w:b/>
          <w:color w:val="555555"/>
          <w:kern w:val="0"/>
          <w:sz w:val="28"/>
          <w:szCs w:val="28"/>
        </w:rPr>
      </w:pPr>
      <w:r>
        <w:rPr>
          <w:rFonts w:hint="eastAsia" w:ascii="仿宋" w:hAnsi="仿宋" w:eastAsia="仿宋" w:cs="宋体"/>
          <w:b/>
          <w:color w:val="555555"/>
          <w:kern w:val="0"/>
          <w:sz w:val="28"/>
          <w:szCs w:val="28"/>
        </w:rPr>
        <w:t>2020年度部门整体支出绩效评价指标评分表</w:t>
      </w:r>
    </w:p>
    <w:p>
      <w:pPr>
        <w:widowControl/>
        <w:spacing w:before="156" w:beforeLines="50" w:line="502" w:lineRule="atLeast"/>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填报单位（盖章）：新邵县教师进修学校</w:t>
      </w:r>
    </w:p>
    <w:tbl>
      <w:tblPr>
        <w:tblStyle w:val="6"/>
        <w:tblW w:w="9645" w:type="dxa"/>
        <w:jc w:val="center"/>
        <w:tblLayout w:type="fixed"/>
        <w:tblCellMar>
          <w:top w:w="0" w:type="dxa"/>
          <w:left w:w="0" w:type="dxa"/>
          <w:bottom w:w="0" w:type="dxa"/>
          <w:right w:w="0" w:type="dxa"/>
        </w:tblCellMar>
      </w:tblPr>
      <w:tblGrid>
        <w:gridCol w:w="527"/>
        <w:gridCol w:w="768"/>
        <w:gridCol w:w="895"/>
        <w:gridCol w:w="3241"/>
        <w:gridCol w:w="3341"/>
        <w:gridCol w:w="873"/>
      </w:tblGrid>
      <w:tr>
        <w:tblPrEx>
          <w:tblCellMar>
            <w:top w:w="0" w:type="dxa"/>
            <w:left w:w="0" w:type="dxa"/>
            <w:bottom w:w="0" w:type="dxa"/>
            <w:right w:w="0" w:type="dxa"/>
          </w:tblCellMar>
        </w:tblPrEx>
        <w:trPr>
          <w:trHeight w:val="644" w:hRule="atLeast"/>
          <w:tblHeader/>
          <w:jc w:val="center"/>
        </w:trPr>
        <w:tc>
          <w:tcPr>
            <w:tcW w:w="527" w:type="dxa"/>
            <w:tcBorders>
              <w:top w:val="single" w:color="auto" w:sz="4" w:space="0"/>
              <w:left w:val="single" w:color="auto" w:sz="8" w:space="0"/>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一级</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指标</w:t>
            </w:r>
          </w:p>
        </w:tc>
        <w:tc>
          <w:tcPr>
            <w:tcW w:w="768" w:type="dxa"/>
            <w:tcBorders>
              <w:top w:val="single" w:color="auto" w:sz="4" w:space="0"/>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二级指标</w:t>
            </w:r>
          </w:p>
        </w:tc>
        <w:tc>
          <w:tcPr>
            <w:tcW w:w="895" w:type="dxa"/>
            <w:tcBorders>
              <w:top w:val="single" w:color="auto" w:sz="4" w:space="0"/>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三级指标</w:t>
            </w:r>
          </w:p>
        </w:tc>
        <w:tc>
          <w:tcPr>
            <w:tcW w:w="3241" w:type="dxa"/>
            <w:tcBorders>
              <w:top w:val="single" w:color="auto" w:sz="4" w:space="0"/>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指标解释</w:t>
            </w:r>
          </w:p>
        </w:tc>
        <w:tc>
          <w:tcPr>
            <w:tcW w:w="3341" w:type="dxa"/>
            <w:tcBorders>
              <w:top w:val="single" w:color="auto" w:sz="4" w:space="0"/>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指标说明</w:t>
            </w:r>
          </w:p>
        </w:tc>
        <w:tc>
          <w:tcPr>
            <w:tcW w:w="873" w:type="dxa"/>
            <w:tcBorders>
              <w:top w:val="single" w:color="auto" w:sz="4" w:space="0"/>
              <w:left w:val="nil"/>
              <w:bottom w:val="single" w:color="auto" w:sz="8" w:space="0"/>
              <w:right w:val="single" w:color="auto" w:sz="8" w:space="0"/>
            </w:tcBorders>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自评分</w:t>
            </w:r>
          </w:p>
        </w:tc>
      </w:tr>
      <w:tr>
        <w:tblPrEx>
          <w:tblCellMar>
            <w:top w:w="0" w:type="dxa"/>
            <w:left w:w="0" w:type="dxa"/>
            <w:bottom w:w="0" w:type="dxa"/>
            <w:right w:w="0" w:type="dxa"/>
          </w:tblCellMar>
        </w:tblPrEx>
        <w:trPr>
          <w:trHeight w:val="1006" w:hRule="atLeast"/>
          <w:jc w:val="center"/>
        </w:trPr>
        <w:tc>
          <w:tcPr>
            <w:tcW w:w="527"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投入(20分)</w:t>
            </w:r>
          </w:p>
        </w:tc>
        <w:tc>
          <w:tcPr>
            <w:tcW w:w="768" w:type="dxa"/>
            <w:vMerge w:val="restart"/>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目标</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设定</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（5分）</w:t>
            </w: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绩效目标合理性</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（2分）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部门所设立的整体绩效目标依据是否充分，是否符合客观实际，用以反映和考核部门整体绩效目标与部门履职、年度工作任务的相符性情况。</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①符合国家法律法规、国民经济和社会发展总体规划计1分；</w:t>
            </w:r>
          </w:p>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②符合部门“三定”方案确定的职责计0.5分；</w:t>
            </w:r>
          </w:p>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③是否符合部门制定的中长期实施规划计0.5分。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r>
      <w:tr>
        <w:tblPrEx>
          <w:tblCellMar>
            <w:top w:w="0" w:type="dxa"/>
            <w:left w:w="0" w:type="dxa"/>
            <w:bottom w:w="0" w:type="dxa"/>
            <w:right w:w="0" w:type="dxa"/>
          </w:tblCellMar>
        </w:tblPrEx>
        <w:trPr>
          <w:trHeight w:val="1096"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绩效指标明确性</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（3分）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部门依据整体绩效目标所设定的绩效指标是否清晰、细化、可衡量，用以反映和考核部门整体绩效目标的明细化情况。</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①将部门整体的绩效目标细化分解为具体的工作任务计1分；</w:t>
            </w:r>
          </w:p>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②通过清晰、可衡量的指标值予以体现计0.5分；</w:t>
            </w:r>
          </w:p>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③与部门年度的任务数或计划数相对应计0.5分；</w:t>
            </w:r>
          </w:p>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④与本年度部门预算资金相匹配计1分。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2.5</w:t>
            </w:r>
          </w:p>
        </w:tc>
      </w:tr>
      <w:tr>
        <w:tblPrEx>
          <w:tblCellMar>
            <w:top w:w="0" w:type="dxa"/>
            <w:left w:w="0" w:type="dxa"/>
            <w:bottom w:w="0" w:type="dxa"/>
            <w:right w:w="0" w:type="dxa"/>
          </w:tblCellMar>
        </w:tblPrEx>
        <w:trPr>
          <w:trHeight w:val="1231"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restart"/>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预算</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配置（15分）</w:t>
            </w: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在职人员控制率</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（5分）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部门本年度实际在职人员数与编制数的比率，用以反映和考核部门对人员成本的控制程度。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r>
      <w:tr>
        <w:tblPrEx>
          <w:tblCellMar>
            <w:top w:w="0" w:type="dxa"/>
            <w:left w:w="0" w:type="dxa"/>
            <w:bottom w:w="0" w:type="dxa"/>
            <w:right w:w="0" w:type="dxa"/>
          </w:tblCellMar>
        </w:tblPrEx>
        <w:trPr>
          <w:trHeight w:val="1238"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“三公经费”变动率（5分）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部门本年度“三公经费”预算数与上年度“三公经费”预算数的变动比率，用以反映和考核部门对控制重点行政成本的努力程度。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r>
      <w:tr>
        <w:tblPrEx>
          <w:tblCellMar>
            <w:top w:w="0" w:type="dxa"/>
            <w:left w:w="0" w:type="dxa"/>
            <w:bottom w:w="0" w:type="dxa"/>
            <w:right w:w="0" w:type="dxa"/>
          </w:tblCellMar>
        </w:tblPrEx>
        <w:trPr>
          <w:trHeight w:val="1550"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重点支出安排率</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（5分）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部门本年度预算安排的重点项目支出与部门项目总支出的比率，用以反映和考核部门对履行主要职责或完成重点任务的保障程度。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r>
      <w:tr>
        <w:tblPrEx>
          <w:tblCellMar>
            <w:top w:w="0" w:type="dxa"/>
            <w:left w:w="0" w:type="dxa"/>
            <w:bottom w:w="0" w:type="dxa"/>
            <w:right w:w="0" w:type="dxa"/>
          </w:tblCellMar>
        </w:tblPrEx>
        <w:trPr>
          <w:trHeight w:val="976" w:hRule="atLeast"/>
          <w:jc w:val="center"/>
        </w:trPr>
        <w:tc>
          <w:tcPr>
            <w:tcW w:w="527"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过程</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(40分)</w:t>
            </w:r>
          </w:p>
        </w:tc>
        <w:tc>
          <w:tcPr>
            <w:tcW w:w="768" w:type="dxa"/>
            <w:vMerge w:val="restart"/>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预算</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执行</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(23分)</w:t>
            </w: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预算</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完成率</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（4分）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部门本年度预算完成数与预算数的比率，用以反映和考核部门预算完成程度。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预算完成率=（预算完成数/预算数）×100%。完成年初预算计4分，未完成年初预算按比例扣减，预算完成数：部门本年度实际完成的预算数。预算数：财政部门批复的本年度部门预算数。</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r>
      <w:tr>
        <w:tblPrEx>
          <w:tblCellMar>
            <w:top w:w="0" w:type="dxa"/>
            <w:left w:w="0" w:type="dxa"/>
            <w:bottom w:w="0" w:type="dxa"/>
            <w:right w:w="0" w:type="dxa"/>
          </w:tblCellMar>
        </w:tblPrEx>
        <w:trPr>
          <w:trHeight w:val="1500"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预算</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调整率</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（2分）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部门本年度预算调整数与预算数的比率，用以反映和考核部门预算的调整程度。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r>
      <w:tr>
        <w:tblPrEx>
          <w:tblCellMar>
            <w:top w:w="0" w:type="dxa"/>
            <w:left w:w="0" w:type="dxa"/>
            <w:bottom w:w="0" w:type="dxa"/>
            <w:right w:w="0" w:type="dxa"/>
          </w:tblCellMar>
        </w:tblPrEx>
        <w:trPr>
          <w:trHeight w:val="1770"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支付</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进度率</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（2分）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部门实际支付进度与既定支付进度的比率，用以反映和考核部门预算执行的及时性和均衡性程度。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r>
      <w:tr>
        <w:tblPrEx>
          <w:tblCellMar>
            <w:top w:w="0" w:type="dxa"/>
            <w:left w:w="0" w:type="dxa"/>
            <w:bottom w:w="0" w:type="dxa"/>
            <w:right w:w="0" w:type="dxa"/>
          </w:tblCellMar>
        </w:tblPrEx>
        <w:trPr>
          <w:trHeight w:val="1231"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结转结余控制率</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（4分）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部门本年度结转结余总额与上年结转结余总额增减比例，用以反映和考核部门对存量资金的实际控制程度。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r>
      <w:tr>
        <w:tblPrEx>
          <w:tblCellMar>
            <w:top w:w="0" w:type="dxa"/>
            <w:left w:w="0" w:type="dxa"/>
            <w:bottom w:w="0" w:type="dxa"/>
            <w:right w:w="0" w:type="dxa"/>
          </w:tblCellMar>
        </w:tblPrEx>
        <w:trPr>
          <w:trHeight w:val="936"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公用经费</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控制率</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（4分）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部门本年度实际支出的公用经费总额与预算安排的公用经费总额的比率，用以反映和考核部门对机构运转成本的实际控制程度。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公用经费控制率=（实际支出公用经费总额/预算安排公用经费总额）×100%。为100%的计4分，每超过1个百分点扣0.1分，扣完为止。</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r>
      <w:tr>
        <w:tblPrEx>
          <w:tblCellMar>
            <w:top w:w="0" w:type="dxa"/>
            <w:left w:w="0" w:type="dxa"/>
            <w:bottom w:w="0" w:type="dxa"/>
            <w:right w:w="0" w:type="dxa"/>
          </w:tblCellMar>
        </w:tblPrEx>
        <w:trPr>
          <w:trHeight w:val="879"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“三公经费”控制率（3分）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部门本年度“三公经费”实际支出数与预算安排数的比率，用以反映和考核部门对“三公经费”的实际控制程度。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“三公经费”控制率=（“三公经费”实际支出数/“三公经费”预算安排数）×100%。为100%的计3分，每超过1个百分点扣0.5分，扣完为止。</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3</w:t>
            </w:r>
          </w:p>
        </w:tc>
      </w:tr>
      <w:tr>
        <w:tblPrEx>
          <w:tblCellMar>
            <w:top w:w="0" w:type="dxa"/>
            <w:left w:w="0" w:type="dxa"/>
            <w:bottom w:w="0" w:type="dxa"/>
            <w:right w:w="0" w:type="dxa"/>
          </w:tblCellMar>
        </w:tblPrEx>
        <w:trPr>
          <w:trHeight w:val="1283"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政府采购</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执行率</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（4分）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部门本年度实际政府采购金额与年初政府采购预算的比率，用以反映和考核部门政府采购预算执行情况。</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3</w:t>
            </w:r>
          </w:p>
        </w:tc>
      </w:tr>
      <w:tr>
        <w:tblPrEx>
          <w:tblCellMar>
            <w:top w:w="0" w:type="dxa"/>
            <w:left w:w="0" w:type="dxa"/>
            <w:bottom w:w="0" w:type="dxa"/>
            <w:right w:w="0" w:type="dxa"/>
          </w:tblCellMar>
        </w:tblPrEx>
        <w:trPr>
          <w:trHeight w:val="952"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restart"/>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预算</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管理</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(12分)</w:t>
            </w: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管理制度</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健全性</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（2分）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部门为加强预算管理、规范财务行为而制定的管理制度是否健全完整，用以反映和考核部门预算管理制度对完成主要职责或促进事业发展的保障情况。</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已制定或具有预算资金管理办法、内部财务管理制度、会计核算制度等管理制度计1分；相关管理制度合法、合规、完整计0.5分；相关管理制度得到有效执行计0.5分。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r>
      <w:tr>
        <w:tblPrEx>
          <w:tblCellMar>
            <w:top w:w="0" w:type="dxa"/>
            <w:left w:w="0" w:type="dxa"/>
            <w:bottom w:w="0" w:type="dxa"/>
            <w:right w:w="0" w:type="dxa"/>
          </w:tblCellMar>
        </w:tblPrEx>
        <w:trPr>
          <w:trHeight w:val="1605"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资金使用</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合规性</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（5分）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部门使用预算资金是否符合相关的预算财务管理制度的规定，用以反映和考核部门预算资金的规范运行情况。</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①符合国家财经法规和财务管理制度规定以及有关专项资金管理办法的规定计1分；</w:t>
            </w:r>
          </w:p>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②资金的拨付有完整的审批程序和手续计1分；</w:t>
            </w:r>
          </w:p>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③项目的重大开支经过评估论证计1分；</w:t>
            </w:r>
          </w:p>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④符合部门预算批复的用途计1分；</w:t>
            </w:r>
          </w:p>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⑤不存在截留、挤占、挪用、虚列支出等情况计1分。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r>
      <w:tr>
        <w:tblPrEx>
          <w:tblCellMar>
            <w:top w:w="0" w:type="dxa"/>
            <w:left w:w="0" w:type="dxa"/>
            <w:bottom w:w="0" w:type="dxa"/>
            <w:right w:w="0" w:type="dxa"/>
          </w:tblCellMar>
        </w:tblPrEx>
        <w:trPr>
          <w:trHeight w:val="1259"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预决算信</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息公开性（2分）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部门是否按照政府信息公开有关规定公开相关预决算信息，用以反映和考核部门预决算管理的公开透明情况。</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①按规定内容公开预决算信息计1分；</w:t>
            </w:r>
          </w:p>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②按规定时限公开预决算信息计1分。预决算信息是指与部门预算、执行、决算、监督、绩效等管理相关的信息。</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r>
      <w:tr>
        <w:tblPrEx>
          <w:tblCellMar>
            <w:top w:w="0" w:type="dxa"/>
            <w:left w:w="0" w:type="dxa"/>
            <w:bottom w:w="0" w:type="dxa"/>
            <w:right w:w="0" w:type="dxa"/>
          </w:tblCellMar>
        </w:tblPrEx>
        <w:trPr>
          <w:trHeight w:val="934"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基础信息</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完善性</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（3分）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部门基础信息是否完善，用以反映和考核基础信息对预算管理工作的支撑情况。</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①基础数据信息和会计信息资料真实计1分；</w:t>
            </w:r>
          </w:p>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②基础数据信息和会计信息资料完整计1分；</w:t>
            </w:r>
          </w:p>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③基础数据信息和会计信息资料准确计1分。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3</w:t>
            </w:r>
          </w:p>
        </w:tc>
      </w:tr>
      <w:tr>
        <w:tblPrEx>
          <w:tblCellMar>
            <w:top w:w="0" w:type="dxa"/>
            <w:left w:w="0" w:type="dxa"/>
            <w:bottom w:w="0" w:type="dxa"/>
            <w:right w:w="0" w:type="dxa"/>
          </w:tblCellMar>
        </w:tblPrEx>
        <w:trPr>
          <w:trHeight w:val="968"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restart"/>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资产</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管理</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（5分）</w:t>
            </w: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管理制度</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健全性</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（2分）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部门为加强资产管理、规范资产管理行为而制定的管理制度是否健全完整，用以反映和考核部门资产管理制度对完成主要职责或促进社会发展的保障情况。</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①制定或具有资产管理制度计1分；</w:t>
            </w:r>
          </w:p>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②相关资金管理制度合法、合规、完整计0.5分；</w:t>
            </w:r>
          </w:p>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③相关资产管理制度得到有效执行计0.5分。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r>
      <w:tr>
        <w:tblPrEx>
          <w:tblCellMar>
            <w:top w:w="0" w:type="dxa"/>
            <w:left w:w="0" w:type="dxa"/>
            <w:bottom w:w="0" w:type="dxa"/>
            <w:right w:w="0" w:type="dxa"/>
          </w:tblCellMar>
        </w:tblPrEx>
        <w:trPr>
          <w:trHeight w:val="1566"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资产管理</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安全性</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（2分）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761"/>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部门的资产是否保存完整、使用合规、配置合理、处置规范、收入及时足额上缴，用以反映和考核部门资产安全运行情况。</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①资产保存完整计0.4分；</w:t>
            </w:r>
          </w:p>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②资产配置合理计0.4分；</w:t>
            </w:r>
          </w:p>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③资产处置规范计0.4分；</w:t>
            </w:r>
          </w:p>
          <w:p>
            <w:pPr>
              <w:widowControl/>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④资产账务管理合规、</w:t>
            </w:r>
            <w:bookmarkStart w:id="0" w:name="_GoBack"/>
            <w:bookmarkEnd w:id="0"/>
            <w:r>
              <w:rPr>
                <w:rFonts w:hint="eastAsia" w:ascii="仿宋" w:hAnsi="仿宋" w:eastAsia="仿宋" w:cs="宋体"/>
                <w:color w:val="000000"/>
                <w:kern w:val="0"/>
                <w:sz w:val="28"/>
                <w:szCs w:val="28"/>
                <w:lang w:eastAsia="zh-CN"/>
              </w:rPr>
              <w:t>账实相符</w:t>
            </w:r>
            <w:r>
              <w:rPr>
                <w:rFonts w:hint="eastAsia" w:ascii="仿宋" w:hAnsi="仿宋" w:eastAsia="仿宋" w:cs="宋体"/>
                <w:color w:val="000000"/>
                <w:kern w:val="0"/>
                <w:sz w:val="28"/>
                <w:szCs w:val="28"/>
              </w:rPr>
              <w:t>计0.4分；</w:t>
            </w:r>
          </w:p>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⑤资产有偿使用及处置收入及时足额上缴计0.4分。</w:t>
            </w:r>
          </w:p>
        </w:tc>
        <w:tc>
          <w:tcPr>
            <w:tcW w:w="873" w:type="dxa"/>
            <w:tcBorders>
              <w:top w:val="nil"/>
              <w:left w:val="nil"/>
              <w:bottom w:val="single" w:color="auto" w:sz="8" w:space="0"/>
              <w:right w:val="single" w:color="auto" w:sz="8" w:space="0"/>
            </w:tcBorders>
            <w:vAlign w:val="center"/>
          </w:tcPr>
          <w:p>
            <w:pPr>
              <w:widowControl/>
              <w:tabs>
                <w:tab w:val="left" w:pos="761"/>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1.6</w:t>
            </w:r>
          </w:p>
        </w:tc>
      </w:tr>
      <w:tr>
        <w:tblPrEx>
          <w:tblCellMar>
            <w:top w:w="0" w:type="dxa"/>
            <w:left w:w="0" w:type="dxa"/>
            <w:bottom w:w="0" w:type="dxa"/>
            <w:right w:w="0" w:type="dxa"/>
          </w:tblCellMar>
        </w:tblPrEx>
        <w:trPr>
          <w:trHeight w:val="1059"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固定资产</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利用率</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（1分）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部门实际在用固定资产总额与所有固定资产总额的比率，用以反映和考核部门固定资产使用效率程度。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固定资产利用率=（实际在用固定资产总额/所有固定资产总额）×100%。利用率为100%的计1分，每降1个百分点扣0.1分，扣完为止。</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1</w:t>
            </w:r>
          </w:p>
        </w:tc>
      </w:tr>
      <w:tr>
        <w:tblPrEx>
          <w:tblCellMar>
            <w:top w:w="0" w:type="dxa"/>
            <w:left w:w="0" w:type="dxa"/>
            <w:bottom w:w="0" w:type="dxa"/>
            <w:right w:w="0" w:type="dxa"/>
          </w:tblCellMar>
        </w:tblPrEx>
        <w:trPr>
          <w:trHeight w:val="894" w:hRule="atLeast"/>
          <w:jc w:val="center"/>
        </w:trPr>
        <w:tc>
          <w:tcPr>
            <w:tcW w:w="527"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产出</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(20分)</w:t>
            </w:r>
          </w:p>
        </w:tc>
        <w:tc>
          <w:tcPr>
            <w:tcW w:w="768" w:type="dxa"/>
            <w:vMerge w:val="restart"/>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职责</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履行</w:t>
            </w: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实际完成率（5分）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部门履行职责而实际完成工作数与计划工作数的比率，用以反映和考核部门履职工作任务目标的实现程度。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实际完成率得分=完成县委县政府绩效考核得分或上级主管部门考核指标得分/指标分值*5分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r>
      <w:tr>
        <w:tblPrEx>
          <w:tblCellMar>
            <w:top w:w="0" w:type="dxa"/>
            <w:left w:w="0" w:type="dxa"/>
            <w:bottom w:w="0" w:type="dxa"/>
            <w:right w:w="0" w:type="dxa"/>
          </w:tblCellMar>
        </w:tblPrEx>
        <w:trPr>
          <w:trHeight w:val="864"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完成及时率（4分）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部门在规定时限内及时完成的实际工作数与计划工作数的比率,用以反映和考核部门履职时效目标的实现程度。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完成及时率=（及时完成实际工作数/计划工作数）×100%。1-4季度各得1分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r>
      <w:tr>
        <w:tblPrEx>
          <w:tblCellMar>
            <w:top w:w="0" w:type="dxa"/>
            <w:left w:w="0" w:type="dxa"/>
            <w:bottom w:w="0" w:type="dxa"/>
            <w:right w:w="0" w:type="dxa"/>
          </w:tblCellMar>
        </w:tblPrEx>
        <w:trPr>
          <w:trHeight w:val="804"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质量达标率（5分）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达到质量标准（绩效标准值）的实际工作数与计划工作数的比率,用以反映和考核部门履职质量目标的实现程度。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质量达标率=（质量达标实际工作数/计划工作数）×100%。实际得分=达标率*5分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r>
      <w:tr>
        <w:tblPrEx>
          <w:tblCellMar>
            <w:top w:w="0" w:type="dxa"/>
            <w:left w:w="0" w:type="dxa"/>
            <w:bottom w:w="0" w:type="dxa"/>
            <w:right w:w="0" w:type="dxa"/>
          </w:tblCellMar>
        </w:tblPrEx>
        <w:trPr>
          <w:trHeight w:val="1059"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重点工作</w:t>
            </w:r>
          </w:p>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办结率</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（6分）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部门年度重点工作实际完成数与交办或下达数的比率，用以反映部门对重点工作的办理落实程度。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重点工作办结率=（重点工作实际完成数/交办或下达数）×100%。实际得分=办结率*6分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6</w:t>
            </w:r>
          </w:p>
        </w:tc>
      </w:tr>
      <w:tr>
        <w:tblPrEx>
          <w:tblCellMar>
            <w:top w:w="0" w:type="dxa"/>
            <w:left w:w="0" w:type="dxa"/>
            <w:bottom w:w="0" w:type="dxa"/>
            <w:right w:w="0" w:type="dxa"/>
          </w:tblCellMar>
        </w:tblPrEx>
        <w:trPr>
          <w:trHeight w:val="644" w:hRule="atLeast"/>
          <w:jc w:val="center"/>
        </w:trPr>
        <w:tc>
          <w:tcPr>
            <w:tcW w:w="527"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效果</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(20分)</w:t>
            </w:r>
          </w:p>
        </w:tc>
        <w:tc>
          <w:tcPr>
            <w:tcW w:w="768" w:type="dxa"/>
            <w:vMerge w:val="restart"/>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履职</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效益(20分)</w:t>
            </w: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经济效益（5分）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部门履行职责对经济发展所带来的直接或间接影响。</w:t>
            </w:r>
          </w:p>
        </w:tc>
        <w:tc>
          <w:tcPr>
            <w:tcW w:w="3341" w:type="dxa"/>
            <w:tcBorders>
              <w:top w:val="nil"/>
              <w:left w:val="nil"/>
              <w:bottom w:val="single" w:color="auto" w:sz="4"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按经济效益实现程度计算得分（5分）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r>
      <w:tr>
        <w:tblPrEx>
          <w:tblCellMar>
            <w:top w:w="0" w:type="dxa"/>
            <w:left w:w="0" w:type="dxa"/>
            <w:bottom w:w="0" w:type="dxa"/>
            <w:right w:w="0" w:type="dxa"/>
          </w:tblCellMar>
        </w:tblPrEx>
        <w:trPr>
          <w:trHeight w:val="644"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社会效益（5分）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部门履行职责对社会发展所带来的直接或间接影响。</w:t>
            </w:r>
          </w:p>
        </w:tc>
        <w:tc>
          <w:tcPr>
            <w:tcW w:w="3341" w:type="dxa"/>
            <w:tcBorders>
              <w:top w:val="single" w:color="auto" w:sz="4" w:space="0"/>
              <w:left w:val="nil"/>
              <w:bottom w:val="single" w:color="auto" w:sz="4"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r>
              <w:rPr>
                <w:rFonts w:hint="eastAsia" w:ascii="仿宋" w:hAnsi="仿宋" w:eastAsia="仿宋" w:cs="宋体"/>
                <w:color w:val="000000"/>
                <w:sz w:val="28"/>
                <w:szCs w:val="28"/>
              </w:rPr>
              <w:t>按社会效益实现程度计算得分（5分）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r>
      <w:tr>
        <w:tblPrEx>
          <w:tblCellMar>
            <w:top w:w="0" w:type="dxa"/>
            <w:left w:w="0" w:type="dxa"/>
            <w:bottom w:w="0" w:type="dxa"/>
            <w:right w:w="0" w:type="dxa"/>
          </w:tblCellMar>
        </w:tblPrEx>
        <w:trPr>
          <w:trHeight w:val="644"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行政效能</w:t>
            </w:r>
          </w:p>
          <w:p>
            <w:pPr>
              <w:spacing w:before="156" w:beforeLines="50" w:line="6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促进部门改进文风会风，加强经费及资产管理，推动网上办事，提高行政效率。</w:t>
            </w:r>
          </w:p>
        </w:tc>
        <w:tc>
          <w:tcPr>
            <w:tcW w:w="3341" w:type="dxa"/>
            <w:tcBorders>
              <w:top w:val="single" w:color="auto" w:sz="4" w:space="0"/>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降低行政成本效果较好的计6分；一般3分；无效果或者效果不明显0分。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3</w:t>
            </w:r>
          </w:p>
        </w:tc>
      </w:tr>
      <w:tr>
        <w:tblPrEx>
          <w:tblCellMar>
            <w:top w:w="0" w:type="dxa"/>
            <w:left w:w="0" w:type="dxa"/>
            <w:bottom w:w="0" w:type="dxa"/>
            <w:right w:w="0" w:type="dxa"/>
          </w:tblCellMar>
        </w:tblPrEx>
        <w:trPr>
          <w:trHeight w:val="1259" w:hRule="atLeast"/>
          <w:jc w:val="center"/>
        </w:trPr>
        <w:tc>
          <w:tcPr>
            <w:tcW w:w="527"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768"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before="156" w:beforeLines="50" w:line="600" w:lineRule="exact"/>
              <w:rPr>
                <w:rFonts w:ascii="仿宋" w:hAnsi="仿宋" w:eastAsia="仿宋" w:cs="宋体"/>
                <w:color w:val="000000"/>
                <w:sz w:val="28"/>
                <w:szCs w:val="28"/>
              </w:rPr>
            </w:pPr>
          </w:p>
        </w:tc>
        <w:tc>
          <w:tcPr>
            <w:tcW w:w="895"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社会公众</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或服务对</w:t>
            </w:r>
          </w:p>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象满意度（5分）</w:t>
            </w:r>
          </w:p>
        </w:tc>
        <w:tc>
          <w:tcPr>
            <w:tcW w:w="3241" w:type="dxa"/>
            <w:tcBorders>
              <w:top w:val="nil"/>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仿宋" w:hAnsi="仿宋" w:eastAsia="仿宋" w:cs="宋体"/>
                <w:color w:val="000000"/>
                <w:kern w:val="0"/>
                <w:sz w:val="28"/>
                <w:szCs w:val="28"/>
              </w:rPr>
              <w:t>社会公众或部门的服务对象对部门履职效果的满意程度。</w:t>
            </w:r>
          </w:p>
        </w:tc>
        <w:tc>
          <w:tcPr>
            <w:tcW w:w="3341" w:type="dxa"/>
            <w:tcBorders>
              <w:top w:val="nil"/>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仿宋" w:hAnsi="仿宋" w:eastAsia="仿宋" w:cs="宋体"/>
                <w:kern w:val="0"/>
                <w:sz w:val="28"/>
                <w:szCs w:val="28"/>
              </w:rPr>
              <w:t>90%</w:t>
            </w:r>
            <w:r>
              <w:rPr>
                <w:rFonts w:hint="eastAsia" w:ascii="仿宋" w:hAnsi="仿宋" w:eastAsia="仿宋" w:cs="宋体"/>
                <w:color w:val="000000"/>
                <w:kern w:val="0"/>
                <w:sz w:val="28"/>
                <w:szCs w:val="28"/>
              </w:rPr>
              <w:t>（含）以上计5分；80%（含）-90%，计4分；70%（含）-80%，计3分；60%（含）-70%，计2分；低于60%计0分。</w:t>
            </w:r>
          </w:p>
        </w:tc>
        <w:tc>
          <w:tcPr>
            <w:tcW w:w="873" w:type="dxa"/>
            <w:tcBorders>
              <w:top w:val="nil"/>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4.9</w:t>
            </w:r>
          </w:p>
        </w:tc>
      </w:tr>
      <w:tr>
        <w:tblPrEx>
          <w:tblCellMar>
            <w:top w:w="0" w:type="dxa"/>
            <w:left w:w="0" w:type="dxa"/>
            <w:bottom w:w="0" w:type="dxa"/>
            <w:right w:w="0" w:type="dxa"/>
          </w:tblCellMar>
        </w:tblPrEx>
        <w:trPr>
          <w:trHeight w:val="608" w:hRule="atLeast"/>
          <w:jc w:val="center"/>
        </w:trPr>
        <w:tc>
          <w:tcPr>
            <w:tcW w:w="527" w:type="dxa"/>
            <w:tcBorders>
              <w:top w:val="single" w:color="auto" w:sz="8" w:space="0"/>
              <w:left w:val="single" w:color="auto" w:sz="8" w:space="0"/>
              <w:bottom w:val="single" w:color="auto" w:sz="8" w:space="0"/>
              <w:right w:val="single" w:color="auto" w:sz="8" w:space="0"/>
            </w:tcBorders>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总分</w:t>
            </w:r>
          </w:p>
        </w:tc>
        <w:tc>
          <w:tcPr>
            <w:tcW w:w="768" w:type="dxa"/>
            <w:tcBorders>
              <w:top w:val="single" w:color="auto" w:sz="8" w:space="0"/>
              <w:left w:val="nil"/>
              <w:bottom w:val="single" w:color="auto" w:sz="8" w:space="0"/>
              <w:right w:val="single" w:color="auto" w:sz="8" w:space="0"/>
            </w:tcBorders>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100</w:t>
            </w:r>
          </w:p>
        </w:tc>
        <w:tc>
          <w:tcPr>
            <w:tcW w:w="895" w:type="dxa"/>
            <w:tcBorders>
              <w:top w:val="single" w:color="auto" w:sz="8" w:space="0"/>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jc w:val="center"/>
              <w:rPr>
                <w:rFonts w:ascii="仿宋" w:hAnsi="仿宋" w:eastAsia="仿宋" w:cs="宋体"/>
                <w:kern w:val="0"/>
                <w:sz w:val="28"/>
                <w:szCs w:val="28"/>
              </w:rPr>
            </w:pPr>
            <w:r>
              <w:rPr>
                <w:rFonts w:hint="eastAsia" w:ascii="仿宋" w:hAnsi="仿宋" w:eastAsia="仿宋" w:cs="宋体"/>
                <w:color w:val="000000"/>
                <w:kern w:val="0"/>
                <w:sz w:val="28"/>
                <w:szCs w:val="28"/>
              </w:rPr>
              <w:t>100　</w:t>
            </w:r>
          </w:p>
        </w:tc>
        <w:tc>
          <w:tcPr>
            <w:tcW w:w="3241" w:type="dxa"/>
            <w:tcBorders>
              <w:top w:val="single" w:color="auto" w:sz="8" w:space="0"/>
              <w:left w:val="nil"/>
              <w:bottom w:val="single" w:color="auto" w:sz="8" w:space="0"/>
              <w:right w:val="single" w:color="auto" w:sz="8" w:space="0"/>
            </w:tcBorders>
            <w:tcMar>
              <w:top w:w="10" w:type="dxa"/>
              <w:left w:w="10" w:type="dxa"/>
              <w:right w:w="10" w:type="dxa"/>
            </w:tcMar>
            <w:vAlign w:val="center"/>
          </w:tcPr>
          <w:p>
            <w:pPr>
              <w:widowControl/>
              <w:tabs>
                <w:tab w:val="left" w:pos="2604"/>
              </w:tabs>
              <w:spacing w:before="156" w:beforeLines="50" w:line="600" w:lineRule="exact"/>
              <w:rPr>
                <w:rFonts w:ascii="仿宋" w:hAnsi="仿宋" w:eastAsia="仿宋" w:cs="宋体"/>
                <w:kern w:val="0"/>
                <w:sz w:val="28"/>
                <w:szCs w:val="28"/>
              </w:rPr>
            </w:pPr>
            <w:r>
              <w:rPr>
                <w:rFonts w:hint="eastAsia" w:ascii="宋体" w:hAnsi="宋体" w:eastAsia="仿宋" w:cs="宋体"/>
                <w:color w:val="000000"/>
                <w:kern w:val="0"/>
                <w:sz w:val="28"/>
                <w:szCs w:val="28"/>
              </w:rPr>
              <w:t> </w:t>
            </w:r>
          </w:p>
        </w:tc>
        <w:tc>
          <w:tcPr>
            <w:tcW w:w="3341" w:type="dxa"/>
            <w:tcBorders>
              <w:top w:val="single" w:color="auto" w:sz="8" w:space="0"/>
              <w:left w:val="nil"/>
              <w:bottom w:val="single" w:color="auto" w:sz="8" w:space="0"/>
              <w:right w:val="single" w:color="auto" w:sz="8" w:space="0"/>
            </w:tcBorders>
            <w:tcMar>
              <w:top w:w="10" w:type="dxa"/>
              <w:left w:w="10" w:type="dxa"/>
              <w:right w:w="10" w:type="dxa"/>
            </w:tcMar>
            <w:vAlign w:val="center"/>
          </w:tcPr>
          <w:p>
            <w:pPr>
              <w:widowControl/>
              <w:spacing w:before="156" w:beforeLines="50" w:line="600" w:lineRule="exact"/>
              <w:rPr>
                <w:rFonts w:ascii="仿宋" w:hAnsi="仿宋" w:eastAsia="仿宋" w:cs="宋体"/>
                <w:kern w:val="0"/>
                <w:sz w:val="28"/>
                <w:szCs w:val="28"/>
              </w:rPr>
            </w:pPr>
            <w:r>
              <w:rPr>
                <w:rFonts w:hint="eastAsia" w:ascii="宋体" w:hAnsi="宋体" w:eastAsia="仿宋" w:cs="宋体"/>
                <w:color w:val="000000"/>
                <w:kern w:val="0"/>
                <w:sz w:val="28"/>
                <w:szCs w:val="28"/>
              </w:rPr>
              <w:t> </w:t>
            </w:r>
          </w:p>
        </w:tc>
        <w:tc>
          <w:tcPr>
            <w:tcW w:w="873" w:type="dxa"/>
            <w:tcBorders>
              <w:top w:val="single" w:color="auto" w:sz="8" w:space="0"/>
              <w:left w:val="nil"/>
              <w:bottom w:val="single" w:color="auto" w:sz="8" w:space="0"/>
              <w:right w:val="single" w:color="auto" w:sz="8" w:space="0"/>
            </w:tcBorders>
            <w:vAlign w:val="center"/>
          </w:tcPr>
          <w:p>
            <w:pPr>
              <w:widowControl/>
              <w:tabs>
                <w:tab w:val="left" w:pos="2604"/>
              </w:tabs>
              <w:spacing w:before="156" w:beforeLines="50" w:line="600" w:lineRule="exact"/>
              <w:jc w:val="center"/>
              <w:rPr>
                <w:rFonts w:ascii="仿宋" w:hAnsi="仿宋" w:eastAsia="仿宋" w:cs="宋体"/>
                <w:kern w:val="0"/>
                <w:sz w:val="28"/>
                <w:szCs w:val="28"/>
              </w:rPr>
            </w:pPr>
            <w:r>
              <w:rPr>
                <w:rFonts w:hint="eastAsia" w:ascii="仿宋" w:hAnsi="仿宋" w:eastAsia="仿宋" w:cs="宋体"/>
                <w:kern w:val="0"/>
                <w:sz w:val="28"/>
                <w:szCs w:val="28"/>
              </w:rPr>
              <w:t>96</w:t>
            </w:r>
          </w:p>
        </w:tc>
      </w:tr>
    </w:tbl>
    <w:p/>
    <w:p>
      <w:pPr>
        <w:ind w:firstLine="640" w:firstLineChars="200"/>
        <w:jc w:val="left"/>
        <w:rPr>
          <w:rFonts w:cs="黑体" w:asciiTheme="minorEastAsia" w:hAnsiTheme="minorEastAsia"/>
          <w:color w:val="000000"/>
          <w:kern w:val="0"/>
          <w:sz w:val="32"/>
          <w:szCs w:val="32"/>
        </w:rPr>
      </w:pPr>
    </w:p>
    <w:sectPr>
      <w:headerReference r:id="rId3" w:type="default"/>
      <w:footerReference r:id="rId4"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YzYzVjMTkxMTE2MGJlOTUwODEyMzY5OTM1MDUifQ=="/>
  </w:docVars>
  <w:rsids>
    <w:rsidRoot w:val="004506F9"/>
    <w:rsid w:val="0002229B"/>
    <w:rsid w:val="000273BD"/>
    <w:rsid w:val="000415B7"/>
    <w:rsid w:val="00041E3F"/>
    <w:rsid w:val="00044BF7"/>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452B3"/>
    <w:rsid w:val="00264552"/>
    <w:rsid w:val="00264EF9"/>
    <w:rsid w:val="00265724"/>
    <w:rsid w:val="0027426B"/>
    <w:rsid w:val="002D5FD1"/>
    <w:rsid w:val="002E0A30"/>
    <w:rsid w:val="003000C7"/>
    <w:rsid w:val="003130C4"/>
    <w:rsid w:val="00316C4B"/>
    <w:rsid w:val="0032192B"/>
    <w:rsid w:val="003479BD"/>
    <w:rsid w:val="0037197D"/>
    <w:rsid w:val="003768D5"/>
    <w:rsid w:val="003811FE"/>
    <w:rsid w:val="003962F7"/>
    <w:rsid w:val="003A4D62"/>
    <w:rsid w:val="003C0C48"/>
    <w:rsid w:val="003C47E6"/>
    <w:rsid w:val="003C4FC2"/>
    <w:rsid w:val="0040598B"/>
    <w:rsid w:val="00416E61"/>
    <w:rsid w:val="0042790C"/>
    <w:rsid w:val="004506F9"/>
    <w:rsid w:val="0046253B"/>
    <w:rsid w:val="004717A2"/>
    <w:rsid w:val="00473DF3"/>
    <w:rsid w:val="00487911"/>
    <w:rsid w:val="00491741"/>
    <w:rsid w:val="00500E5F"/>
    <w:rsid w:val="005122EF"/>
    <w:rsid w:val="0051441A"/>
    <w:rsid w:val="00517C33"/>
    <w:rsid w:val="00523644"/>
    <w:rsid w:val="00535DF2"/>
    <w:rsid w:val="0054069E"/>
    <w:rsid w:val="00544866"/>
    <w:rsid w:val="00545298"/>
    <w:rsid w:val="005767CC"/>
    <w:rsid w:val="00590D9F"/>
    <w:rsid w:val="00593BBF"/>
    <w:rsid w:val="00595D26"/>
    <w:rsid w:val="005A74E6"/>
    <w:rsid w:val="005B404E"/>
    <w:rsid w:val="005D4D55"/>
    <w:rsid w:val="005E2CFB"/>
    <w:rsid w:val="005F3D1C"/>
    <w:rsid w:val="0062378F"/>
    <w:rsid w:val="00641842"/>
    <w:rsid w:val="00651EEC"/>
    <w:rsid w:val="006572AE"/>
    <w:rsid w:val="00691E8C"/>
    <w:rsid w:val="006A22C4"/>
    <w:rsid w:val="006A351B"/>
    <w:rsid w:val="006B0422"/>
    <w:rsid w:val="006C1B53"/>
    <w:rsid w:val="006C41CC"/>
    <w:rsid w:val="006D7730"/>
    <w:rsid w:val="006E5284"/>
    <w:rsid w:val="006F3EB5"/>
    <w:rsid w:val="00702E34"/>
    <w:rsid w:val="00704395"/>
    <w:rsid w:val="00717621"/>
    <w:rsid w:val="00717829"/>
    <w:rsid w:val="00720FF1"/>
    <w:rsid w:val="00727A53"/>
    <w:rsid w:val="00742D09"/>
    <w:rsid w:val="00787B42"/>
    <w:rsid w:val="007C4539"/>
    <w:rsid w:val="007F3657"/>
    <w:rsid w:val="007F67AE"/>
    <w:rsid w:val="00812ED5"/>
    <w:rsid w:val="008277D9"/>
    <w:rsid w:val="0084478C"/>
    <w:rsid w:val="0086638C"/>
    <w:rsid w:val="008A3E8D"/>
    <w:rsid w:val="008F557E"/>
    <w:rsid w:val="009237C4"/>
    <w:rsid w:val="00944C48"/>
    <w:rsid w:val="00950252"/>
    <w:rsid w:val="00967F5D"/>
    <w:rsid w:val="009A0F95"/>
    <w:rsid w:val="009B3ADF"/>
    <w:rsid w:val="009C3B52"/>
    <w:rsid w:val="009D4373"/>
    <w:rsid w:val="009E6817"/>
    <w:rsid w:val="009E6E9A"/>
    <w:rsid w:val="00A01D2B"/>
    <w:rsid w:val="00A25380"/>
    <w:rsid w:val="00A42218"/>
    <w:rsid w:val="00A53763"/>
    <w:rsid w:val="00A70249"/>
    <w:rsid w:val="00A70B02"/>
    <w:rsid w:val="00A71D9F"/>
    <w:rsid w:val="00A92E9F"/>
    <w:rsid w:val="00AE1B6C"/>
    <w:rsid w:val="00B33BEA"/>
    <w:rsid w:val="00B352B0"/>
    <w:rsid w:val="00B53F5C"/>
    <w:rsid w:val="00B57C9F"/>
    <w:rsid w:val="00B63572"/>
    <w:rsid w:val="00B845B3"/>
    <w:rsid w:val="00B85D8B"/>
    <w:rsid w:val="00B93277"/>
    <w:rsid w:val="00BB4A40"/>
    <w:rsid w:val="00BD6C3E"/>
    <w:rsid w:val="00BE3674"/>
    <w:rsid w:val="00C10681"/>
    <w:rsid w:val="00C3049A"/>
    <w:rsid w:val="00C31B1E"/>
    <w:rsid w:val="00C33395"/>
    <w:rsid w:val="00C6168A"/>
    <w:rsid w:val="00C665D9"/>
    <w:rsid w:val="00C77645"/>
    <w:rsid w:val="00CA299B"/>
    <w:rsid w:val="00CE04C3"/>
    <w:rsid w:val="00CE6EAA"/>
    <w:rsid w:val="00CE76A0"/>
    <w:rsid w:val="00D148C6"/>
    <w:rsid w:val="00D17A8A"/>
    <w:rsid w:val="00D415BA"/>
    <w:rsid w:val="00D45AA4"/>
    <w:rsid w:val="00D644EE"/>
    <w:rsid w:val="00D86C80"/>
    <w:rsid w:val="00DD06FF"/>
    <w:rsid w:val="00DD5FE9"/>
    <w:rsid w:val="00DE7CCA"/>
    <w:rsid w:val="00E00C7A"/>
    <w:rsid w:val="00E054B7"/>
    <w:rsid w:val="00E37D6C"/>
    <w:rsid w:val="00E41639"/>
    <w:rsid w:val="00E55B68"/>
    <w:rsid w:val="00E67BE6"/>
    <w:rsid w:val="00E8683C"/>
    <w:rsid w:val="00EA2B72"/>
    <w:rsid w:val="00F27615"/>
    <w:rsid w:val="00F420DC"/>
    <w:rsid w:val="00F74360"/>
    <w:rsid w:val="00FB462F"/>
    <w:rsid w:val="00FE16FA"/>
    <w:rsid w:val="00FE328A"/>
    <w:rsid w:val="00FE6269"/>
    <w:rsid w:val="01B53254"/>
    <w:rsid w:val="02D97474"/>
    <w:rsid w:val="06DE4574"/>
    <w:rsid w:val="07645C63"/>
    <w:rsid w:val="135242D3"/>
    <w:rsid w:val="2AD9589C"/>
    <w:rsid w:val="31824070"/>
    <w:rsid w:val="31AF55A0"/>
    <w:rsid w:val="366431B9"/>
    <w:rsid w:val="38130797"/>
    <w:rsid w:val="557D28EF"/>
    <w:rsid w:val="667448DE"/>
    <w:rsid w:val="70715B9B"/>
    <w:rsid w:val="76CC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6E4A-D1EE-4A9F-862B-1DD18D40C8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8294</Words>
  <Characters>9167</Characters>
  <Lines>123</Lines>
  <Paragraphs>34</Paragraphs>
  <TotalTime>2</TotalTime>
  <ScaleCrop>false</ScaleCrop>
  <LinksUpToDate>false</LinksUpToDate>
  <CharactersWithSpaces>9182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2021-11-03T08:05:00Z</dcterms:created>
  <dc:creator>李航 null</dc:creator>
  <cp:lastModifiedBy>Administrator</cp:lastModifiedBy>
  <cp:lastPrinted>2021-07-28T00:12:00Z</cp:lastPrinted>
  <dcterms:modified xsi:type="dcterms:W3CDTF">2022-10-13T06:35:23Z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666E0D85AFBB45C8BC35C0D0E3A4C561</vt:lpwstr>
  </property>
</Properties>
</file>