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jc w:val="center"/>
        <w:rPr>
          <w:rFonts w:hint="eastAsia" w:ascii="微软雅黑" w:hAnsi="微软雅黑" w:eastAsia="微软雅黑" w:cs="宋体"/>
          <w:b/>
          <w:bCs/>
          <w:color w:val="1E1E1E"/>
          <w:kern w:val="0"/>
          <w:sz w:val="38"/>
          <w:szCs w:val="38"/>
        </w:rPr>
      </w:pPr>
      <w:r>
        <w:rPr>
          <w:rFonts w:hint="eastAsia" w:ascii="微软雅黑" w:hAnsi="微软雅黑" w:eastAsia="微软雅黑" w:cs="宋体"/>
          <w:b/>
          <w:bCs/>
          <w:color w:val="1E1E1E"/>
          <w:kern w:val="0"/>
          <w:sz w:val="38"/>
          <w:szCs w:val="38"/>
        </w:rPr>
        <w:t>湖南省新邵县工业职业中等专业学校2020年度部门整体支出绩效自评报告</w:t>
      </w:r>
    </w:p>
    <w:p>
      <w:pPr>
        <w:spacing w:line="600" w:lineRule="atLeast"/>
        <w:ind w:firstLine="640"/>
        <w:rPr>
          <w:rFonts w:ascii="Calibri" w:hAnsi="Calibri" w:eastAsia="微软雅黑" w:cs="宋体"/>
          <w:color w:val="1E1E1E"/>
          <w:kern w:val="0"/>
        </w:rPr>
      </w:pPr>
      <w:r>
        <w:rPr>
          <w:rFonts w:hint="eastAsia" w:ascii="仿宋" w:hAnsi="仿宋" w:eastAsia="仿宋" w:cs="宋体"/>
          <w:color w:val="1E1E1E"/>
          <w:kern w:val="0"/>
          <w:sz w:val="32"/>
          <w:szCs w:val="32"/>
        </w:rPr>
        <w:t>根据《湖南省财政厅关于印发〈湖南省预算支出绩效评价管理办法〉的通知》（湘财绩〔2020〕7号）文件精神，请县直各预算单位和各乡镇根据《新邵县财政局关于编制2020年部门整体支出绩效目标的通知》（新财预〔2020〕53号）和《新邵县财政局关于编制2020年项目预算绩效目标的通知》（新财预〔2020〕54号）的相关要求，新财绩﹝2021﹞136号，对2020年部门整体支出和专项支出实施绩效自要求，</w:t>
      </w:r>
    </w:p>
    <w:p>
      <w:pPr>
        <w:spacing w:line="420" w:lineRule="atLeast"/>
        <w:ind w:left="1" w:firstLine="621"/>
        <w:rPr>
          <w:rFonts w:ascii="Calibri" w:hAnsi="Calibri" w:eastAsia="微软雅黑" w:cs="宋体"/>
          <w:color w:val="1E1E1E"/>
          <w:kern w:val="0"/>
        </w:rPr>
      </w:pPr>
      <w:r>
        <w:rPr>
          <w:rFonts w:hint="eastAsia" w:ascii="仿宋" w:hAnsi="仿宋" w:eastAsia="仿宋" w:cs="宋体"/>
          <w:color w:val="1E1E1E"/>
          <w:kern w:val="0"/>
          <w:sz w:val="32"/>
          <w:szCs w:val="32"/>
        </w:rPr>
        <w:t>我校于2020年01月01日至12月31日，对新邵县工业职业中等专业学校2020年部门整体资金使用情况进行绩效评价。在评价过程中，我们秉着独立、客观、公正的原则，根据设定的绩效目标，运用科学、合理的绩效评价指标、评价标准和评价方法，对新邵县工业职业学校部门整体支出进行绩效自评。现将绩效自评结果报告如下：</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一、部门概况</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（一）部门基本情况</w:t>
      </w:r>
    </w:p>
    <w:p>
      <w:pPr>
        <w:spacing w:line="420" w:lineRule="atLeast"/>
        <w:ind w:left="1" w:hanging="480"/>
        <w:jc w:val="both"/>
        <w:rPr>
          <w:rFonts w:hint="eastAsia" w:ascii="Calibri" w:hAnsi="Calibri" w:eastAsia="微软雅黑" w:cs="宋体"/>
          <w:color w:val="1E1E1E"/>
          <w:kern w:val="0"/>
        </w:rPr>
      </w:pPr>
      <w:r>
        <w:rPr>
          <w:rFonts w:hint="eastAsia" w:ascii="仿宋" w:hAnsi="仿宋" w:eastAsia="仿宋" w:cs="宋体"/>
          <w:color w:val="1E1E1E"/>
          <w:kern w:val="0"/>
          <w:sz w:val="32"/>
          <w:szCs w:val="32"/>
        </w:rPr>
        <w:t>   　新邵工业职业中等专业学校，创办于1986年，是一所县政府主办、教育局主管的公立学校，是国家首批学习和推广德国“双元制”教学模式的试点学校，湖南省双文明建设先进单位。2005年，学校被评定为国家级重点职业中学；2008年被认定为“湖南省示范性职业学校”；2012年，学校成功申报为省示范性县职教中心牵头学校。现有在职教职工177人，离退休人员35人，编制外聘用人员20人，在校学生近3000人。学校占地面积8.1万平方米，建筑面积3.7万多平方米。设有机电设备安装与维修、工业与民用建筑、计算机及应用、财会、电子电器、数控、服装、电子商务、汽车维修、美术、工业机器人等11个骨干专业。其中，机电设备安装与维修专业2011年被确定为湖南省重点建设专业、2012年成功申报为省示范特色建设专业。我校是邵阳市职业类学校中唯一具有建筑施工与预算专业招生资格的学校。</w:t>
      </w:r>
    </w:p>
    <w:p>
      <w:pPr>
        <w:spacing w:line="420" w:lineRule="atLeast"/>
        <w:ind w:left="210" w:leftChars="100" w:firstLine="960" w:firstLineChars="300"/>
        <w:jc w:val="both"/>
        <w:rPr>
          <w:rFonts w:ascii="Calibri" w:hAnsi="Calibri" w:eastAsia="微软雅黑" w:cs="宋体"/>
          <w:color w:val="1E1E1E"/>
          <w:kern w:val="0"/>
        </w:rPr>
      </w:pPr>
      <w:r>
        <w:rPr>
          <w:rFonts w:hint="eastAsia" w:ascii="仿宋" w:hAnsi="仿宋" w:eastAsia="仿宋" w:cs="宋体"/>
          <w:color w:val="1E1E1E"/>
          <w:kern w:val="0"/>
          <w:sz w:val="32"/>
          <w:szCs w:val="32"/>
        </w:rPr>
        <w:t>建校30多年来，历届县委、</w:t>
      </w:r>
      <w:r>
        <w:rPr>
          <w:rFonts w:hint="eastAsia" w:ascii="仿宋" w:hAnsi="仿宋" w:eastAsia="仿宋" w:cs="宋体"/>
          <w:color w:val="1E1E1E"/>
          <w:kern w:val="0"/>
          <w:sz w:val="32"/>
          <w:szCs w:val="32"/>
          <w:lang w:val="en-US" w:eastAsia="zh-CN"/>
        </w:rPr>
        <w:t>县</w:t>
      </w:r>
      <w:r>
        <w:rPr>
          <w:rFonts w:hint="eastAsia" w:ascii="仿宋" w:hAnsi="仿宋" w:eastAsia="仿宋" w:cs="宋体"/>
          <w:color w:val="1E1E1E"/>
          <w:kern w:val="0"/>
          <w:sz w:val="32"/>
          <w:szCs w:val="32"/>
        </w:rPr>
        <w:t>政府、教育行政主管部门对新邵工业职业中专给予了极大的关心与支持，把职业中专的发展作为全县工业化进程、县域经济发展的人才保障和全县专业技术人才的摇篮。学校建有教学楼、科教楼、实训楼、数控中心、办公楼、公寓式学生宿舍等现代建筑群，环境幽雅，是邵阳市花园式单位。学校全面采用现代化教学手段进行教学。学校建有7个计算机操作室,拥有500多台电脑，建有多媒体电教室4间，多媒体语音室1间。建有钳工操作室，电子电工操作室、电气控制操作室、普通机床室、数控机床室、电焊操作室、彩色黑白电视机组装维修操作室、计算机组装与维护操作室、室内砌筑操作室、财会模拟操作室、折页机实习室、服装电车操作室等专业操作室，能充分满足学生校内实习实训的要求。</w:t>
      </w:r>
    </w:p>
    <w:p>
      <w:pPr>
        <w:spacing w:line="420" w:lineRule="atLeast"/>
        <w:ind w:left="482" w:hanging="482"/>
        <w:jc w:val="both"/>
        <w:rPr>
          <w:rFonts w:ascii="Calibri" w:hAnsi="Calibri" w:eastAsia="微软雅黑" w:cs="宋体"/>
          <w:color w:val="1E1E1E"/>
          <w:kern w:val="0"/>
        </w:rPr>
      </w:pPr>
      <w:r>
        <w:rPr>
          <w:rFonts w:hint="eastAsia" w:ascii="宋体" w:hAnsi="宋体" w:eastAsia="宋体" w:cs="宋体"/>
          <w:b/>
          <w:bCs/>
          <w:color w:val="1E1E1E"/>
          <w:kern w:val="0"/>
          <w:sz w:val="32"/>
          <w:szCs w:val="32"/>
        </w:rPr>
        <w:t>（二）</w:t>
      </w:r>
      <w:r>
        <w:rPr>
          <w:rFonts w:hint="eastAsia" w:ascii="仿宋" w:hAnsi="仿宋" w:eastAsia="仿宋" w:cs="宋体"/>
          <w:b/>
          <w:bCs/>
          <w:color w:val="1E1E1E"/>
          <w:kern w:val="0"/>
          <w:sz w:val="32"/>
          <w:szCs w:val="32"/>
        </w:rPr>
        <w:t>主要工作职责</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1、贯彻执行四项基本原则和党的教育方针，以及其他各项方针、政策。</w:t>
      </w:r>
    </w:p>
    <w:p>
      <w:pPr>
        <w:spacing w:line="420" w:lineRule="atLeast"/>
        <w:ind w:left="640" w:hanging="640"/>
        <w:jc w:val="both"/>
        <w:rPr>
          <w:rFonts w:ascii="Calibri" w:hAnsi="Calibri" w:eastAsia="微软雅黑" w:cs="宋体"/>
          <w:color w:val="1E1E1E"/>
          <w:kern w:val="0"/>
        </w:rPr>
      </w:pPr>
      <w:r>
        <w:rPr>
          <w:rFonts w:hint="eastAsia" w:ascii="仿宋" w:hAnsi="仿宋" w:eastAsia="仿宋" w:cs="宋体"/>
          <w:color w:val="1E1E1E"/>
          <w:kern w:val="0"/>
          <w:sz w:val="32"/>
          <w:szCs w:val="32"/>
        </w:rPr>
        <w:t>2、坚持以教学为中心，努力提高教学质量，不断研究和改进教学方法，不断提高教学水平。</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3、加强师资队伍建设，不断提高师资队伍素质。</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4、组织编制和实施学校的长期规划、年度计划和学期计划。 </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5、组织领导招生、学生的入学和毕业鉴定工作。</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6、组织做好教职工的培养、考核、奖惩、工资福利职称评定，以及退休、离休等工作。</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7、组织领导做好行政后勤工作，坚持为教学服务，不断改善师生员工的工作、学习、生活条件，保证教学工作的顺利进行。</w:t>
      </w:r>
    </w:p>
    <w:p>
      <w:pPr>
        <w:spacing w:line="4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8、贯彻执行勤俭办校的方针，建立健全各项规章制度，加强对学校的管理。</w:t>
      </w:r>
    </w:p>
    <w:p>
      <w:pPr>
        <w:spacing w:line="420" w:lineRule="atLeast"/>
        <w:jc w:val="both"/>
        <w:rPr>
          <w:rFonts w:ascii="Calibri" w:hAnsi="Calibri" w:eastAsia="微软雅黑" w:cs="宋体"/>
          <w:color w:val="1E1E1E"/>
          <w:kern w:val="0"/>
        </w:rPr>
      </w:pPr>
      <w:r>
        <w:rPr>
          <w:rFonts w:hint="eastAsia" w:ascii="仿宋" w:hAnsi="仿宋" w:eastAsia="仿宋" w:cs="宋体"/>
          <w:color w:val="1E1E1E"/>
          <w:kern w:val="0"/>
          <w:sz w:val="32"/>
          <w:szCs w:val="32"/>
        </w:rPr>
        <w:t>9、完成上级领导机关布置的其他任务。</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（三）2020年度工作计划</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1．加大重点项目争取力度。2020年，学校将根据上级有关文件要求，加大学校内涵建设，积极争创省卓越职业学校，全面推进专业群建设。</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2.做好校园基础设施建设。2020年，学校将在开学后一个月之内完成征地工作，六月份前完成围墙砌建工作，并做好新校门、各功能室以及校园绿化硬化等规划和前期建设准备工作。</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3．持续开展最美校园活动。2020年，学校将结合“两创”工作，开展“最美学校”创建活动，持续开展“最美教工”、“最美学生”、“最美教寝室”、“最美处室”、“最美课堂”等评比工作。加大优秀典型学生的培养和宣传工作，营造争优赶超的良好氛围。</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4．做好学校招生就业工作。2020年，学校将加大招生宣传力度，争取2020年秋季招生报到1300，做好2020年毕业生就业工作，实现就业率100%，对口就业率达90%。</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5．抓好对口高考工作。狠抓复习，迎接高考，掌握高考最新动态，研究迎考对策。完善高考奖励方案，力争高考本科上线30人目标。在全市学生技能等级考试中中级通过率达80%以上，省专业技能抽考和文化素养测试成绩进入全市前列。</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6．抓好技能比武工作。实训处要在确保实现零安全事故的前提下，加强实验实训的组织管理工作。要求在2020年省技能比武中力争获省级二等奖2项以上。参加市县科技创新大赛，力争荣获市一等奖2项，县一等奖3项。</w:t>
      </w:r>
    </w:p>
    <w:p>
      <w:pPr>
        <w:spacing w:line="54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7．狠抓校园安全。加大依法治校的力度，积极推进平安校园创建工作。健全学校安全制度和安全应急机制，层层落实安全责任制，签订安全责任书。各处室要高度重视生产、交通、食品卫生、综治和督察等安全管理，健全各项安全工作应急预案。加大安全隐患排查力度，提高安全教育课堂教学质量，落实安全教育“九有”，开展“平安创建”活动，评选“平安班级”、“平安家庭”，实现零安全责任事故。完善护校队建设和安全巡逻工作机制，牢固树立安全意识，确保安全稳定，争创县综合治理先进单位。</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二、部门整体支出规模、使用方向和内容</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（一）年度预算收支情况</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1.年初预算收支</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 </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 </w:t>
      </w:r>
    </w:p>
    <w:tbl>
      <w:tblPr>
        <w:tblStyle w:val="6"/>
        <w:tblW w:w="8685" w:type="dxa"/>
        <w:jc w:val="center"/>
        <w:tblLayout w:type="autofit"/>
        <w:tblCellMar>
          <w:top w:w="0" w:type="dxa"/>
          <w:left w:w="0" w:type="dxa"/>
          <w:bottom w:w="0" w:type="dxa"/>
          <w:right w:w="0" w:type="dxa"/>
        </w:tblCellMar>
      </w:tblPr>
      <w:tblGrid>
        <w:gridCol w:w="2136"/>
        <w:gridCol w:w="1737"/>
        <w:gridCol w:w="1625"/>
        <w:gridCol w:w="1345"/>
        <w:gridCol w:w="1842"/>
      </w:tblGrid>
      <w:tr>
        <w:tblPrEx>
          <w:tblCellMar>
            <w:top w:w="0" w:type="dxa"/>
            <w:left w:w="0" w:type="dxa"/>
            <w:bottom w:w="0" w:type="dxa"/>
            <w:right w:w="0" w:type="dxa"/>
          </w:tblCellMar>
        </w:tblPrEx>
        <w:trPr>
          <w:trHeight w:val="337" w:hRule="atLeast"/>
          <w:jc w:val="center"/>
        </w:trPr>
        <w:tc>
          <w:tcPr>
            <w:tcW w:w="2135" w:type="dxa"/>
            <w:vMerge w:val="restar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预算项目</w:t>
            </w:r>
          </w:p>
        </w:tc>
        <w:tc>
          <w:tcPr>
            <w:tcW w:w="3360" w:type="dxa"/>
            <w:gridSpan w:val="2"/>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预算金额</w:t>
            </w:r>
          </w:p>
        </w:tc>
        <w:tc>
          <w:tcPr>
            <w:tcW w:w="3185" w:type="dxa"/>
            <w:gridSpan w:val="2"/>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较上年增减变化</w:t>
            </w:r>
          </w:p>
        </w:tc>
      </w:tr>
      <w:tr>
        <w:tblPrEx>
          <w:tblCellMar>
            <w:top w:w="0" w:type="dxa"/>
            <w:left w:w="0" w:type="dxa"/>
            <w:bottom w:w="0" w:type="dxa"/>
            <w:right w:w="0" w:type="dxa"/>
          </w:tblCellMar>
        </w:tblPrEx>
        <w:trPr>
          <w:trHeight w:val="397"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Calibri" w:hAnsi="Calibri" w:eastAsia="宋体" w:cs="宋体"/>
                <w:kern w:val="0"/>
              </w:rPr>
            </w:pPr>
          </w:p>
        </w:tc>
        <w:tc>
          <w:tcPr>
            <w:tcW w:w="173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2020年</w:t>
            </w:r>
          </w:p>
        </w:tc>
        <w:tc>
          <w:tcPr>
            <w:tcW w:w="162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2019年</w:t>
            </w:r>
          </w:p>
        </w:tc>
        <w:tc>
          <w:tcPr>
            <w:tcW w:w="134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金额</w:t>
            </w:r>
          </w:p>
        </w:tc>
        <w:tc>
          <w:tcPr>
            <w:tcW w:w="184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6" w:hanging="316"/>
              <w:jc w:val="center"/>
              <w:textAlignment w:val="center"/>
              <w:rPr>
                <w:rFonts w:ascii="Calibri" w:hAnsi="Calibri" w:eastAsia="宋体" w:cs="宋体"/>
                <w:kern w:val="0"/>
              </w:rPr>
            </w:pPr>
            <w:r>
              <w:rPr>
                <w:rFonts w:hint="eastAsia" w:ascii="仿宋" w:hAnsi="仿宋" w:eastAsia="仿宋" w:cs="宋体"/>
                <w:b/>
                <w:bCs/>
                <w:color w:val="000000"/>
                <w:kern w:val="0"/>
              </w:rPr>
              <w:t>比例（%）</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6" w:hanging="316"/>
              <w:rPr>
                <w:rFonts w:ascii="Calibri" w:hAnsi="Calibri" w:eastAsia="宋体" w:cs="宋体"/>
                <w:kern w:val="0"/>
              </w:rPr>
            </w:pPr>
            <w:r>
              <w:rPr>
                <w:rFonts w:hint="eastAsia" w:ascii="仿宋" w:hAnsi="仿宋" w:eastAsia="仿宋" w:cs="宋体"/>
                <w:b/>
                <w:bCs/>
                <w:color w:val="010101"/>
                <w:kern w:val="0"/>
              </w:rPr>
              <w:t>收入预算</w:t>
            </w:r>
          </w:p>
        </w:tc>
        <w:tc>
          <w:tcPr>
            <w:tcW w:w="17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3250</w:t>
            </w:r>
          </w:p>
        </w:tc>
        <w:tc>
          <w:tcPr>
            <w:tcW w:w="162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2975</w:t>
            </w:r>
          </w:p>
        </w:tc>
        <w:tc>
          <w:tcPr>
            <w:tcW w:w="13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275</w:t>
            </w:r>
          </w:p>
        </w:tc>
        <w:tc>
          <w:tcPr>
            <w:tcW w:w="18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rPr>
                <w:rFonts w:ascii="Calibri" w:hAnsi="Calibri" w:eastAsia="宋体" w:cs="宋体"/>
                <w:kern w:val="0"/>
              </w:rPr>
            </w:pPr>
            <w:r>
              <w:rPr>
                <w:rFonts w:hint="eastAsia" w:ascii="仿宋" w:hAnsi="仿宋" w:eastAsia="仿宋" w:cs="宋体"/>
                <w:color w:val="010101"/>
                <w:kern w:val="0"/>
              </w:rPr>
              <w:t>其中：财政经费拨款</w:t>
            </w:r>
          </w:p>
        </w:tc>
        <w:tc>
          <w:tcPr>
            <w:tcW w:w="17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1793</w:t>
            </w:r>
          </w:p>
        </w:tc>
        <w:tc>
          <w:tcPr>
            <w:tcW w:w="162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1784</w:t>
            </w:r>
          </w:p>
        </w:tc>
        <w:tc>
          <w:tcPr>
            <w:tcW w:w="13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9</w:t>
            </w:r>
          </w:p>
        </w:tc>
        <w:tc>
          <w:tcPr>
            <w:tcW w:w="18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0.05%</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6" w:hanging="316"/>
              <w:rPr>
                <w:rFonts w:ascii="Calibri" w:hAnsi="Calibri" w:eastAsia="宋体" w:cs="宋体"/>
                <w:kern w:val="0"/>
              </w:rPr>
            </w:pPr>
            <w:r>
              <w:rPr>
                <w:rFonts w:hint="eastAsia" w:ascii="仿宋" w:hAnsi="仿宋" w:eastAsia="仿宋" w:cs="宋体"/>
                <w:b/>
                <w:bCs/>
                <w:color w:val="010101"/>
                <w:kern w:val="0"/>
              </w:rPr>
              <w:t>支出预算</w:t>
            </w:r>
          </w:p>
        </w:tc>
        <w:tc>
          <w:tcPr>
            <w:tcW w:w="17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3250</w:t>
            </w:r>
          </w:p>
        </w:tc>
        <w:tc>
          <w:tcPr>
            <w:tcW w:w="162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2975</w:t>
            </w:r>
          </w:p>
        </w:tc>
        <w:tc>
          <w:tcPr>
            <w:tcW w:w="13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275</w:t>
            </w:r>
          </w:p>
        </w:tc>
        <w:tc>
          <w:tcPr>
            <w:tcW w:w="18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rPr>
                <w:rFonts w:ascii="Calibri" w:hAnsi="Calibri" w:eastAsia="宋体" w:cs="宋体"/>
                <w:kern w:val="0"/>
              </w:rPr>
            </w:pPr>
            <w:r>
              <w:rPr>
                <w:rFonts w:hint="eastAsia" w:ascii="仿宋" w:hAnsi="仿宋" w:eastAsia="仿宋" w:cs="宋体"/>
                <w:color w:val="010101"/>
                <w:kern w:val="0"/>
              </w:rPr>
              <w:t>其中：基本支出</w:t>
            </w:r>
          </w:p>
        </w:tc>
        <w:tc>
          <w:tcPr>
            <w:tcW w:w="17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3250</w:t>
            </w:r>
          </w:p>
        </w:tc>
        <w:tc>
          <w:tcPr>
            <w:tcW w:w="162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2975</w:t>
            </w:r>
          </w:p>
        </w:tc>
        <w:tc>
          <w:tcPr>
            <w:tcW w:w="13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275</w:t>
            </w:r>
          </w:p>
        </w:tc>
        <w:tc>
          <w:tcPr>
            <w:tcW w:w="18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w:t>
            </w:r>
          </w:p>
        </w:tc>
      </w:tr>
      <w:tr>
        <w:tblPrEx>
          <w:tblCellMar>
            <w:top w:w="0" w:type="dxa"/>
            <w:left w:w="0" w:type="dxa"/>
            <w:bottom w:w="0" w:type="dxa"/>
            <w:right w:w="0" w:type="dxa"/>
          </w:tblCellMar>
        </w:tblPrEx>
        <w:trPr>
          <w:trHeight w:val="512" w:hRule="atLeast"/>
          <w:jc w:val="center"/>
        </w:trPr>
        <w:tc>
          <w:tcPr>
            <w:tcW w:w="2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rPr>
                <w:rFonts w:ascii="Calibri" w:hAnsi="Calibri" w:eastAsia="宋体" w:cs="宋体"/>
                <w:kern w:val="0"/>
              </w:rPr>
            </w:pPr>
            <w:r>
              <w:rPr>
                <w:rFonts w:hint="eastAsia" w:ascii="仿宋" w:hAnsi="仿宋" w:eastAsia="仿宋" w:cs="宋体"/>
                <w:color w:val="010101"/>
                <w:kern w:val="0"/>
              </w:rPr>
              <w:t>其中：项目支出</w:t>
            </w:r>
          </w:p>
        </w:tc>
        <w:tc>
          <w:tcPr>
            <w:tcW w:w="17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0</w:t>
            </w:r>
          </w:p>
        </w:tc>
        <w:tc>
          <w:tcPr>
            <w:tcW w:w="162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0</w:t>
            </w:r>
          </w:p>
        </w:tc>
        <w:tc>
          <w:tcPr>
            <w:tcW w:w="13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right="126" w:hanging="315"/>
              <w:jc w:val="right"/>
              <w:rPr>
                <w:rFonts w:ascii="Calibri" w:hAnsi="Calibri" w:eastAsia="宋体" w:cs="宋体"/>
                <w:kern w:val="0"/>
              </w:rPr>
            </w:pPr>
            <w:r>
              <w:rPr>
                <w:rFonts w:hint="eastAsia" w:ascii="仿宋" w:hAnsi="仿宋" w:eastAsia="仿宋" w:cs="宋体"/>
                <w:color w:val="010101"/>
                <w:kern w:val="0"/>
              </w:rPr>
              <w:t>0</w:t>
            </w:r>
          </w:p>
        </w:tc>
        <w:tc>
          <w:tcPr>
            <w:tcW w:w="18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bl>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根据年初预算批复，与上年比较，较上年减少，主要是教职工减少，财政预算缩紧。</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2.财政预算整体支出使用范围、方向和内容</w:t>
      </w:r>
    </w:p>
    <w:tbl>
      <w:tblPr>
        <w:tblStyle w:val="6"/>
        <w:tblW w:w="0" w:type="auto"/>
        <w:jc w:val="center"/>
        <w:tblLayout w:type="autofit"/>
        <w:tblCellMar>
          <w:top w:w="0" w:type="dxa"/>
          <w:left w:w="0" w:type="dxa"/>
          <w:bottom w:w="0" w:type="dxa"/>
          <w:right w:w="0" w:type="dxa"/>
        </w:tblCellMar>
      </w:tblPr>
      <w:tblGrid>
        <w:gridCol w:w="2859"/>
        <w:gridCol w:w="1748"/>
        <w:gridCol w:w="1331"/>
        <w:gridCol w:w="2379"/>
      </w:tblGrid>
      <w:tr>
        <w:tblPrEx>
          <w:tblCellMar>
            <w:top w:w="0" w:type="dxa"/>
            <w:left w:w="0" w:type="dxa"/>
            <w:bottom w:w="0" w:type="dxa"/>
            <w:right w:w="0" w:type="dxa"/>
          </w:tblCellMar>
        </w:tblPrEx>
        <w:trPr>
          <w:trHeight w:val="276" w:hRule="atLeast"/>
          <w:jc w:val="center"/>
        </w:trPr>
        <w:tc>
          <w:tcPr>
            <w:tcW w:w="2859"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支出项目</w:t>
            </w:r>
          </w:p>
        </w:tc>
        <w:tc>
          <w:tcPr>
            <w:tcW w:w="1748"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基本支出</w:t>
            </w:r>
          </w:p>
        </w:tc>
        <w:tc>
          <w:tcPr>
            <w:tcW w:w="1331"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项目支出</w:t>
            </w:r>
          </w:p>
        </w:tc>
        <w:tc>
          <w:tcPr>
            <w:tcW w:w="237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合计</w:t>
            </w:r>
          </w:p>
        </w:tc>
      </w:tr>
      <w:tr>
        <w:tblPrEx>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工资福利支出</w:t>
            </w: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1650</w:t>
            </w:r>
          </w:p>
        </w:tc>
        <w:tc>
          <w:tcPr>
            <w:tcW w:w="13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c>
          <w:tcPr>
            <w:tcW w:w="23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1650</w:t>
            </w:r>
          </w:p>
        </w:tc>
      </w:tr>
      <w:tr>
        <w:tblPrEx>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商品和服务支出</w:t>
            </w: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1223</w:t>
            </w:r>
          </w:p>
        </w:tc>
        <w:tc>
          <w:tcPr>
            <w:tcW w:w="13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c>
          <w:tcPr>
            <w:tcW w:w="23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1223</w:t>
            </w:r>
          </w:p>
        </w:tc>
      </w:tr>
      <w:tr>
        <w:tblPrEx>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对个人和家庭的补助</w:t>
            </w: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377</w:t>
            </w:r>
          </w:p>
        </w:tc>
        <w:tc>
          <w:tcPr>
            <w:tcW w:w="13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c>
          <w:tcPr>
            <w:tcW w:w="23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377</w:t>
            </w:r>
          </w:p>
        </w:tc>
      </w:tr>
      <w:tr>
        <w:tblPrEx>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合</w:t>
            </w:r>
            <w:r>
              <w:rPr>
                <w:rFonts w:hint="eastAsia" w:ascii="宋体" w:hAnsi="宋体" w:eastAsia="宋体" w:cs="宋体"/>
                <w:color w:val="000000"/>
                <w:kern w:val="0"/>
              </w:rPr>
              <w:t> </w:t>
            </w:r>
            <w:r>
              <w:rPr>
                <w:rFonts w:hint="eastAsia" w:ascii="仿宋" w:hAnsi="仿宋" w:eastAsia="仿宋" w:cs="宋体"/>
                <w:color w:val="000000"/>
                <w:kern w:val="0"/>
              </w:rPr>
              <w:t>计</w:t>
            </w:r>
          </w:p>
        </w:tc>
        <w:tc>
          <w:tcPr>
            <w:tcW w:w="174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3250</w:t>
            </w:r>
          </w:p>
        </w:tc>
        <w:tc>
          <w:tcPr>
            <w:tcW w:w="133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 </w:t>
            </w:r>
          </w:p>
        </w:tc>
        <w:tc>
          <w:tcPr>
            <w:tcW w:w="2379"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3250</w:t>
            </w:r>
          </w:p>
        </w:tc>
      </w:tr>
    </w:tbl>
    <w:p>
      <w:pPr>
        <w:spacing w:line="600" w:lineRule="atLeast"/>
        <w:ind w:firstLine="320"/>
        <w:jc w:val="both"/>
        <w:rPr>
          <w:rFonts w:ascii="Calibri" w:hAnsi="Calibri" w:eastAsia="微软雅黑" w:cs="宋体"/>
          <w:color w:val="1E1E1E"/>
          <w:kern w:val="0"/>
        </w:rPr>
      </w:pPr>
      <w:r>
        <w:rPr>
          <w:rFonts w:hint="eastAsia" w:ascii="仿宋" w:hAnsi="仿宋" w:eastAsia="仿宋" w:cs="宋体"/>
          <w:color w:val="1E1E1E"/>
          <w:kern w:val="0"/>
          <w:sz w:val="32"/>
          <w:szCs w:val="32"/>
        </w:rPr>
        <w:t>（二）年度收支决算情况</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1.年度收入决算</w:t>
      </w:r>
    </w:p>
    <w:tbl>
      <w:tblPr>
        <w:tblStyle w:val="6"/>
        <w:tblW w:w="0" w:type="auto"/>
        <w:jc w:val="center"/>
        <w:tblLayout w:type="autofit"/>
        <w:tblCellMar>
          <w:top w:w="0" w:type="dxa"/>
          <w:left w:w="0" w:type="dxa"/>
          <w:bottom w:w="0" w:type="dxa"/>
          <w:right w:w="0" w:type="dxa"/>
        </w:tblCellMar>
      </w:tblPr>
      <w:tblGrid>
        <w:gridCol w:w="2063"/>
        <w:gridCol w:w="1693"/>
        <w:gridCol w:w="1820"/>
        <w:gridCol w:w="2264"/>
      </w:tblGrid>
      <w:tr>
        <w:tblPrEx>
          <w:tblCellMar>
            <w:top w:w="0" w:type="dxa"/>
            <w:left w:w="0" w:type="dxa"/>
            <w:bottom w:w="0" w:type="dxa"/>
            <w:right w:w="0" w:type="dxa"/>
          </w:tblCellMar>
        </w:tblPrEx>
        <w:trPr>
          <w:trHeight w:val="564"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收入来源</w:t>
            </w:r>
          </w:p>
        </w:tc>
        <w:tc>
          <w:tcPr>
            <w:tcW w:w="1693"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预算金额</w:t>
            </w:r>
          </w:p>
        </w:tc>
        <w:tc>
          <w:tcPr>
            <w:tcW w:w="182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决算金额</w:t>
            </w:r>
          </w:p>
        </w:tc>
        <w:tc>
          <w:tcPr>
            <w:tcW w:w="2264"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差额</w:t>
            </w:r>
          </w:p>
        </w:tc>
      </w:tr>
      <w:tr>
        <w:tblPrEx>
          <w:tblCellMar>
            <w:top w:w="0" w:type="dxa"/>
            <w:left w:w="0" w:type="dxa"/>
            <w:bottom w:w="0" w:type="dxa"/>
            <w:right w:w="0" w:type="dxa"/>
          </w:tblCellMar>
        </w:tblPrEx>
        <w:trPr>
          <w:trHeight w:val="599" w:hRule="atLeast"/>
          <w:jc w:val="center"/>
        </w:trPr>
        <w:tc>
          <w:tcPr>
            <w:tcW w:w="20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财政拨款收入</w:t>
            </w:r>
          </w:p>
        </w:tc>
        <w:tc>
          <w:tcPr>
            <w:tcW w:w="169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3250</w:t>
            </w:r>
          </w:p>
        </w:tc>
        <w:tc>
          <w:tcPr>
            <w:tcW w:w="18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3514</w:t>
            </w:r>
          </w:p>
        </w:tc>
        <w:tc>
          <w:tcPr>
            <w:tcW w:w="22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-264</w:t>
            </w:r>
          </w:p>
        </w:tc>
      </w:tr>
    </w:tbl>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根据年初预算，决算金额增加，因学生数增加，事业收入增加，工资等财政拨款增加。</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2.年度预算支出决算及结余</w:t>
      </w:r>
    </w:p>
    <w:tbl>
      <w:tblPr>
        <w:tblStyle w:val="6"/>
        <w:tblW w:w="0" w:type="auto"/>
        <w:tblInd w:w="93" w:type="dxa"/>
        <w:tblLayout w:type="autofit"/>
        <w:tblCellMar>
          <w:top w:w="0" w:type="dxa"/>
          <w:left w:w="0" w:type="dxa"/>
          <w:bottom w:w="0" w:type="dxa"/>
          <w:right w:w="0" w:type="dxa"/>
        </w:tblCellMar>
      </w:tblPr>
      <w:tblGrid>
        <w:gridCol w:w="1739"/>
        <w:gridCol w:w="2268"/>
        <w:gridCol w:w="1984"/>
        <w:gridCol w:w="1962"/>
      </w:tblGrid>
      <w:tr>
        <w:tblPrEx>
          <w:tblCellMar>
            <w:top w:w="0" w:type="dxa"/>
            <w:left w:w="0" w:type="dxa"/>
            <w:bottom w:w="0" w:type="dxa"/>
            <w:right w:w="0" w:type="dxa"/>
          </w:tblCellMar>
        </w:tblPrEx>
        <w:trPr>
          <w:trHeight w:val="517" w:hRule="atLeast"/>
        </w:trPr>
        <w:tc>
          <w:tcPr>
            <w:tcW w:w="1739" w:type="dxa"/>
            <w:tcBorders>
              <w:top w:val="single" w:color="000000" w:sz="8" w:space="0"/>
              <w:left w:val="single" w:color="000000" w:sz="8" w:space="0"/>
              <w:bottom w:val="single" w:color="000000" w:sz="8" w:space="0"/>
              <w:right w:val="single" w:color="000000"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预算支出类别</w:t>
            </w:r>
          </w:p>
        </w:tc>
        <w:tc>
          <w:tcPr>
            <w:tcW w:w="2268"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预算金额</w:t>
            </w:r>
          </w:p>
        </w:tc>
        <w:tc>
          <w:tcPr>
            <w:tcW w:w="1984"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决算金额</w:t>
            </w:r>
          </w:p>
        </w:tc>
        <w:tc>
          <w:tcPr>
            <w:tcW w:w="1962"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增减金额</w:t>
            </w:r>
          </w:p>
        </w:tc>
      </w:tr>
      <w:tr>
        <w:tblPrEx>
          <w:tblCellMar>
            <w:top w:w="0" w:type="dxa"/>
            <w:left w:w="0" w:type="dxa"/>
            <w:bottom w:w="0" w:type="dxa"/>
            <w:right w:w="0" w:type="dxa"/>
          </w:tblCellMar>
        </w:tblPrEx>
        <w:trPr>
          <w:trHeight w:val="523" w:hRule="atLeast"/>
        </w:trPr>
        <w:tc>
          <w:tcPr>
            <w:tcW w:w="1739"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基本支出</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3250</w:t>
            </w:r>
          </w:p>
        </w:tc>
        <w:tc>
          <w:tcPr>
            <w:tcW w:w="198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3514</w:t>
            </w:r>
          </w:p>
        </w:tc>
        <w:tc>
          <w:tcPr>
            <w:tcW w:w="196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-264</w:t>
            </w:r>
          </w:p>
        </w:tc>
      </w:tr>
      <w:tr>
        <w:tblPrEx>
          <w:tblCellMar>
            <w:top w:w="0" w:type="dxa"/>
            <w:left w:w="0" w:type="dxa"/>
            <w:bottom w:w="0" w:type="dxa"/>
            <w:right w:w="0" w:type="dxa"/>
          </w:tblCellMar>
        </w:tblPrEx>
        <w:trPr>
          <w:trHeight w:val="523" w:hRule="atLeast"/>
        </w:trPr>
        <w:tc>
          <w:tcPr>
            <w:tcW w:w="1739"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项目支出</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c>
          <w:tcPr>
            <w:tcW w:w="198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c>
          <w:tcPr>
            <w:tcW w:w="196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0</w:t>
            </w:r>
          </w:p>
        </w:tc>
      </w:tr>
      <w:tr>
        <w:tblPrEx>
          <w:tblCellMar>
            <w:top w:w="0" w:type="dxa"/>
            <w:left w:w="0" w:type="dxa"/>
            <w:bottom w:w="0" w:type="dxa"/>
            <w:right w:w="0" w:type="dxa"/>
          </w:tblCellMar>
        </w:tblPrEx>
        <w:trPr>
          <w:trHeight w:val="400" w:hRule="atLeast"/>
        </w:trPr>
        <w:tc>
          <w:tcPr>
            <w:tcW w:w="1739"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小计</w:t>
            </w:r>
          </w:p>
        </w:tc>
        <w:tc>
          <w:tcPr>
            <w:tcW w:w="2268"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3250</w:t>
            </w:r>
          </w:p>
        </w:tc>
        <w:tc>
          <w:tcPr>
            <w:tcW w:w="198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10101"/>
                <w:kern w:val="0"/>
              </w:rPr>
              <w:t>3514</w:t>
            </w:r>
          </w:p>
        </w:tc>
        <w:tc>
          <w:tcPr>
            <w:tcW w:w="1962"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-264</w:t>
            </w:r>
          </w:p>
        </w:tc>
      </w:tr>
    </w:tbl>
    <w:p>
      <w:pPr>
        <w:spacing w:line="600" w:lineRule="atLeast"/>
        <w:ind w:left="216" w:firstLine="579"/>
        <w:jc w:val="both"/>
        <w:rPr>
          <w:rFonts w:ascii="Calibri" w:hAnsi="Calibri" w:eastAsia="微软雅黑" w:cs="宋体"/>
          <w:color w:val="1E1E1E"/>
          <w:kern w:val="0"/>
        </w:rPr>
      </w:pPr>
      <w:r>
        <w:rPr>
          <w:rFonts w:hint="eastAsia" w:ascii="仿宋" w:hAnsi="仿宋" w:eastAsia="仿宋" w:cs="宋体"/>
          <w:color w:val="1E1E1E"/>
          <w:kern w:val="0"/>
          <w:sz w:val="32"/>
          <w:szCs w:val="32"/>
        </w:rPr>
        <w:t>根据年初预算，决算金额增加，因学生数增加，事业收入增加，工资等财政拨款增加。</w:t>
      </w:r>
    </w:p>
    <w:p>
      <w:pPr>
        <w:spacing w:line="600" w:lineRule="atLeast"/>
        <w:ind w:left="479" w:hanging="160"/>
        <w:jc w:val="both"/>
        <w:rPr>
          <w:rFonts w:ascii="Calibri" w:hAnsi="Calibri" w:eastAsia="微软雅黑" w:cs="宋体"/>
          <w:color w:val="1E1E1E"/>
          <w:kern w:val="0"/>
        </w:rPr>
      </w:pPr>
      <w:r>
        <w:rPr>
          <w:rFonts w:hint="eastAsia" w:ascii="仿宋" w:hAnsi="仿宋" w:eastAsia="仿宋" w:cs="宋体"/>
          <w:color w:val="1E1E1E"/>
          <w:kern w:val="0"/>
          <w:sz w:val="32"/>
          <w:szCs w:val="32"/>
        </w:rPr>
        <w:t>三、部门整体支出管理及使用情况</w:t>
      </w:r>
    </w:p>
    <w:p>
      <w:pPr>
        <w:spacing w:line="600" w:lineRule="atLeast"/>
        <w:ind w:left="480" w:hanging="480"/>
        <w:jc w:val="both"/>
        <w:outlineLvl w:val="1"/>
        <w:rPr>
          <w:rFonts w:ascii="微软雅黑" w:hAnsi="微软雅黑" w:eastAsia="微软雅黑" w:cs="宋体"/>
          <w:b/>
          <w:bCs/>
          <w:color w:val="1E1E1E"/>
          <w:kern w:val="0"/>
          <w:sz w:val="36"/>
          <w:szCs w:val="36"/>
        </w:rPr>
      </w:pPr>
      <w:r>
        <w:rPr>
          <w:rFonts w:hint="eastAsia" w:ascii="仿宋" w:hAnsi="仿宋" w:eastAsia="仿宋" w:cs="宋体"/>
          <w:color w:val="1E1E1E"/>
          <w:kern w:val="0"/>
          <w:sz w:val="32"/>
          <w:szCs w:val="32"/>
        </w:rPr>
        <w:t>（一）基本支出管理</w:t>
      </w:r>
    </w:p>
    <w:p>
      <w:pPr>
        <w:spacing w:line="600" w:lineRule="atLeast"/>
        <w:ind w:left="480" w:hanging="480"/>
        <w:outlineLvl w:val="2"/>
        <w:rPr>
          <w:rFonts w:hint="eastAsia" w:ascii="微软雅黑" w:hAnsi="微软雅黑" w:eastAsia="微软雅黑" w:cs="宋体"/>
          <w:b/>
          <w:bCs/>
          <w:color w:val="1E1E1E"/>
          <w:kern w:val="0"/>
          <w:sz w:val="27"/>
          <w:szCs w:val="27"/>
        </w:rPr>
      </w:pPr>
      <w:r>
        <w:rPr>
          <w:rFonts w:hint="eastAsia" w:ascii="仿宋" w:hAnsi="仿宋" w:eastAsia="仿宋" w:cs="宋体"/>
          <w:color w:val="1E1E1E"/>
          <w:kern w:val="0"/>
          <w:sz w:val="32"/>
          <w:szCs w:val="32"/>
        </w:rPr>
        <w:t>1、基本支出总额使用和管理</w:t>
      </w:r>
    </w:p>
    <w:p>
      <w:pPr>
        <w:spacing w:line="320" w:lineRule="atLeast"/>
        <w:ind w:left="315" w:hanging="315"/>
        <w:jc w:val="both"/>
        <w:rPr>
          <w:rFonts w:hint="eastAsia" w:ascii="Calibri" w:hAnsi="Calibri" w:eastAsia="微软雅黑" w:cs="宋体"/>
          <w:color w:val="1E1E1E"/>
          <w:kern w:val="0"/>
        </w:rPr>
      </w:pPr>
      <w:r>
        <w:rPr>
          <w:rFonts w:ascii="Calibri" w:hAnsi="Calibri" w:eastAsia="微软雅黑" w:cs="宋体"/>
          <w:color w:val="1E1E1E"/>
          <w:kern w:val="0"/>
        </w:rPr>
        <w:t> </w:t>
      </w:r>
    </w:p>
    <w:p>
      <w:pPr>
        <w:spacing w:line="320" w:lineRule="atLeast"/>
        <w:ind w:left="315" w:hanging="315"/>
        <w:jc w:val="both"/>
        <w:rPr>
          <w:rFonts w:ascii="Calibri" w:hAnsi="Calibri" w:eastAsia="微软雅黑" w:cs="宋体"/>
          <w:color w:val="1E1E1E"/>
          <w:kern w:val="0"/>
        </w:rPr>
      </w:pPr>
      <w:r>
        <w:rPr>
          <w:rFonts w:ascii="Calibri" w:hAnsi="Calibri" w:eastAsia="微软雅黑" w:cs="宋体"/>
          <w:color w:val="1E1E1E"/>
          <w:kern w:val="0"/>
        </w:rPr>
        <w:t> </w:t>
      </w:r>
    </w:p>
    <w:tbl>
      <w:tblPr>
        <w:tblStyle w:val="6"/>
        <w:tblW w:w="0" w:type="auto"/>
        <w:jc w:val="center"/>
        <w:tblLayout w:type="autofit"/>
        <w:tblCellMar>
          <w:top w:w="0" w:type="dxa"/>
          <w:left w:w="0" w:type="dxa"/>
          <w:bottom w:w="0" w:type="dxa"/>
          <w:right w:w="0" w:type="dxa"/>
        </w:tblCellMar>
      </w:tblPr>
      <w:tblGrid>
        <w:gridCol w:w="2392"/>
        <w:gridCol w:w="1666"/>
        <w:gridCol w:w="1604"/>
        <w:gridCol w:w="2438"/>
      </w:tblGrid>
      <w:tr>
        <w:tblPrEx>
          <w:tblCellMar>
            <w:top w:w="0" w:type="dxa"/>
            <w:left w:w="0" w:type="dxa"/>
            <w:bottom w:w="0" w:type="dxa"/>
            <w:right w:w="0" w:type="dxa"/>
          </w:tblCellMar>
        </w:tblPrEx>
        <w:trPr>
          <w:trHeight w:val="401" w:hRule="atLeast"/>
          <w:jc w:val="center"/>
        </w:trPr>
        <w:tc>
          <w:tcPr>
            <w:tcW w:w="2392"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宋体" w:hAnsi="宋体" w:eastAsia="宋体" w:cs="宋体"/>
                <w:color w:val="000000"/>
                <w:kern w:val="0"/>
              </w:rPr>
              <w:t> </w:t>
            </w:r>
            <w:r>
              <w:rPr>
                <w:rFonts w:hint="eastAsia" w:ascii="仿宋" w:hAnsi="仿宋" w:eastAsia="仿宋" w:cs="宋体"/>
                <w:color w:val="000000"/>
                <w:kern w:val="0"/>
              </w:rPr>
              <w:t>预决算支出项目</w:t>
            </w:r>
          </w:p>
        </w:tc>
        <w:tc>
          <w:tcPr>
            <w:tcW w:w="1666"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预算金额</w:t>
            </w:r>
          </w:p>
        </w:tc>
        <w:tc>
          <w:tcPr>
            <w:tcW w:w="1604"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决算金额</w:t>
            </w:r>
          </w:p>
        </w:tc>
        <w:tc>
          <w:tcPr>
            <w:tcW w:w="2438"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节约/超支金额</w:t>
            </w:r>
          </w:p>
        </w:tc>
      </w:tr>
      <w:tr>
        <w:tblPrEx>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工资福利支出</w:t>
            </w:r>
          </w:p>
        </w:tc>
        <w:tc>
          <w:tcPr>
            <w:tcW w:w="16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1650</w:t>
            </w: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2267</w:t>
            </w:r>
          </w:p>
        </w:tc>
        <w:tc>
          <w:tcPr>
            <w:tcW w:w="243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-617</w:t>
            </w:r>
          </w:p>
        </w:tc>
      </w:tr>
      <w:tr>
        <w:tblPrEx>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商品和服务支出</w:t>
            </w:r>
          </w:p>
        </w:tc>
        <w:tc>
          <w:tcPr>
            <w:tcW w:w="16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1223</w:t>
            </w: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1028</w:t>
            </w:r>
          </w:p>
        </w:tc>
        <w:tc>
          <w:tcPr>
            <w:tcW w:w="243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195</w:t>
            </w:r>
          </w:p>
        </w:tc>
      </w:tr>
      <w:tr>
        <w:tblPrEx>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对个人和家庭的补助</w:t>
            </w:r>
          </w:p>
        </w:tc>
        <w:tc>
          <w:tcPr>
            <w:tcW w:w="16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377</w:t>
            </w: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219</w:t>
            </w:r>
          </w:p>
        </w:tc>
        <w:tc>
          <w:tcPr>
            <w:tcW w:w="243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158</w:t>
            </w:r>
          </w:p>
        </w:tc>
      </w:tr>
      <w:tr>
        <w:tblPrEx>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合计</w:t>
            </w:r>
          </w:p>
        </w:tc>
        <w:tc>
          <w:tcPr>
            <w:tcW w:w="166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3250</w:t>
            </w:r>
          </w:p>
        </w:tc>
        <w:tc>
          <w:tcPr>
            <w:tcW w:w="160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3514</w:t>
            </w:r>
          </w:p>
        </w:tc>
        <w:tc>
          <w:tcPr>
            <w:tcW w:w="24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textAlignment w:val="center"/>
              <w:rPr>
                <w:rFonts w:ascii="Calibri" w:hAnsi="Calibri" w:eastAsia="宋体" w:cs="宋体"/>
                <w:kern w:val="0"/>
              </w:rPr>
            </w:pPr>
            <w:r>
              <w:rPr>
                <w:rFonts w:hint="eastAsia" w:ascii="仿宋" w:hAnsi="仿宋" w:eastAsia="仿宋" w:cs="宋体"/>
                <w:color w:val="000000"/>
                <w:kern w:val="0"/>
              </w:rPr>
              <w:t>-264</w:t>
            </w:r>
          </w:p>
        </w:tc>
      </w:tr>
    </w:tbl>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2、基本支出中各费用明细支出管理</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（1）工资福利支出</w:t>
      </w:r>
    </w:p>
    <w:tbl>
      <w:tblPr>
        <w:tblStyle w:val="6"/>
        <w:tblW w:w="0" w:type="auto"/>
        <w:jc w:val="center"/>
        <w:tblLayout w:type="autofit"/>
        <w:tblCellMar>
          <w:top w:w="0" w:type="dxa"/>
          <w:left w:w="0" w:type="dxa"/>
          <w:bottom w:w="0" w:type="dxa"/>
          <w:right w:w="0" w:type="dxa"/>
        </w:tblCellMar>
      </w:tblPr>
      <w:tblGrid>
        <w:gridCol w:w="2431"/>
        <w:gridCol w:w="1134"/>
        <w:gridCol w:w="1134"/>
        <w:gridCol w:w="1417"/>
        <w:gridCol w:w="1664"/>
      </w:tblGrid>
      <w:tr>
        <w:tblPrEx>
          <w:tblCellMar>
            <w:top w:w="0" w:type="dxa"/>
            <w:left w:w="0" w:type="dxa"/>
            <w:bottom w:w="0" w:type="dxa"/>
            <w:right w:w="0" w:type="dxa"/>
          </w:tblCellMar>
        </w:tblPrEx>
        <w:trPr>
          <w:trHeight w:val="888" w:hRule="atLeast"/>
          <w:jc w:val="center"/>
        </w:trPr>
        <w:tc>
          <w:tcPr>
            <w:tcW w:w="2431"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费用项目</w:t>
            </w:r>
          </w:p>
        </w:tc>
        <w:tc>
          <w:tcPr>
            <w:tcW w:w="113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预算金额</w:t>
            </w:r>
          </w:p>
        </w:tc>
        <w:tc>
          <w:tcPr>
            <w:tcW w:w="113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决算金额</w:t>
            </w:r>
          </w:p>
        </w:tc>
        <w:tc>
          <w:tcPr>
            <w:tcW w:w="1417"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节约/支金额</w:t>
            </w:r>
          </w:p>
        </w:tc>
        <w:tc>
          <w:tcPr>
            <w:tcW w:w="166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节约/超支率</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基本工资</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789</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807</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-18</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津贴补贴</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470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470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奖金</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66</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67</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-0.1%</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伙食补助费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绩效工资</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383</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385</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-0.5%</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机关事业单位基本养老保险缴费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187</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188</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-0.05%</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职业年金缴费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职工基本医疗保险缴费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52</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53</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-1.9%</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公务员医疗补助缴费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其他社会保障缴费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25</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25</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住房公积金</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148</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152</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-2.7%</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医疗费</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其他工资福利支出</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120</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120</w:t>
            </w:r>
          </w:p>
        </w:tc>
        <w:tc>
          <w:tcPr>
            <w:tcW w:w="166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11" w:hRule="atLeast"/>
          <w:jc w:val="center"/>
        </w:trPr>
        <w:tc>
          <w:tcPr>
            <w:tcW w:w="2431"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113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both"/>
              <w:rPr>
                <w:rFonts w:ascii="Calibri" w:hAnsi="Calibri" w:eastAsia="宋体" w:cs="宋体"/>
                <w:kern w:val="0"/>
              </w:rPr>
            </w:pPr>
            <w:r>
              <w:rPr>
                <w:rFonts w:hint="eastAsia" w:ascii="仿宋" w:hAnsi="仿宋" w:eastAsia="仿宋" w:cs="宋体"/>
                <w:color w:val="010101"/>
                <w:kern w:val="0"/>
              </w:rPr>
              <w:t>   1650</w:t>
            </w:r>
          </w:p>
        </w:tc>
        <w:tc>
          <w:tcPr>
            <w:tcW w:w="113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2267</w:t>
            </w:r>
          </w:p>
        </w:tc>
        <w:tc>
          <w:tcPr>
            <w:tcW w:w="1417"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617</w:t>
            </w:r>
          </w:p>
        </w:tc>
        <w:tc>
          <w:tcPr>
            <w:tcW w:w="166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37%</w:t>
            </w:r>
          </w:p>
        </w:tc>
      </w:tr>
    </w:tbl>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工资福利支出在2020年决算表中因养老保险、医疗保险与住房公积金未加个人部分，造成与决算表不相符，另津贴补助中包括综治奖、文明卫生单位班主任费等，其他工资福利支出包括代课教师工资与临时工工资，预算中没体现出来，现表中已更改。</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（2）商品和服务支出</w:t>
      </w:r>
    </w:p>
    <w:tbl>
      <w:tblPr>
        <w:tblStyle w:val="6"/>
        <w:tblW w:w="0" w:type="auto"/>
        <w:jc w:val="center"/>
        <w:tblLayout w:type="autofit"/>
        <w:tblCellMar>
          <w:top w:w="0" w:type="dxa"/>
          <w:left w:w="0" w:type="dxa"/>
          <w:bottom w:w="0" w:type="dxa"/>
          <w:right w:w="0" w:type="dxa"/>
        </w:tblCellMar>
      </w:tblPr>
      <w:tblGrid>
        <w:gridCol w:w="2133"/>
        <w:gridCol w:w="1398"/>
        <w:gridCol w:w="1537"/>
        <w:gridCol w:w="1429"/>
        <w:gridCol w:w="1643"/>
      </w:tblGrid>
      <w:tr>
        <w:tblPrEx>
          <w:tblCellMar>
            <w:top w:w="0" w:type="dxa"/>
            <w:left w:w="0" w:type="dxa"/>
            <w:bottom w:w="0" w:type="dxa"/>
            <w:right w:w="0" w:type="dxa"/>
          </w:tblCellMar>
        </w:tblPrEx>
        <w:trPr>
          <w:trHeight w:val="343" w:hRule="atLeast"/>
          <w:jc w:val="center"/>
        </w:trPr>
        <w:tc>
          <w:tcPr>
            <w:tcW w:w="2133"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支出项目</w:t>
            </w:r>
          </w:p>
        </w:tc>
        <w:tc>
          <w:tcPr>
            <w:tcW w:w="1398"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预算金额</w:t>
            </w:r>
          </w:p>
        </w:tc>
        <w:tc>
          <w:tcPr>
            <w:tcW w:w="153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决算金额</w:t>
            </w:r>
          </w:p>
        </w:tc>
        <w:tc>
          <w:tcPr>
            <w:tcW w:w="142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增减额</w:t>
            </w:r>
          </w:p>
        </w:tc>
        <w:tc>
          <w:tcPr>
            <w:tcW w:w="1643"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增减率</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办公费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42</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38</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印刷费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咨询费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手续费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水电费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邮电费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取暖费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物业管理费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15</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15</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差旅费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32</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32</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因公出国（境）费用</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维修（护）费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48.5</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42</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6.5</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13.4%</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租赁费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会议费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培训费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92</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83</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9.8%</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公务接待费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2.5</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1.5</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37.5%</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专用材料费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550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483</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67</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12.2%</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被装购置费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专用燃料费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劳务费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委托业务费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工会经费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65</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65</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福利费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公务用车运行维护费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4.5</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3.1</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1.4</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31%</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其他交通费</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4.8</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税金及附加费用</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其他商品和服务支出</w:t>
            </w:r>
          </w:p>
        </w:tc>
        <w:tc>
          <w:tcPr>
            <w:tcW w:w="139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270</w:t>
            </w:r>
          </w:p>
        </w:tc>
        <w:tc>
          <w:tcPr>
            <w:tcW w:w="15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169.2</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100.8</w:t>
            </w:r>
          </w:p>
        </w:tc>
        <w:tc>
          <w:tcPr>
            <w:tcW w:w="16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37.3%</w:t>
            </w:r>
          </w:p>
        </w:tc>
      </w:tr>
      <w:tr>
        <w:tblPrEx>
          <w:tblCellMar>
            <w:top w:w="0" w:type="dxa"/>
            <w:left w:w="0" w:type="dxa"/>
            <w:bottom w:w="0" w:type="dxa"/>
            <w:right w:w="0" w:type="dxa"/>
          </w:tblCellMar>
        </w:tblPrEx>
        <w:trPr>
          <w:trHeight w:val="359" w:hRule="atLeast"/>
          <w:jc w:val="center"/>
        </w:trPr>
        <w:tc>
          <w:tcPr>
            <w:tcW w:w="213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1398"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1223</w:t>
            </w:r>
          </w:p>
        </w:tc>
        <w:tc>
          <w:tcPr>
            <w:tcW w:w="1537"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1028</w:t>
            </w:r>
          </w:p>
        </w:tc>
        <w:tc>
          <w:tcPr>
            <w:tcW w:w="1429"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195</w:t>
            </w:r>
          </w:p>
        </w:tc>
        <w:tc>
          <w:tcPr>
            <w:tcW w:w="1643"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16%</w:t>
            </w:r>
          </w:p>
        </w:tc>
      </w:tr>
    </w:tbl>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2020年预算表中只列支了财政专户的商品服务支出明细数，其中财政及学校经费紧张，预算了维修项目本年度没动工，“三公”经费压缩。</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（3）对个人和家庭的补助</w:t>
      </w:r>
    </w:p>
    <w:p>
      <w:pPr>
        <w:spacing w:line="600" w:lineRule="atLeast"/>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tbl>
      <w:tblPr>
        <w:tblStyle w:val="6"/>
        <w:tblW w:w="8370" w:type="dxa"/>
        <w:tblInd w:w="93" w:type="dxa"/>
        <w:tblLayout w:type="autofit"/>
        <w:tblCellMar>
          <w:top w:w="0" w:type="dxa"/>
          <w:left w:w="0" w:type="dxa"/>
          <w:bottom w:w="0" w:type="dxa"/>
          <w:right w:w="0" w:type="dxa"/>
        </w:tblCellMar>
      </w:tblPr>
      <w:tblGrid>
        <w:gridCol w:w="1817"/>
        <w:gridCol w:w="1539"/>
        <w:gridCol w:w="1561"/>
        <w:gridCol w:w="1876"/>
        <w:gridCol w:w="1577"/>
      </w:tblGrid>
      <w:tr>
        <w:tblPrEx>
          <w:tblCellMar>
            <w:top w:w="0" w:type="dxa"/>
            <w:left w:w="0" w:type="dxa"/>
            <w:bottom w:w="0" w:type="dxa"/>
            <w:right w:w="0" w:type="dxa"/>
          </w:tblCellMar>
        </w:tblPrEx>
        <w:trPr>
          <w:trHeight w:val="464" w:hRule="atLeast"/>
        </w:trPr>
        <w:tc>
          <w:tcPr>
            <w:tcW w:w="1816" w:type="dxa"/>
            <w:tcBorders>
              <w:top w:val="single" w:color="000000" w:sz="8" w:space="0"/>
              <w:left w:val="single" w:color="000000" w:sz="8" w:space="0"/>
              <w:bottom w:val="single" w:color="000000" w:sz="8" w:space="0"/>
              <w:right w:val="single" w:color="000000"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支出项目</w:t>
            </w:r>
          </w:p>
        </w:tc>
        <w:tc>
          <w:tcPr>
            <w:tcW w:w="1538"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预算金额</w:t>
            </w:r>
          </w:p>
        </w:tc>
        <w:tc>
          <w:tcPr>
            <w:tcW w:w="1560"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决算金额</w:t>
            </w:r>
          </w:p>
        </w:tc>
        <w:tc>
          <w:tcPr>
            <w:tcW w:w="1875"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结余/超支金额</w:t>
            </w:r>
          </w:p>
        </w:tc>
        <w:tc>
          <w:tcPr>
            <w:tcW w:w="1575"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结余/超支率</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离休费</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退休费</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62</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62</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退职（役）费</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抚恤金</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生活补助</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救济费</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医疗费</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助学金</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302</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144</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158</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52.3%</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奖励金</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生产补贴</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住房公积金</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提租补贴</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物业服务补贴</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765" w:hRule="atLeast"/>
        </w:trPr>
        <w:tc>
          <w:tcPr>
            <w:tcW w:w="181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其他对个人和家庭的补助支出</w:t>
            </w:r>
          </w:p>
        </w:tc>
        <w:tc>
          <w:tcPr>
            <w:tcW w:w="153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6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51" w:hRule="atLeast"/>
        </w:trPr>
        <w:tc>
          <w:tcPr>
            <w:tcW w:w="1816"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1538"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377</w:t>
            </w:r>
          </w:p>
        </w:tc>
        <w:tc>
          <w:tcPr>
            <w:tcW w:w="1560"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219</w:t>
            </w:r>
          </w:p>
        </w:tc>
        <w:tc>
          <w:tcPr>
            <w:tcW w:w="1875"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rPr>
                <w:rFonts w:ascii="Calibri" w:hAnsi="Calibri" w:eastAsia="宋体" w:cs="宋体"/>
                <w:kern w:val="0"/>
              </w:rPr>
            </w:pPr>
            <w:r>
              <w:rPr>
                <w:rFonts w:hint="eastAsia" w:ascii="仿宋" w:hAnsi="仿宋" w:eastAsia="仿宋" w:cs="宋体"/>
                <w:color w:val="010101"/>
                <w:kern w:val="0"/>
              </w:rPr>
              <w:t>      158</w:t>
            </w:r>
          </w:p>
        </w:tc>
        <w:tc>
          <w:tcPr>
            <w:tcW w:w="1575"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41.9%</w:t>
            </w:r>
          </w:p>
        </w:tc>
      </w:tr>
    </w:tbl>
    <w:p>
      <w:pPr>
        <w:spacing w:line="600" w:lineRule="atLeast"/>
        <w:ind w:firstLine="960"/>
        <w:jc w:val="both"/>
        <w:rPr>
          <w:rFonts w:ascii="Calibri" w:hAnsi="Calibri" w:eastAsia="微软雅黑" w:cs="宋体"/>
          <w:color w:val="1E1E1E"/>
          <w:kern w:val="0"/>
        </w:rPr>
      </w:pPr>
      <w:r>
        <w:rPr>
          <w:rFonts w:hint="eastAsia" w:ascii="仿宋" w:hAnsi="仿宋" w:eastAsia="仿宋" w:cs="宋体"/>
          <w:color w:val="1E1E1E"/>
          <w:kern w:val="0"/>
          <w:sz w:val="32"/>
          <w:szCs w:val="32"/>
        </w:rPr>
        <w:t>2020新邵职中助学金预算表中加了教育局发的助学金在内。</w:t>
      </w:r>
    </w:p>
    <w:p>
      <w:pPr>
        <w:spacing w:line="600" w:lineRule="atLeast"/>
        <w:ind w:firstLine="960"/>
        <w:jc w:val="both"/>
        <w:rPr>
          <w:rFonts w:ascii="Calibri" w:hAnsi="Calibri" w:eastAsia="微软雅黑" w:cs="宋体"/>
          <w:color w:val="1E1E1E"/>
          <w:kern w:val="0"/>
        </w:rPr>
      </w:pPr>
      <w:r>
        <w:rPr>
          <w:rFonts w:hint="eastAsia" w:ascii="仿宋" w:hAnsi="仿宋" w:eastAsia="仿宋" w:cs="宋体"/>
          <w:color w:val="1E1E1E"/>
          <w:kern w:val="0"/>
          <w:sz w:val="32"/>
          <w:szCs w:val="32"/>
        </w:rPr>
        <w:t>（二）、“三公经费”支出使用和管理</w:t>
      </w:r>
    </w:p>
    <w:p>
      <w:pPr>
        <w:spacing w:line="600" w:lineRule="atLeast"/>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p>
      <w:pPr>
        <w:spacing w:line="600" w:lineRule="atLeast"/>
        <w:ind w:left="638" w:firstLine="480"/>
        <w:jc w:val="both"/>
        <w:rPr>
          <w:rFonts w:ascii="Calibri" w:hAnsi="Calibri" w:eastAsia="微软雅黑" w:cs="宋体"/>
          <w:color w:val="1E1E1E"/>
          <w:kern w:val="0"/>
        </w:rPr>
      </w:pPr>
      <w:r>
        <w:rPr>
          <w:rFonts w:hint="eastAsia" w:ascii="仿宋" w:hAnsi="仿宋" w:eastAsia="仿宋" w:cs="宋体"/>
          <w:color w:val="1E1E1E"/>
          <w:kern w:val="0"/>
          <w:sz w:val="32"/>
          <w:szCs w:val="32"/>
        </w:rPr>
        <w:t>1、“三公经费”预算执行</w:t>
      </w:r>
    </w:p>
    <w:tbl>
      <w:tblPr>
        <w:tblStyle w:val="6"/>
        <w:tblW w:w="8430" w:type="dxa"/>
        <w:jc w:val="center"/>
        <w:tblLayout w:type="autofit"/>
        <w:tblCellMar>
          <w:top w:w="0" w:type="dxa"/>
          <w:left w:w="0" w:type="dxa"/>
          <w:bottom w:w="0" w:type="dxa"/>
          <w:right w:w="0" w:type="dxa"/>
        </w:tblCellMar>
      </w:tblPr>
      <w:tblGrid>
        <w:gridCol w:w="1631"/>
        <w:gridCol w:w="1064"/>
        <w:gridCol w:w="1124"/>
        <w:gridCol w:w="1004"/>
        <w:gridCol w:w="1169"/>
        <w:gridCol w:w="1148"/>
        <w:gridCol w:w="1290"/>
      </w:tblGrid>
      <w:tr>
        <w:tblPrEx>
          <w:tblCellMar>
            <w:top w:w="0" w:type="dxa"/>
            <w:left w:w="0" w:type="dxa"/>
            <w:bottom w:w="0" w:type="dxa"/>
            <w:right w:w="0" w:type="dxa"/>
          </w:tblCellMar>
        </w:tblPrEx>
        <w:trPr>
          <w:trHeight w:val="364" w:hRule="atLeast"/>
          <w:jc w:val="center"/>
        </w:trPr>
        <w:tc>
          <w:tcPr>
            <w:tcW w:w="1632" w:type="dxa"/>
            <w:vMerge w:val="restart"/>
            <w:tcBorders>
              <w:top w:val="single" w:color="000000" w:sz="8" w:space="0"/>
              <w:left w:val="single" w:color="000000" w:sz="8" w:space="0"/>
              <w:bottom w:val="single" w:color="000000" w:sz="8" w:space="0"/>
              <w:right w:val="single" w:color="000000"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费用项目</w:t>
            </w:r>
          </w:p>
        </w:tc>
        <w:tc>
          <w:tcPr>
            <w:tcW w:w="2190" w:type="dxa"/>
            <w:gridSpan w:val="2"/>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本年预算</w:t>
            </w:r>
          </w:p>
        </w:tc>
        <w:tc>
          <w:tcPr>
            <w:tcW w:w="2175" w:type="dxa"/>
            <w:gridSpan w:val="2"/>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本年决算</w:t>
            </w:r>
          </w:p>
        </w:tc>
        <w:tc>
          <w:tcPr>
            <w:tcW w:w="2439" w:type="dxa"/>
            <w:gridSpan w:val="2"/>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结余/超支</w:t>
            </w:r>
          </w:p>
        </w:tc>
      </w:tr>
      <w:tr>
        <w:tblPrEx>
          <w:tblCellMar>
            <w:top w:w="0" w:type="dxa"/>
            <w:left w:w="0" w:type="dxa"/>
            <w:bottom w:w="0" w:type="dxa"/>
            <w:right w:w="0" w:type="dxa"/>
          </w:tblCellMar>
        </w:tblPrEx>
        <w:trPr>
          <w:trHeight w:val="580"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Calibri" w:hAnsi="Calibri" w:eastAsia="宋体" w:cs="宋体"/>
                <w:kern w:val="0"/>
              </w:rPr>
            </w:pPr>
          </w:p>
        </w:tc>
        <w:tc>
          <w:tcPr>
            <w:tcW w:w="1065"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基本支出</w:t>
            </w:r>
          </w:p>
        </w:tc>
        <w:tc>
          <w:tcPr>
            <w:tcW w:w="1125"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项目支出</w:t>
            </w:r>
          </w:p>
        </w:tc>
        <w:tc>
          <w:tcPr>
            <w:tcW w:w="1005"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基本支出</w:t>
            </w:r>
          </w:p>
        </w:tc>
        <w:tc>
          <w:tcPr>
            <w:tcW w:w="1170"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项目支出</w:t>
            </w:r>
          </w:p>
        </w:tc>
        <w:tc>
          <w:tcPr>
            <w:tcW w:w="1149"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基本支出</w:t>
            </w:r>
          </w:p>
        </w:tc>
        <w:tc>
          <w:tcPr>
            <w:tcW w:w="1290"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项目支出</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公务接待费</w:t>
            </w:r>
          </w:p>
        </w:tc>
        <w:tc>
          <w:tcPr>
            <w:tcW w:w="106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5.4</w:t>
            </w:r>
          </w:p>
        </w:tc>
        <w:tc>
          <w:tcPr>
            <w:tcW w:w="112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00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2.5</w:t>
            </w:r>
          </w:p>
        </w:tc>
        <w:tc>
          <w:tcPr>
            <w:tcW w:w="117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49"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2.9</w:t>
            </w:r>
          </w:p>
        </w:tc>
        <w:tc>
          <w:tcPr>
            <w:tcW w:w="129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00" w:hRule="atLeast"/>
          <w:jc w:val="center"/>
        </w:trPr>
        <w:tc>
          <w:tcPr>
            <w:tcW w:w="1632"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公车运行维护费</w:t>
            </w:r>
          </w:p>
        </w:tc>
        <w:tc>
          <w:tcPr>
            <w:tcW w:w="106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9</w:t>
            </w:r>
          </w:p>
        </w:tc>
        <w:tc>
          <w:tcPr>
            <w:tcW w:w="112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00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3.1</w:t>
            </w:r>
          </w:p>
        </w:tc>
        <w:tc>
          <w:tcPr>
            <w:tcW w:w="117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49"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5.9</w:t>
            </w:r>
          </w:p>
        </w:tc>
        <w:tc>
          <w:tcPr>
            <w:tcW w:w="129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430" w:hRule="atLeast"/>
          <w:jc w:val="center"/>
        </w:trPr>
        <w:tc>
          <w:tcPr>
            <w:tcW w:w="1632"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公务车购置费</w:t>
            </w:r>
          </w:p>
        </w:tc>
        <w:tc>
          <w:tcPr>
            <w:tcW w:w="106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2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00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7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49"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9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因公出国费用</w:t>
            </w:r>
          </w:p>
        </w:tc>
        <w:tc>
          <w:tcPr>
            <w:tcW w:w="106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2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005"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7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49"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90" w:type="dxa"/>
            <w:tcBorders>
              <w:top w:val="nil"/>
              <w:left w:val="nil"/>
              <w:bottom w:val="single" w:color="auto" w:sz="8" w:space="0"/>
              <w:right w:val="single" w:color="auto" w:sz="8" w:space="0"/>
            </w:tcBorders>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1065"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both"/>
              <w:rPr>
                <w:rFonts w:ascii="Calibri" w:hAnsi="Calibri" w:eastAsia="宋体" w:cs="宋体"/>
                <w:kern w:val="0"/>
              </w:rPr>
            </w:pPr>
            <w:r>
              <w:rPr>
                <w:rFonts w:hint="eastAsia" w:ascii="仿宋" w:hAnsi="仿宋" w:eastAsia="仿宋" w:cs="宋体"/>
                <w:color w:val="010101"/>
                <w:kern w:val="0"/>
              </w:rPr>
              <w:t>14.4</w:t>
            </w:r>
          </w:p>
        </w:tc>
        <w:tc>
          <w:tcPr>
            <w:tcW w:w="1125"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005"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5.6</w:t>
            </w:r>
          </w:p>
        </w:tc>
        <w:tc>
          <w:tcPr>
            <w:tcW w:w="1170"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149"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8.8</w:t>
            </w:r>
          </w:p>
        </w:tc>
        <w:tc>
          <w:tcPr>
            <w:tcW w:w="1290" w:type="dxa"/>
            <w:tcBorders>
              <w:top w:val="nil"/>
              <w:left w:val="nil"/>
              <w:bottom w:val="single" w:color="auto" w:sz="8" w:space="0"/>
              <w:right w:val="single" w:color="auto" w:sz="8" w:space="0"/>
            </w:tcBorders>
            <w:shd w:val="clear" w:color="auto" w:fill="D9D9D9"/>
            <w:tcMar>
              <w:top w:w="0" w:type="dxa"/>
              <w:left w:w="15" w:type="dxa"/>
              <w:bottom w:w="0" w:type="dxa"/>
              <w:right w:w="15" w:type="dxa"/>
            </w:tcMa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bl>
    <w:p>
      <w:pPr>
        <w:spacing w:line="600" w:lineRule="atLeast"/>
        <w:ind w:left="231" w:firstLine="554"/>
        <w:jc w:val="both"/>
        <w:outlineLvl w:val="0"/>
        <w:rPr>
          <w:rFonts w:ascii="微软雅黑" w:hAnsi="微软雅黑" w:eastAsia="微软雅黑" w:cs="宋体"/>
          <w:b/>
          <w:bCs/>
          <w:color w:val="F29F05"/>
          <w:kern w:val="36"/>
          <w:sz w:val="225"/>
          <w:szCs w:val="225"/>
        </w:rPr>
      </w:pPr>
      <w:r>
        <w:rPr>
          <w:rFonts w:hint="eastAsia" w:ascii="仿宋" w:hAnsi="仿宋" w:eastAsia="仿宋" w:cs="宋体"/>
          <w:color w:val="F29F05"/>
          <w:kern w:val="36"/>
          <w:sz w:val="32"/>
          <w:szCs w:val="32"/>
        </w:rPr>
        <w:t>学校严控“三公”经费开支，没有因公出国（境）费用，公车运行维护费基本上全年油费与年检费。</w:t>
      </w:r>
    </w:p>
    <w:p>
      <w:pPr>
        <w:spacing w:line="600" w:lineRule="atLeast"/>
        <w:ind w:left="480" w:hanging="480"/>
        <w:jc w:val="both"/>
        <w:rPr>
          <w:rFonts w:hint="eastAsia" w:ascii="Calibri" w:hAnsi="Calibri" w:eastAsia="微软雅黑" w:cs="宋体"/>
          <w:color w:val="1E1E1E"/>
          <w:kern w:val="0"/>
        </w:rPr>
      </w:pPr>
      <w:r>
        <w:rPr>
          <w:rFonts w:hint="eastAsia" w:ascii="仿宋" w:hAnsi="仿宋" w:eastAsia="仿宋" w:cs="宋体"/>
          <w:color w:val="1E1E1E"/>
          <w:kern w:val="0"/>
          <w:sz w:val="32"/>
          <w:szCs w:val="32"/>
        </w:rPr>
        <w:t>2、“三公经费”与上年度比较</w:t>
      </w:r>
    </w:p>
    <w:tbl>
      <w:tblPr>
        <w:tblStyle w:val="6"/>
        <w:tblW w:w="0" w:type="auto"/>
        <w:jc w:val="center"/>
        <w:tblLayout w:type="autofit"/>
        <w:tblCellMar>
          <w:top w:w="0" w:type="dxa"/>
          <w:left w:w="0" w:type="dxa"/>
          <w:bottom w:w="0" w:type="dxa"/>
          <w:right w:w="0" w:type="dxa"/>
        </w:tblCellMar>
      </w:tblPr>
      <w:tblGrid>
        <w:gridCol w:w="1795"/>
        <w:gridCol w:w="1179"/>
        <w:gridCol w:w="1255"/>
        <w:gridCol w:w="1249"/>
        <w:gridCol w:w="2477"/>
      </w:tblGrid>
      <w:tr>
        <w:tblPrEx>
          <w:tblCellMar>
            <w:top w:w="0" w:type="dxa"/>
            <w:left w:w="0" w:type="dxa"/>
            <w:bottom w:w="0" w:type="dxa"/>
            <w:right w:w="0" w:type="dxa"/>
          </w:tblCellMar>
        </w:tblPrEx>
        <w:trPr>
          <w:trHeight w:val="331" w:hRule="atLeast"/>
          <w:jc w:val="center"/>
        </w:trPr>
        <w:tc>
          <w:tcPr>
            <w:tcW w:w="1795" w:type="dxa"/>
            <w:tcBorders>
              <w:top w:val="single" w:color="000000" w:sz="8" w:space="0"/>
              <w:left w:val="single" w:color="000000" w:sz="8" w:space="0"/>
              <w:bottom w:val="single" w:color="000000" w:sz="8" w:space="0"/>
              <w:right w:val="single" w:color="000000"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费用项目</w:t>
            </w:r>
          </w:p>
        </w:tc>
        <w:tc>
          <w:tcPr>
            <w:tcW w:w="1179" w:type="dxa"/>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本年金额</w:t>
            </w:r>
          </w:p>
        </w:tc>
        <w:tc>
          <w:tcPr>
            <w:tcW w:w="1255" w:type="dxa"/>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上年金额</w:t>
            </w:r>
          </w:p>
        </w:tc>
        <w:tc>
          <w:tcPr>
            <w:tcW w:w="1249" w:type="dxa"/>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增减额</w:t>
            </w:r>
          </w:p>
        </w:tc>
        <w:tc>
          <w:tcPr>
            <w:tcW w:w="2477" w:type="dxa"/>
            <w:tcBorders>
              <w:top w:val="single" w:color="auto" w:sz="8" w:space="0"/>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增减率%</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公务接待费</w:t>
            </w:r>
          </w:p>
        </w:tc>
        <w:tc>
          <w:tcPr>
            <w:tcW w:w="117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2.5</w:t>
            </w:r>
          </w:p>
        </w:tc>
        <w:tc>
          <w:tcPr>
            <w:tcW w:w="1255"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5.5</w:t>
            </w:r>
          </w:p>
        </w:tc>
        <w:tc>
          <w:tcPr>
            <w:tcW w:w="124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w:t>
            </w:r>
          </w:p>
        </w:tc>
        <w:tc>
          <w:tcPr>
            <w:tcW w:w="2477"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-120%</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公车运行维护费</w:t>
            </w:r>
          </w:p>
        </w:tc>
        <w:tc>
          <w:tcPr>
            <w:tcW w:w="117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3.1</w:t>
            </w:r>
          </w:p>
        </w:tc>
        <w:tc>
          <w:tcPr>
            <w:tcW w:w="1255"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12</w:t>
            </w:r>
          </w:p>
        </w:tc>
        <w:tc>
          <w:tcPr>
            <w:tcW w:w="124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-8.9</w:t>
            </w:r>
          </w:p>
        </w:tc>
        <w:tc>
          <w:tcPr>
            <w:tcW w:w="2477"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-287%</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公务车辆购置费</w:t>
            </w:r>
          </w:p>
        </w:tc>
        <w:tc>
          <w:tcPr>
            <w:tcW w:w="117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55"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4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2477"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因公出国(境)费用</w:t>
            </w:r>
          </w:p>
        </w:tc>
        <w:tc>
          <w:tcPr>
            <w:tcW w:w="117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55"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1249"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c>
          <w:tcPr>
            <w:tcW w:w="2477" w:type="dxa"/>
            <w:tcBorders>
              <w:top w:val="nil"/>
              <w:left w:val="nil"/>
              <w:bottom w:val="single" w:color="auto" w:sz="8" w:space="0"/>
              <w:right w:val="single" w:color="auto" w:sz="8" w:space="0"/>
            </w:tcBorders>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0</w:t>
            </w:r>
          </w:p>
        </w:tc>
      </w:tr>
      <w:tr>
        <w:tblPrEx>
          <w:tblCellMar>
            <w:top w:w="0" w:type="dxa"/>
            <w:left w:w="0" w:type="dxa"/>
            <w:bottom w:w="0" w:type="dxa"/>
            <w:right w:w="0" w:type="dxa"/>
          </w:tblCellMar>
        </w:tblPrEx>
        <w:trPr>
          <w:trHeight w:val="369" w:hRule="atLeast"/>
          <w:jc w:val="center"/>
        </w:trPr>
        <w:tc>
          <w:tcPr>
            <w:tcW w:w="1795" w:type="dxa"/>
            <w:tcBorders>
              <w:top w:val="nil"/>
              <w:left w:val="single" w:color="auto" w:sz="8" w:space="0"/>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1179"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5.6</w:t>
            </w:r>
          </w:p>
        </w:tc>
        <w:tc>
          <w:tcPr>
            <w:tcW w:w="1255"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17.5</w:t>
            </w:r>
          </w:p>
        </w:tc>
        <w:tc>
          <w:tcPr>
            <w:tcW w:w="1249"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-11.9</w:t>
            </w:r>
          </w:p>
        </w:tc>
        <w:tc>
          <w:tcPr>
            <w:tcW w:w="2477" w:type="dxa"/>
            <w:tcBorders>
              <w:top w:val="nil"/>
              <w:left w:val="nil"/>
              <w:bottom w:val="single" w:color="auto" w:sz="8" w:space="0"/>
              <w:right w:val="single" w:color="auto" w:sz="8" w:space="0"/>
            </w:tcBorders>
            <w:shd w:val="clear" w:color="auto" w:fill="D9D9D9"/>
            <w:tcMar>
              <w:top w:w="0" w:type="dxa"/>
              <w:left w:w="15" w:type="dxa"/>
              <w:bottom w:w="0"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-213%</w:t>
            </w:r>
          </w:p>
        </w:tc>
      </w:tr>
    </w:tbl>
    <w:p>
      <w:pPr>
        <w:spacing w:line="600" w:lineRule="atLeast"/>
        <w:ind w:left="231" w:firstLine="554"/>
        <w:jc w:val="both"/>
        <w:outlineLvl w:val="0"/>
        <w:rPr>
          <w:rFonts w:ascii="微软雅黑" w:hAnsi="微软雅黑" w:eastAsia="微软雅黑" w:cs="宋体"/>
          <w:b/>
          <w:bCs/>
          <w:color w:val="F29F05"/>
          <w:kern w:val="36"/>
          <w:sz w:val="225"/>
          <w:szCs w:val="225"/>
        </w:rPr>
      </w:pPr>
      <w:r>
        <w:rPr>
          <w:rFonts w:hint="eastAsia" w:ascii="仿宋" w:hAnsi="仿宋" w:eastAsia="仿宋" w:cs="宋体"/>
          <w:color w:val="F29F05"/>
          <w:kern w:val="36"/>
          <w:sz w:val="32"/>
          <w:szCs w:val="32"/>
        </w:rPr>
        <w:t>学校严控“三公”经费开支，没有因公出国（境）费用，公车运行维护费基本上全年油费与年检费。</w:t>
      </w:r>
    </w:p>
    <w:p>
      <w:pPr>
        <w:spacing w:line="600" w:lineRule="atLeast"/>
        <w:ind w:left="480" w:hanging="480"/>
        <w:jc w:val="both"/>
        <w:rPr>
          <w:rFonts w:hint="eastAsia" w:ascii="Calibri" w:hAnsi="Calibri" w:eastAsia="微软雅黑" w:cs="宋体"/>
          <w:color w:val="1E1E1E"/>
          <w:kern w:val="0"/>
        </w:rPr>
      </w:pPr>
      <w:r>
        <w:rPr>
          <w:rFonts w:hint="eastAsia" w:ascii="仿宋" w:hAnsi="仿宋" w:eastAsia="仿宋" w:cs="宋体"/>
          <w:color w:val="1E1E1E"/>
          <w:kern w:val="0"/>
          <w:sz w:val="32"/>
          <w:szCs w:val="32"/>
        </w:rPr>
        <w:t>（三）专项支出管理(本单位无)</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1、专项资金基本情况及绩效目标</w:t>
      </w:r>
    </w:p>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无；</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2、专项资金预算执行</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tbl>
      <w:tblPr>
        <w:tblStyle w:val="6"/>
        <w:tblW w:w="0" w:type="auto"/>
        <w:tblInd w:w="0" w:type="dxa"/>
        <w:tblLayout w:type="autofit"/>
        <w:tblCellMar>
          <w:top w:w="0" w:type="dxa"/>
          <w:left w:w="0" w:type="dxa"/>
          <w:bottom w:w="0" w:type="dxa"/>
          <w:right w:w="0" w:type="dxa"/>
        </w:tblCellMar>
      </w:tblPr>
      <w:tblGrid>
        <w:gridCol w:w="2402"/>
        <w:gridCol w:w="623"/>
        <w:gridCol w:w="555"/>
        <w:gridCol w:w="572"/>
        <w:gridCol w:w="654"/>
        <w:gridCol w:w="701"/>
        <w:gridCol w:w="1014"/>
        <w:gridCol w:w="1815"/>
      </w:tblGrid>
      <w:tr>
        <w:tblPrEx>
          <w:tblCellMar>
            <w:top w:w="0" w:type="dxa"/>
            <w:left w:w="0" w:type="dxa"/>
            <w:bottom w:w="0" w:type="dxa"/>
            <w:right w:w="0" w:type="dxa"/>
          </w:tblCellMar>
        </w:tblPrEx>
        <w:trPr>
          <w:trHeight w:val="415" w:hRule="atLeast"/>
        </w:trPr>
        <w:tc>
          <w:tcPr>
            <w:tcW w:w="2704" w:type="dxa"/>
            <w:vMerge w:val="restart"/>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专项子目名称</w:t>
            </w:r>
          </w:p>
        </w:tc>
        <w:tc>
          <w:tcPr>
            <w:tcW w:w="2421" w:type="dxa"/>
            <w:gridSpan w:val="4"/>
            <w:tcBorders>
              <w:top w:val="single" w:color="auto" w:sz="12" w:space="0"/>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本年预算可用指标</w:t>
            </w:r>
          </w:p>
        </w:tc>
        <w:tc>
          <w:tcPr>
            <w:tcW w:w="725" w:type="dxa"/>
            <w:vMerge w:val="restart"/>
            <w:tcBorders>
              <w:top w:val="single" w:color="auto" w:sz="12" w:space="0"/>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本年实际支出</w:t>
            </w:r>
          </w:p>
        </w:tc>
        <w:tc>
          <w:tcPr>
            <w:tcW w:w="1089" w:type="dxa"/>
            <w:vMerge w:val="restart"/>
            <w:tcBorders>
              <w:top w:val="single" w:color="auto" w:sz="12" w:space="0"/>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本年结余</w:t>
            </w:r>
          </w:p>
        </w:tc>
        <w:tc>
          <w:tcPr>
            <w:tcW w:w="2021" w:type="dxa"/>
            <w:vMerge w:val="restart"/>
            <w:tcBorders>
              <w:top w:val="single" w:color="auto" w:sz="12" w:space="0"/>
              <w:left w:val="nil"/>
              <w:bottom w:val="single" w:color="auto" w:sz="8"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投入进度</w:t>
            </w:r>
          </w:p>
        </w:tc>
      </w:tr>
      <w:tr>
        <w:tblPrEx>
          <w:tblCellMar>
            <w:top w:w="0" w:type="dxa"/>
            <w:left w:w="0" w:type="dxa"/>
            <w:bottom w:w="0" w:type="dxa"/>
            <w:right w:w="0" w:type="dxa"/>
          </w:tblCellMar>
        </w:tblPrEx>
        <w:trPr>
          <w:trHeight w:val="756" w:hRule="atLeast"/>
        </w:trPr>
        <w:tc>
          <w:tcPr>
            <w:tcW w:w="0" w:type="auto"/>
            <w:vMerge w:val="continue"/>
            <w:tcBorders>
              <w:top w:val="single" w:color="000000" w:sz="12" w:space="0"/>
              <w:left w:val="single" w:color="000000" w:sz="12" w:space="0"/>
              <w:bottom w:val="single" w:color="000000" w:sz="8" w:space="0"/>
              <w:right w:val="single" w:color="000000" w:sz="8" w:space="0"/>
            </w:tcBorders>
            <w:vAlign w:val="center"/>
          </w:tcPr>
          <w:p>
            <w:pPr>
              <w:rPr>
                <w:rFonts w:ascii="Calibri" w:hAnsi="Calibri" w:eastAsia="宋体" w:cs="宋体"/>
                <w:kern w:val="0"/>
              </w:rPr>
            </w:pPr>
          </w:p>
        </w:tc>
        <w:tc>
          <w:tcPr>
            <w:tcW w:w="6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上年</w:t>
            </w:r>
          </w:p>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结余</w:t>
            </w:r>
          </w:p>
        </w:tc>
        <w:tc>
          <w:tcPr>
            <w:tcW w:w="54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年初</w:t>
            </w:r>
          </w:p>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预算</w:t>
            </w:r>
          </w:p>
        </w:tc>
        <w:tc>
          <w:tcPr>
            <w:tcW w:w="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本年</w:t>
            </w:r>
          </w:p>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追加</w:t>
            </w:r>
          </w:p>
        </w:tc>
        <w:tc>
          <w:tcPr>
            <w:tcW w:w="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合计</w:t>
            </w:r>
          </w:p>
        </w:tc>
        <w:tc>
          <w:tcPr>
            <w:tcW w:w="0" w:type="auto"/>
            <w:vMerge w:val="continue"/>
            <w:tcBorders>
              <w:top w:val="single" w:color="auto" w:sz="12" w:space="0"/>
              <w:left w:val="nil"/>
              <w:bottom w:val="single" w:color="auto" w:sz="8" w:space="0"/>
              <w:right w:val="single" w:color="auto" w:sz="8" w:space="0"/>
            </w:tcBorders>
            <w:vAlign w:val="center"/>
          </w:tcPr>
          <w:p>
            <w:pPr>
              <w:rPr>
                <w:rFonts w:ascii="Calibri" w:hAnsi="Calibri" w:eastAsia="宋体" w:cs="宋体"/>
                <w:kern w:val="0"/>
              </w:rPr>
            </w:pPr>
          </w:p>
        </w:tc>
        <w:tc>
          <w:tcPr>
            <w:tcW w:w="0" w:type="auto"/>
            <w:vMerge w:val="continue"/>
            <w:tcBorders>
              <w:top w:val="single" w:color="auto" w:sz="12" w:space="0"/>
              <w:left w:val="nil"/>
              <w:bottom w:val="single" w:color="auto" w:sz="8" w:space="0"/>
              <w:right w:val="single" w:color="auto" w:sz="8" w:space="0"/>
            </w:tcBorders>
            <w:vAlign w:val="center"/>
          </w:tcPr>
          <w:p>
            <w:pPr>
              <w:rPr>
                <w:rFonts w:ascii="Calibri" w:hAnsi="Calibri" w:eastAsia="宋体" w:cs="宋体"/>
                <w:kern w:val="0"/>
              </w:rPr>
            </w:pPr>
          </w:p>
        </w:tc>
        <w:tc>
          <w:tcPr>
            <w:tcW w:w="0" w:type="auto"/>
            <w:vMerge w:val="continue"/>
            <w:tcBorders>
              <w:top w:val="single" w:color="auto" w:sz="12" w:space="0"/>
              <w:left w:val="nil"/>
              <w:bottom w:val="single" w:color="auto" w:sz="8" w:space="0"/>
              <w:right w:val="single" w:color="auto" w:sz="12" w:space="0"/>
            </w:tcBorders>
            <w:vAlign w:val="center"/>
          </w:tcPr>
          <w:p>
            <w:pPr>
              <w:rPr>
                <w:rFonts w:ascii="Calibri" w:hAnsi="Calibri" w:eastAsia="宋体" w:cs="宋体"/>
                <w:kern w:val="0"/>
              </w:rPr>
            </w:pPr>
          </w:p>
        </w:tc>
      </w:tr>
      <w:tr>
        <w:tblPrEx>
          <w:tblCellMar>
            <w:top w:w="0" w:type="dxa"/>
            <w:left w:w="0" w:type="dxa"/>
            <w:bottom w:w="0" w:type="dxa"/>
            <w:right w:w="0" w:type="dxa"/>
          </w:tblCellMar>
        </w:tblPrEx>
        <w:trPr>
          <w:trHeight w:val="403" w:hRule="atLeast"/>
        </w:trPr>
        <w:tc>
          <w:tcPr>
            <w:tcW w:w="2704" w:type="dxa"/>
            <w:tcBorders>
              <w:top w:val="nil"/>
              <w:left w:val="single" w:color="auto" w:sz="12"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4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72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08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2021" w:type="dxa"/>
            <w:tcBorders>
              <w:top w:val="nil"/>
              <w:left w:val="nil"/>
              <w:bottom w:val="single" w:color="auto" w:sz="8"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03" w:hRule="atLeast"/>
        </w:trPr>
        <w:tc>
          <w:tcPr>
            <w:tcW w:w="2704" w:type="dxa"/>
            <w:tcBorders>
              <w:top w:val="nil"/>
              <w:left w:val="single" w:color="auto" w:sz="12"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4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72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08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2021" w:type="dxa"/>
            <w:tcBorders>
              <w:top w:val="nil"/>
              <w:left w:val="nil"/>
              <w:bottom w:val="single" w:color="auto" w:sz="8"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03" w:hRule="atLeast"/>
        </w:trPr>
        <w:tc>
          <w:tcPr>
            <w:tcW w:w="2704" w:type="dxa"/>
            <w:tcBorders>
              <w:top w:val="nil"/>
              <w:left w:val="single" w:color="auto" w:sz="12"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4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72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08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2021" w:type="dxa"/>
            <w:tcBorders>
              <w:top w:val="nil"/>
              <w:left w:val="nil"/>
              <w:bottom w:val="single" w:color="auto" w:sz="8"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03" w:hRule="atLeast"/>
        </w:trPr>
        <w:tc>
          <w:tcPr>
            <w:tcW w:w="2704" w:type="dxa"/>
            <w:tcBorders>
              <w:top w:val="nil"/>
              <w:left w:val="single" w:color="auto" w:sz="12" w:space="0"/>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3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4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72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08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2021" w:type="dxa"/>
            <w:tcBorders>
              <w:top w:val="nil"/>
              <w:left w:val="nil"/>
              <w:bottom w:val="single" w:color="auto" w:sz="8"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r>
        <w:tblPrEx>
          <w:tblCellMar>
            <w:top w:w="0" w:type="dxa"/>
            <w:left w:w="0" w:type="dxa"/>
            <w:bottom w:w="0" w:type="dxa"/>
            <w:right w:w="0" w:type="dxa"/>
          </w:tblCellMar>
        </w:tblPrEx>
        <w:trPr>
          <w:trHeight w:val="440" w:hRule="atLeast"/>
        </w:trPr>
        <w:tc>
          <w:tcPr>
            <w:tcW w:w="2704" w:type="dxa"/>
            <w:tcBorders>
              <w:top w:val="nil"/>
              <w:left w:val="single" w:color="auto" w:sz="12" w:space="0"/>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合</w:t>
            </w:r>
            <w:r>
              <w:rPr>
                <w:rFonts w:hint="eastAsia" w:ascii="宋体" w:hAnsi="宋体" w:eastAsia="宋体" w:cs="宋体"/>
                <w:color w:val="010101"/>
                <w:kern w:val="0"/>
              </w:rPr>
              <w:t> </w:t>
            </w:r>
            <w:r>
              <w:rPr>
                <w:rFonts w:hint="eastAsia" w:ascii="仿宋" w:hAnsi="仿宋" w:eastAsia="仿宋" w:cs="宋体"/>
                <w:color w:val="010101"/>
                <w:kern w:val="0"/>
              </w:rPr>
              <w:t>计</w:t>
            </w:r>
          </w:p>
        </w:tc>
        <w:tc>
          <w:tcPr>
            <w:tcW w:w="634"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42"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575"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670"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725"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1089" w:type="dxa"/>
            <w:tcBorders>
              <w:top w:val="nil"/>
              <w:left w:val="nil"/>
              <w:bottom w:val="single" w:color="auto" w:sz="12" w:space="0"/>
              <w:right w:val="single" w:color="auto" w:sz="8"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c>
          <w:tcPr>
            <w:tcW w:w="2021" w:type="dxa"/>
            <w:tcBorders>
              <w:top w:val="nil"/>
              <w:left w:val="nil"/>
              <w:bottom w:val="single" w:color="auto" w:sz="12" w:space="0"/>
              <w:right w:val="single" w:color="auto" w:sz="12" w:space="0"/>
            </w:tcBorders>
            <w:tcMar>
              <w:top w:w="15" w:type="dxa"/>
              <w:left w:w="15" w:type="dxa"/>
              <w:bottom w:w="15" w:type="dxa"/>
              <w:right w:w="15" w:type="dxa"/>
            </w:tcMar>
            <w:vAlign w:val="center"/>
          </w:tcPr>
          <w:p>
            <w:pPr>
              <w:spacing w:line="600" w:lineRule="atLeast"/>
              <w:ind w:left="315" w:hanging="315"/>
              <w:jc w:val="center"/>
              <w:rPr>
                <w:rFonts w:ascii="Calibri" w:hAnsi="Calibri" w:eastAsia="宋体" w:cs="宋体"/>
                <w:kern w:val="0"/>
              </w:rPr>
            </w:pPr>
            <w:r>
              <w:rPr>
                <w:rFonts w:hint="eastAsia" w:ascii="仿宋" w:hAnsi="仿宋" w:eastAsia="仿宋" w:cs="宋体"/>
                <w:color w:val="010101"/>
                <w:kern w:val="0"/>
              </w:rPr>
              <w:t> </w:t>
            </w:r>
          </w:p>
        </w:tc>
      </w:tr>
    </w:tbl>
    <w:p>
      <w:pPr>
        <w:spacing w:line="600" w:lineRule="atLeast"/>
        <w:ind w:left="150"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3、专项资金的管理</w:t>
      </w:r>
    </w:p>
    <w:p>
      <w:pPr>
        <w:spacing w:line="600" w:lineRule="atLeast"/>
        <w:ind w:left="479" w:firstLine="1120"/>
        <w:jc w:val="both"/>
        <w:rPr>
          <w:rFonts w:ascii="Calibri" w:hAnsi="Calibri" w:eastAsia="微软雅黑" w:cs="宋体"/>
          <w:color w:val="1E1E1E"/>
          <w:kern w:val="0"/>
        </w:rPr>
      </w:pPr>
      <w:r>
        <w:rPr>
          <w:rFonts w:hint="eastAsia" w:ascii="仿宋" w:hAnsi="仿宋" w:eastAsia="仿宋" w:cs="宋体"/>
          <w:color w:val="1E1E1E"/>
          <w:kern w:val="0"/>
          <w:sz w:val="32"/>
          <w:szCs w:val="32"/>
        </w:rPr>
        <w:t>无；</w:t>
      </w:r>
    </w:p>
    <w:p>
      <w:pPr>
        <w:spacing w:line="600" w:lineRule="atLeast"/>
        <w:ind w:left="482" w:hanging="482"/>
        <w:jc w:val="both"/>
        <w:outlineLvl w:val="0"/>
        <w:rPr>
          <w:rFonts w:ascii="微软雅黑" w:hAnsi="微软雅黑" w:eastAsia="微软雅黑" w:cs="宋体"/>
          <w:b/>
          <w:bCs/>
          <w:color w:val="F29F05"/>
          <w:kern w:val="36"/>
          <w:sz w:val="225"/>
          <w:szCs w:val="225"/>
        </w:rPr>
      </w:pPr>
      <w:r>
        <w:rPr>
          <w:rFonts w:hint="eastAsia" w:ascii="仿宋" w:hAnsi="仿宋" w:eastAsia="仿宋" w:cs="宋体"/>
          <w:b/>
          <w:bCs/>
          <w:color w:val="F29F05"/>
          <w:kern w:val="36"/>
          <w:sz w:val="32"/>
          <w:szCs w:val="32"/>
        </w:rPr>
        <w:t>四、部门整体支出绩效评价</w:t>
      </w:r>
    </w:p>
    <w:p>
      <w:pPr>
        <w:spacing w:line="315" w:lineRule="atLeast"/>
        <w:ind w:left="596" w:firstLine="750"/>
        <w:jc w:val="both"/>
        <w:rPr>
          <w:rFonts w:hint="eastAsia" w:ascii="Calibri" w:hAnsi="Calibri" w:eastAsia="微软雅黑" w:cs="宋体"/>
          <w:color w:val="1E1E1E"/>
          <w:kern w:val="0"/>
        </w:rPr>
      </w:pPr>
      <w:r>
        <w:rPr>
          <w:rFonts w:hint="eastAsia" w:ascii="宋体" w:hAnsi="宋体" w:eastAsia="宋体" w:cs="宋体"/>
          <w:color w:val="1E1E1E"/>
          <w:kern w:val="0"/>
          <w:sz w:val="30"/>
          <w:szCs w:val="30"/>
        </w:rPr>
        <w:t>经过资料收集、现场勘查、访谈以及评价分析等评价程序，我们认为新邵县工业职业中等专业学校</w:t>
      </w:r>
      <w:r>
        <w:rPr>
          <w:rFonts w:hint="eastAsia" w:ascii="仿宋" w:hAnsi="仿宋" w:eastAsia="仿宋" w:cs="宋体"/>
          <w:color w:val="1E1E1E"/>
          <w:kern w:val="0"/>
          <w:sz w:val="30"/>
          <w:szCs w:val="30"/>
        </w:rPr>
        <w:t>2020</w:t>
      </w:r>
      <w:r>
        <w:rPr>
          <w:rFonts w:hint="eastAsia" w:ascii="宋体" w:hAnsi="宋体" w:eastAsia="宋体" w:cs="宋体"/>
          <w:color w:val="1E1E1E"/>
          <w:kern w:val="0"/>
          <w:sz w:val="30"/>
          <w:szCs w:val="30"/>
        </w:rPr>
        <w:t>年度部门整体支出符合国家及省市相关规划的要求，在决策依据及决策程序上符合相关规定，设立了明确、细化、可衡量的绩效目标。财政资金使用符合国家财经法规和财务管理制度规定，未发现截留、挤占、挪用、虚列等情况。相关管理制度基本完备，资金到位及时，事中监控有效，基本完成了预定的绩效目标。</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（一）经济性评价</w:t>
      </w:r>
    </w:p>
    <w:p>
      <w:pPr>
        <w:spacing w:line="600" w:lineRule="atLeast"/>
        <w:ind w:left="141"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供养人员控制在预算编制以内；“三公”经费支出总额控制在预算。预算执行方面。支出总额控制在预算总额以内；三公经费总体控制较好，较上年下降。预算管理方面，制度执行总体较为有效，仍需进一步强化。资金使用管理需进一步加强。总体执行较好。</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（二）行政效能评价</w:t>
      </w:r>
    </w:p>
    <w:p>
      <w:pPr>
        <w:spacing w:line="502" w:lineRule="atLeast"/>
        <w:ind w:left="142" w:firstLine="709"/>
        <w:rPr>
          <w:rFonts w:ascii="Times New Roman" w:hAnsi="Times New Roman" w:eastAsia="微软雅黑" w:cs="Times New Roman"/>
          <w:color w:val="1E1E1E"/>
          <w:kern w:val="0"/>
          <w:sz w:val="24"/>
          <w:szCs w:val="24"/>
        </w:rPr>
      </w:pPr>
      <w:r>
        <w:rPr>
          <w:rFonts w:hint="eastAsia" w:ascii="仿宋" w:hAnsi="仿宋" w:eastAsia="仿宋" w:cs="Times New Roman"/>
          <w:color w:val="1E1E1E"/>
          <w:kern w:val="0"/>
          <w:sz w:val="32"/>
          <w:szCs w:val="32"/>
        </w:rPr>
        <w:t>1.高度重视预算绩效工作。成立为以校长为组长，其他领导为副组长，办公室及财务室人员为成员的预算绩效工作领导小组，进一步强化财政预算支出绩效管理。</w:t>
      </w:r>
    </w:p>
    <w:p>
      <w:pPr>
        <w:spacing w:line="502" w:lineRule="atLeast"/>
        <w:ind w:left="142" w:firstLine="709"/>
        <w:rPr>
          <w:rFonts w:ascii="Times New Roman" w:hAnsi="Times New Roman" w:eastAsia="微软雅黑" w:cs="Times New Roman"/>
          <w:color w:val="1E1E1E"/>
          <w:kern w:val="0"/>
          <w:sz w:val="24"/>
          <w:szCs w:val="24"/>
        </w:rPr>
      </w:pPr>
      <w:r>
        <w:rPr>
          <w:rFonts w:hint="eastAsia" w:ascii="仿宋" w:hAnsi="仿宋" w:eastAsia="仿宋" w:cs="Times New Roman"/>
          <w:color w:val="1E1E1E"/>
          <w:kern w:val="0"/>
          <w:sz w:val="32"/>
          <w:szCs w:val="32"/>
        </w:rPr>
        <w:t>2.加强对财政预算资金管理方面制度的培训，不断提高业务工作能力。</w:t>
      </w:r>
    </w:p>
    <w:p>
      <w:pPr>
        <w:spacing w:line="502" w:lineRule="atLeast"/>
        <w:ind w:left="142" w:firstLine="709"/>
        <w:rPr>
          <w:rFonts w:ascii="Times New Roman" w:hAnsi="Times New Roman" w:eastAsia="微软雅黑" w:cs="Times New Roman"/>
          <w:color w:val="1E1E1E"/>
          <w:kern w:val="0"/>
          <w:sz w:val="24"/>
          <w:szCs w:val="24"/>
        </w:rPr>
      </w:pPr>
      <w:r>
        <w:rPr>
          <w:rFonts w:hint="eastAsia" w:ascii="仿宋" w:hAnsi="仿宋" w:eastAsia="仿宋" w:cs="Times New Roman"/>
          <w:color w:val="1E1E1E"/>
          <w:kern w:val="0"/>
          <w:sz w:val="32"/>
          <w:szCs w:val="32"/>
        </w:rPr>
        <w:t>3.建立了单位整体支出管理方面的内控制度，并不断进行完善和修订。财务管理制度、票据管理办法 、财务会审制度、固定资产管理制度等办法，对招待费、租赁车辆等支出进行了有效管控。</w:t>
      </w:r>
    </w:p>
    <w:p>
      <w:pPr>
        <w:spacing w:line="600" w:lineRule="atLeast"/>
        <w:ind w:left="141"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4、严格控制执行，特别是三公经费的预算控制。加强对租赁车辆的管理，严格招待费用审核审批程度，“三公”经费较好地控制在预算范围之内。</w:t>
      </w:r>
    </w:p>
    <w:p>
      <w:pPr>
        <w:spacing w:line="600" w:lineRule="atLeast"/>
        <w:ind w:left="143"/>
        <w:jc w:val="both"/>
        <w:rPr>
          <w:rFonts w:ascii="Calibri" w:hAnsi="Calibri" w:eastAsia="微软雅黑" w:cs="宋体"/>
          <w:color w:val="1E1E1E"/>
          <w:kern w:val="0"/>
        </w:rPr>
      </w:pPr>
      <w:r>
        <w:rPr>
          <w:rFonts w:hint="eastAsia" w:ascii="仿宋" w:hAnsi="仿宋" w:eastAsia="仿宋" w:cs="宋体"/>
          <w:color w:val="1E1E1E"/>
          <w:kern w:val="0"/>
          <w:sz w:val="32"/>
          <w:szCs w:val="32"/>
        </w:rPr>
        <w:t>（三）项目产出及实现的社会效益，部门履行职责对社会发展所带来的直接或间接影响。</w:t>
      </w:r>
    </w:p>
    <w:p>
      <w:pPr>
        <w:spacing w:line="600" w:lineRule="atLeast"/>
        <w:ind w:left="143"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2020年高考，新邵职中取得了优秀的成绩，一本上线12人，二本上线11人。超额实现了教育教学目标，获得了社会各界良好的声誉。</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（四）可持续性分析</w:t>
      </w:r>
    </w:p>
    <w:p>
      <w:pPr>
        <w:spacing w:line="600" w:lineRule="atLeast"/>
        <w:ind w:left="1"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在高考大捷后，我校不骄不躁，深入分析新高考政策，针对新高考，安排人员参加新教材培训、高考内容培训、高考政策解读培训。回校后专门成立高考研讨小组，根据新政策，安排教育教学计划和措施，安排教育教学资金保驾护航。为2021年的新高考打下良好的基础，为今后的教育教学工作提供科学依据。</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（五）社会公众满意度</w:t>
      </w:r>
    </w:p>
    <w:p>
      <w:pPr>
        <w:spacing w:line="600" w:lineRule="atLeast"/>
        <w:ind w:left="141"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2020年，在上级的正确领导下，认真贯彻落实党的精神和政府决策部署，勤奋工作，创先争优，圆满完成各项工作任务。群众满意度高。</w:t>
      </w:r>
    </w:p>
    <w:p>
      <w:pPr>
        <w:spacing w:line="60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（六）部门整体绩效得分</w:t>
      </w:r>
    </w:p>
    <w:p>
      <w:pPr>
        <w:spacing w:line="600" w:lineRule="atLeast"/>
        <w:ind w:left="143" w:firstLine="707"/>
        <w:jc w:val="both"/>
        <w:rPr>
          <w:rFonts w:ascii="Calibri" w:hAnsi="Calibri" w:eastAsia="微软雅黑" w:cs="宋体"/>
          <w:color w:val="1E1E1E"/>
          <w:kern w:val="0"/>
        </w:rPr>
      </w:pPr>
      <w:r>
        <w:rPr>
          <w:rFonts w:hint="eastAsia" w:ascii="仿宋" w:hAnsi="仿宋" w:eastAsia="仿宋" w:cs="宋体"/>
          <w:color w:val="1E1E1E"/>
          <w:kern w:val="0"/>
          <w:sz w:val="32"/>
          <w:szCs w:val="32"/>
        </w:rPr>
        <w:t>根据部门整体支出绩效评价指标体系，本单位2020年度评价得分为98.1分。</w:t>
      </w:r>
    </w:p>
    <w:p>
      <w:pPr>
        <w:spacing w:line="600" w:lineRule="atLeast"/>
        <w:jc w:val="both"/>
        <w:rPr>
          <w:rFonts w:ascii="Calibri" w:hAnsi="Calibri" w:eastAsia="微软雅黑" w:cs="宋体"/>
          <w:color w:val="1E1E1E"/>
          <w:kern w:val="0"/>
        </w:rPr>
      </w:pPr>
      <w:r>
        <w:rPr>
          <w:rFonts w:hint="eastAsia" w:ascii="宋体" w:hAnsi="宋体" w:eastAsia="宋体" w:cs="宋体"/>
          <w:b/>
          <w:bCs/>
          <w:color w:val="1E1E1E"/>
          <w:kern w:val="0"/>
          <w:sz w:val="32"/>
          <w:szCs w:val="32"/>
        </w:rPr>
        <w:t>五、</w:t>
      </w:r>
      <w:r>
        <w:rPr>
          <w:rFonts w:hint="eastAsia" w:ascii="仿宋" w:hAnsi="仿宋" w:eastAsia="仿宋" w:cs="宋体"/>
          <w:b/>
          <w:bCs/>
          <w:color w:val="1E1E1E"/>
          <w:kern w:val="0"/>
          <w:sz w:val="32"/>
          <w:szCs w:val="32"/>
        </w:rPr>
        <w:t>存在的主要问题</w:t>
      </w:r>
    </w:p>
    <w:p>
      <w:pPr>
        <w:spacing w:line="600" w:lineRule="atLeast"/>
        <w:ind w:left="480" w:hanging="480"/>
        <w:jc w:val="both"/>
        <w:rPr>
          <w:rFonts w:ascii="Calibri" w:hAnsi="Calibri" w:eastAsia="微软雅黑" w:cs="宋体"/>
          <w:color w:val="1E1E1E"/>
          <w:kern w:val="0"/>
        </w:rPr>
      </w:pPr>
      <w:r>
        <w:rPr>
          <w:rFonts w:ascii="Times New Roman" w:hAnsi="Times New Roman" w:eastAsia="微软雅黑" w:cs="Times New Roman"/>
          <w:color w:val="1E1E1E"/>
          <w:kern w:val="0"/>
          <w:sz w:val="32"/>
          <w:szCs w:val="32"/>
        </w:rPr>
        <w:t>1、</w:t>
      </w:r>
      <w:r>
        <w:rPr>
          <w:rFonts w:hint="eastAsia" w:ascii="仿宋" w:hAnsi="仿宋" w:eastAsia="仿宋" w:cs="宋体"/>
          <w:color w:val="1E1E1E"/>
          <w:kern w:val="0"/>
          <w:sz w:val="32"/>
          <w:szCs w:val="32"/>
        </w:rPr>
        <w:t>预算与项目时间上不协调</w:t>
      </w:r>
    </w:p>
    <w:p>
      <w:pPr>
        <w:spacing w:line="600" w:lineRule="atLeast"/>
        <w:ind w:firstLine="839"/>
        <w:jc w:val="both"/>
        <w:rPr>
          <w:rFonts w:ascii="Calibri" w:hAnsi="Calibri" w:eastAsia="微软雅黑" w:cs="宋体"/>
          <w:color w:val="1E1E1E"/>
          <w:kern w:val="0"/>
        </w:rPr>
      </w:pPr>
      <w:r>
        <w:rPr>
          <w:rFonts w:hint="eastAsia" w:ascii="宋体" w:hAnsi="宋体" w:eastAsia="宋体" w:cs="宋体"/>
          <w:color w:val="1E1E1E"/>
          <w:kern w:val="0"/>
          <w:sz w:val="30"/>
          <w:szCs w:val="30"/>
        </w:rPr>
        <w:t>新邵县工业职业中等专业学校部分项目在年初时没有进行编报，在年中时才进行追加。在经费支出预算编制中，很多项目没有进行深入研究，缺乏科学的分析和预测，所以预算数据与实际需求相差较大，预决算脱节问题严重。</w:t>
      </w:r>
    </w:p>
    <w:p>
      <w:pPr>
        <w:spacing w:line="600" w:lineRule="atLeast"/>
        <w:ind w:left="480" w:hanging="480"/>
        <w:jc w:val="both"/>
        <w:rPr>
          <w:rFonts w:ascii="Calibri" w:hAnsi="Calibri" w:eastAsia="微软雅黑" w:cs="宋体"/>
          <w:color w:val="1E1E1E"/>
          <w:kern w:val="0"/>
        </w:rPr>
      </w:pPr>
      <w:r>
        <w:rPr>
          <w:rFonts w:ascii="Times New Roman" w:hAnsi="Times New Roman" w:eastAsia="微软雅黑" w:cs="Times New Roman"/>
          <w:color w:val="1E1E1E"/>
          <w:kern w:val="0"/>
          <w:sz w:val="32"/>
          <w:szCs w:val="32"/>
        </w:rPr>
        <w:t>2、</w:t>
      </w:r>
      <w:r>
        <w:rPr>
          <w:rFonts w:hint="eastAsia" w:ascii="仿宋" w:hAnsi="仿宋" w:eastAsia="仿宋" w:cs="宋体"/>
          <w:color w:val="1E1E1E"/>
          <w:kern w:val="0"/>
          <w:sz w:val="32"/>
          <w:szCs w:val="32"/>
        </w:rPr>
        <w:t>预算执行约束性不强</w:t>
      </w:r>
    </w:p>
    <w:p>
      <w:pPr>
        <w:spacing w:line="600" w:lineRule="atLeast"/>
        <w:jc w:val="both"/>
        <w:rPr>
          <w:rFonts w:ascii="Calibri" w:hAnsi="Calibri" w:eastAsia="微软雅黑" w:cs="宋体"/>
          <w:color w:val="1E1E1E"/>
          <w:kern w:val="0"/>
        </w:rPr>
      </w:pPr>
      <w:r>
        <w:rPr>
          <w:rFonts w:hint="eastAsia" w:ascii="仿宋" w:hAnsi="仿宋" w:eastAsia="仿宋" w:cs="宋体"/>
          <w:color w:val="1E1E1E"/>
          <w:kern w:val="0"/>
          <w:sz w:val="32"/>
          <w:szCs w:val="32"/>
        </w:rPr>
        <w:t>   </w:t>
      </w:r>
      <w:r>
        <w:rPr>
          <w:rFonts w:hint="eastAsia" w:ascii="宋体" w:hAnsi="宋体" w:eastAsia="宋体" w:cs="宋体"/>
          <w:color w:val="1E1E1E"/>
          <w:kern w:val="0"/>
          <w:sz w:val="32"/>
          <w:szCs w:val="32"/>
        </w:rPr>
        <w:t> </w:t>
      </w:r>
      <w:r>
        <w:rPr>
          <w:rFonts w:hint="eastAsia" w:ascii="宋体" w:hAnsi="宋体" w:eastAsia="宋体" w:cs="宋体"/>
          <w:color w:val="1E1E1E"/>
          <w:kern w:val="0"/>
          <w:sz w:val="30"/>
          <w:szCs w:val="30"/>
        </w:rPr>
        <w:t>一是预算安排的随意性带来预算执行方面的约束性不强，导致经费支出不能有效对应，资金使用不太规范；二是部分预算指标下达较晚，存在一定滞后性，当单位出现紧急用款时，就会挪用其他项目的资金，导致单位原有预算与实际用途之间出现分歧。</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六、改进意见及建议</w:t>
      </w:r>
    </w:p>
    <w:p>
      <w:pPr>
        <w:spacing w:line="600" w:lineRule="atLeast"/>
        <w:ind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一是加强政策学习，组织单位人员认真学习《预算法》等相关法规、制度，提高单位领导对全面预算管理的重视程度，增强财务人员的预算意识，科学编制部门预算。</w:t>
      </w:r>
    </w:p>
    <w:p>
      <w:pPr>
        <w:spacing w:line="600" w:lineRule="atLeast"/>
        <w:ind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二是细化预算指标，提高预算科学性，预算编制前根据年度内单位可预见的工作任务，确定单位年度预算目标，细化预算指标，科学合理编制部门预算，推进预算编制科学化、准确化。</w:t>
      </w:r>
    </w:p>
    <w:p>
      <w:pPr>
        <w:spacing w:line="600" w:lineRule="atLeast"/>
        <w:ind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三是年度预算编制后，根据实际情况，定期做好预算执行分析，掌握预算执行进度，及时找出预算实际执行情况与预算目标之间存在的差距，纠正偏差，为科学、准确地编制部门预算积累经验。</w:t>
      </w:r>
    </w:p>
    <w:p>
      <w:pPr>
        <w:spacing w:line="600" w:lineRule="atLeast"/>
        <w:ind w:firstLine="640"/>
        <w:jc w:val="both"/>
        <w:rPr>
          <w:rFonts w:ascii="Calibri" w:hAnsi="Calibri" w:eastAsia="微软雅黑" w:cs="宋体"/>
          <w:color w:val="1E1E1E"/>
          <w:kern w:val="0"/>
        </w:rPr>
      </w:pPr>
      <w:r>
        <w:rPr>
          <w:rFonts w:hint="eastAsia" w:ascii="仿宋" w:hAnsi="仿宋" w:eastAsia="仿宋" w:cs="宋体"/>
          <w:color w:val="1E1E1E"/>
          <w:kern w:val="0"/>
          <w:sz w:val="32"/>
          <w:szCs w:val="32"/>
        </w:rPr>
        <w:t>四是加强财政预算执行的监督。应建立财政预算资金使用的跟踪回访、责任追究制度，完善预算项目的调整变更、追加、取消的审批规范制度，用规范、机制和制度全方位、全过程检查监督预算资金的运行，确保预算资金的有效使用，预防避免发生违法违纪行为，严惩预算执行中出现的违法违规问题。</w:t>
      </w:r>
    </w:p>
    <w:p>
      <w:pPr>
        <w:spacing w:line="600" w:lineRule="atLeast"/>
        <w:ind w:left="482" w:hanging="482"/>
        <w:jc w:val="both"/>
        <w:rPr>
          <w:rFonts w:ascii="Calibri" w:hAnsi="Calibri" w:eastAsia="微软雅黑" w:cs="宋体"/>
          <w:color w:val="1E1E1E"/>
          <w:kern w:val="0"/>
        </w:rPr>
      </w:pPr>
      <w:r>
        <w:rPr>
          <w:rFonts w:hint="eastAsia" w:ascii="仿宋" w:hAnsi="仿宋" w:eastAsia="仿宋" w:cs="宋体"/>
          <w:b/>
          <w:bCs/>
          <w:color w:val="1E1E1E"/>
          <w:kern w:val="0"/>
          <w:sz w:val="32"/>
          <w:szCs w:val="32"/>
        </w:rPr>
        <w:t> </w:t>
      </w:r>
    </w:p>
    <w:p>
      <w:pPr>
        <w:spacing w:line="600" w:lineRule="atLeast"/>
        <w:ind w:firstLine="640"/>
        <w:jc w:val="center"/>
        <w:rPr>
          <w:rFonts w:ascii="Calibri" w:hAnsi="Calibri" w:eastAsia="微软雅黑" w:cs="宋体"/>
          <w:color w:val="1E1E1E"/>
          <w:kern w:val="0"/>
        </w:rPr>
      </w:pPr>
      <w:r>
        <w:rPr>
          <w:rFonts w:hint="eastAsia" w:ascii="仿宋" w:hAnsi="仿宋" w:eastAsia="仿宋" w:cs="宋体"/>
          <w:b/>
          <w:bCs/>
          <w:color w:val="1E1E1E"/>
          <w:kern w:val="0"/>
          <w:sz w:val="32"/>
          <w:szCs w:val="32"/>
        </w:rPr>
        <w:t> </w:t>
      </w:r>
    </w:p>
    <w:p>
      <w:pPr>
        <w:spacing w:line="600" w:lineRule="atLeast"/>
        <w:ind w:firstLine="640"/>
        <w:jc w:val="center"/>
        <w:rPr>
          <w:rFonts w:ascii="Calibri" w:hAnsi="Calibri" w:eastAsia="微软雅黑" w:cs="宋体"/>
          <w:b/>
          <w:bCs/>
          <w:color w:val="1E1E1E"/>
          <w:kern w:val="0"/>
        </w:rPr>
      </w:pPr>
      <w:r>
        <w:rPr>
          <w:rFonts w:hint="eastAsia" w:ascii="黑体" w:hAnsi="黑体" w:eastAsia="黑体" w:cs="宋体"/>
          <w:b/>
          <w:bCs/>
          <w:color w:val="1E1E1E"/>
          <w:kern w:val="0"/>
          <w:sz w:val="32"/>
          <w:szCs w:val="32"/>
        </w:rPr>
        <w:br w:type="textWrapping"/>
      </w:r>
    </w:p>
    <w:p>
      <w:pPr>
        <w:spacing w:line="600" w:lineRule="atLeast"/>
        <w:ind w:left="477"/>
        <w:jc w:val="both"/>
        <w:rPr>
          <w:rFonts w:ascii="Calibri" w:hAnsi="Calibri" w:eastAsia="微软雅黑" w:cs="宋体"/>
          <w:b/>
          <w:bCs/>
          <w:color w:val="1E1E1E"/>
          <w:kern w:val="0"/>
        </w:rPr>
      </w:pPr>
      <w:r>
        <w:rPr>
          <w:rFonts w:hint="eastAsia" w:ascii="黑体" w:hAnsi="黑体" w:eastAsia="黑体" w:cs="宋体"/>
          <w:b/>
          <w:bCs/>
          <w:color w:val="1E1E1E"/>
          <w:kern w:val="0"/>
          <w:sz w:val="32"/>
          <w:szCs w:val="32"/>
        </w:rPr>
        <w:br w:type="textWrapping"/>
      </w:r>
    </w:p>
    <w:p>
      <w:pPr>
        <w:spacing w:line="600" w:lineRule="atLeast"/>
        <w:ind w:left="510" w:hanging="292"/>
        <w:jc w:val="center"/>
        <w:rPr>
          <w:rFonts w:ascii="Calibri" w:hAnsi="Calibri" w:eastAsia="微软雅黑" w:cs="宋体"/>
          <w:b/>
          <w:bCs/>
          <w:color w:val="1E1E1E"/>
          <w:kern w:val="0"/>
        </w:rPr>
      </w:pPr>
      <w:r>
        <w:rPr>
          <w:rFonts w:ascii="Calibri" w:hAnsi="Calibri" w:eastAsia="微软雅黑" w:cs="宋体"/>
          <w:b/>
          <w:bCs/>
          <w:color w:val="1E1E1E"/>
          <w:kern w:val="0"/>
          <w:sz w:val="36"/>
          <w:szCs w:val="36"/>
        </w:rPr>
        <w:t>2020</w:t>
      </w:r>
      <w:r>
        <w:rPr>
          <w:rFonts w:hint="eastAsia" w:ascii="方正小标宋_GBK" w:hAnsi="Calibri" w:eastAsia="方正小标宋_GBK" w:cs="宋体"/>
          <w:b/>
          <w:bCs/>
          <w:color w:val="1E1E1E"/>
          <w:kern w:val="0"/>
          <w:sz w:val="36"/>
          <w:szCs w:val="36"/>
        </w:rPr>
        <w:t>年度部门整体支出</w:t>
      </w:r>
      <w:r>
        <w:rPr>
          <w:rFonts w:hint="eastAsia" w:ascii="方正小标宋_GBK" w:hAnsi="Calibri" w:eastAsia="方正小标宋_GBK" w:cs="宋体"/>
          <w:b/>
          <w:bCs/>
          <w:color w:val="1E1E1E"/>
          <w:spacing w:val="-8"/>
          <w:kern w:val="0"/>
          <w:sz w:val="36"/>
          <w:szCs w:val="36"/>
        </w:rPr>
        <w:t>绩效评价指标评分表</w:t>
      </w:r>
    </w:p>
    <w:p>
      <w:pPr>
        <w:spacing w:line="600" w:lineRule="atLeast"/>
        <w:ind w:left="432" w:hanging="214"/>
        <w:jc w:val="both"/>
        <w:rPr>
          <w:rFonts w:ascii="Calibri" w:hAnsi="Calibri" w:eastAsia="微软雅黑" w:cs="宋体"/>
          <w:b/>
          <w:bCs/>
          <w:color w:val="1E1E1E"/>
          <w:kern w:val="0"/>
        </w:rPr>
      </w:pPr>
      <w:r>
        <w:rPr>
          <w:rFonts w:hint="eastAsia" w:ascii="楷体" w:hAnsi="楷体" w:eastAsia="楷体" w:cs="宋体"/>
          <w:b/>
          <w:bCs/>
          <w:color w:val="1E1E1E"/>
          <w:spacing w:val="-8"/>
          <w:kern w:val="0"/>
          <w:sz w:val="28"/>
          <w:szCs w:val="28"/>
        </w:rPr>
        <w:t>填报单位（盖章）：湖南省新邵县工业职业中等专业学校</w:t>
      </w:r>
    </w:p>
    <w:tbl>
      <w:tblPr>
        <w:tblStyle w:val="6"/>
        <w:tblW w:w="14280" w:type="dxa"/>
        <w:jc w:val="center"/>
        <w:tblLayout w:type="autofit"/>
        <w:tblCellMar>
          <w:top w:w="0" w:type="dxa"/>
          <w:left w:w="0" w:type="dxa"/>
          <w:bottom w:w="0" w:type="dxa"/>
          <w:right w:w="0" w:type="dxa"/>
        </w:tblCellMar>
      </w:tblPr>
      <w:tblGrid>
        <w:gridCol w:w="723"/>
        <w:gridCol w:w="828"/>
        <w:gridCol w:w="958"/>
        <w:gridCol w:w="5258"/>
        <w:gridCol w:w="5747"/>
        <w:gridCol w:w="766"/>
      </w:tblGrid>
      <w:tr>
        <w:tblPrEx>
          <w:tblCellMar>
            <w:top w:w="0" w:type="dxa"/>
            <w:left w:w="0" w:type="dxa"/>
            <w:bottom w:w="0" w:type="dxa"/>
            <w:right w:w="0" w:type="dxa"/>
          </w:tblCellMar>
        </w:tblPrEx>
        <w:trPr>
          <w:trHeight w:val="644" w:hRule="atLeast"/>
          <w:tblHeader/>
          <w:jc w:val="center"/>
        </w:trPr>
        <w:tc>
          <w:tcPr>
            <w:tcW w:w="690" w:type="dxa"/>
            <w:tcBorders>
              <w:top w:val="single" w:color="auto" w:sz="8" w:space="0"/>
              <w:left w:val="single" w:color="auto" w:sz="8" w:space="0"/>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一级</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指标</w:t>
            </w:r>
          </w:p>
        </w:tc>
        <w:tc>
          <w:tcPr>
            <w:tcW w:w="704" w:type="dxa"/>
            <w:tcBorders>
              <w:top w:val="single" w:color="auto" w:sz="8" w:space="0"/>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二级指标</w:t>
            </w:r>
          </w:p>
        </w:tc>
        <w:tc>
          <w:tcPr>
            <w:tcW w:w="960" w:type="dxa"/>
            <w:tcBorders>
              <w:top w:val="single" w:color="auto" w:sz="8" w:space="0"/>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三级指标</w:t>
            </w:r>
          </w:p>
        </w:tc>
        <w:tc>
          <w:tcPr>
            <w:tcW w:w="5340" w:type="dxa"/>
            <w:tcBorders>
              <w:top w:val="single" w:color="auto" w:sz="8" w:space="0"/>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指标解释</w:t>
            </w:r>
          </w:p>
        </w:tc>
        <w:tc>
          <w:tcPr>
            <w:tcW w:w="5825" w:type="dxa"/>
            <w:tcBorders>
              <w:top w:val="single" w:color="auto" w:sz="8" w:space="0"/>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指标说明</w:t>
            </w:r>
          </w:p>
        </w:tc>
        <w:tc>
          <w:tcPr>
            <w:tcW w:w="768" w:type="dxa"/>
            <w:tcBorders>
              <w:top w:val="single" w:color="auto" w:sz="8" w:space="0"/>
              <w:left w:val="nil"/>
              <w:bottom w:val="single" w:color="auto" w:sz="8" w:space="0"/>
              <w:right w:val="single" w:color="auto" w:sz="8" w:space="0"/>
            </w:tcBorders>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自评分</w:t>
            </w:r>
          </w:p>
        </w:tc>
      </w:tr>
      <w:tr>
        <w:tblPrEx>
          <w:tblCellMar>
            <w:top w:w="0" w:type="dxa"/>
            <w:left w:w="0" w:type="dxa"/>
            <w:bottom w:w="0" w:type="dxa"/>
            <w:right w:w="0" w:type="dxa"/>
          </w:tblCellMar>
        </w:tblPrEx>
        <w:trPr>
          <w:trHeight w:val="1006" w:hRule="atLeast"/>
          <w:jc w:val="center"/>
        </w:trPr>
        <w:tc>
          <w:tcPr>
            <w:tcW w:w="690" w:type="dxa"/>
            <w:vMerge w:val="restart"/>
            <w:tcBorders>
              <w:top w:val="nil"/>
              <w:left w:val="single" w:color="auto" w:sz="8" w:space="0"/>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投入(20分)</w:t>
            </w: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目标</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设定</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（5分）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绩效目标合理性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部门所设立的整体绩效目标依据是否充分，是否符合客观实际，用以反映和考核部门整体绩效目标与部门履职、年度工作任务的相符性情况。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①符合国家法律法规、国民经济和社会发展总体规划计1分；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②符合部门“三定”方案确定的职责计0.5分；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③是否符合部门制定的中长期实施规划计0.5分。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r>
      <w:tr>
        <w:tblPrEx>
          <w:tblCellMar>
            <w:top w:w="0" w:type="dxa"/>
            <w:left w:w="0" w:type="dxa"/>
            <w:bottom w:w="0" w:type="dxa"/>
            <w:right w:w="0" w:type="dxa"/>
          </w:tblCellMar>
        </w:tblPrEx>
        <w:trPr>
          <w:trHeight w:val="109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绩效指标明确性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（3分）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部门依据整体绩效目标所设定的绩效指标是否清晰、细化、可衡量，用以反映和考核部门整体绩效目标的明细化情况。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①将部门整体的绩效目标细化分解为具体的工作任务计1分；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②通过清晰、可衡量的指标值予以体现计0.5分；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③与部门年度的任务数或计划数相对应计0.5分；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④与本年度部门预算资金相匹配计1分。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r>
      <w:tr>
        <w:tblPrEx>
          <w:tblCellMar>
            <w:top w:w="0" w:type="dxa"/>
            <w:left w:w="0" w:type="dxa"/>
            <w:bottom w:w="0" w:type="dxa"/>
            <w:right w:w="0" w:type="dxa"/>
          </w:tblCellMar>
        </w:tblPrEx>
        <w:trPr>
          <w:trHeight w:val="12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预算</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配置（15分）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在职人员控制率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部门本年度实际在职人员数与编制数的比率，用以反映和考核部门对人员成本的控制程度。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在职人员控制率=（在职人员数/编制数）×100%小于或等于1计5分，否则按比例计分。在职人员数：部门实际在职人数，以财政部确定的部门决算编制口径为准。编制数：机构编制部门核定批复的部门的人员编制数。</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123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“三公经费”变动率（5分）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部门本年度“三公经费”预算数与上年度“三公经费”预算数的变动比率，用以反映和考核部门对控制重点行政成本的努力程度。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三公经费”变动率=[（本年度“三公经费”总额-上年度“三公经费”总额）/上年度“三公经费”总额]×100%。下降的计5分，增加的按比例扣减。“三公经费”：年度预算安排的因公出国（境）费、公务车辆购置及运行费和公务招待费。</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r>
      <w:tr>
        <w:tblPrEx>
          <w:tblCellMar>
            <w:top w:w="0" w:type="dxa"/>
            <w:left w:w="0" w:type="dxa"/>
            <w:bottom w:w="0" w:type="dxa"/>
            <w:right w:w="0" w:type="dxa"/>
          </w:tblCellMar>
        </w:tblPrEx>
        <w:trPr>
          <w:trHeight w:val="1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重点支出安排率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部门本年度预算安排的重点项目支出与部门项目总支出的比率，用以反映和考核部门对履行主要职责或完成重点任务的保障程度。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976" w:hRule="atLeast"/>
          <w:jc w:val="center"/>
        </w:trPr>
        <w:tc>
          <w:tcPr>
            <w:tcW w:w="690" w:type="dxa"/>
            <w:vMerge w:val="restart"/>
            <w:tcBorders>
              <w:top w:val="nil"/>
              <w:left w:val="single" w:color="auto" w:sz="8" w:space="0"/>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过程</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(40分)</w:t>
            </w: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预算</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执行</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(23分)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预算</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完成率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（4分）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部门本年度预算完成数与预算数的比率，用以反映和考核部门预算完成程度。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预算完成率=（预算完成数/预算数）×100%。完成年初预算计4分，未完成年初预算按比例扣减，预算完成数：部门本年度实际完成的预算数。预算数：财政部门批复的本年度部门预算数。</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CellMar>
            <w:top w:w="0" w:type="dxa"/>
            <w:left w:w="0" w:type="dxa"/>
            <w:bottom w:w="0" w:type="dxa"/>
            <w:right w:w="0" w:type="dxa"/>
          </w:tblCellMar>
        </w:tblPrEx>
        <w:trPr>
          <w:trHeight w:val="150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预算</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调整率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部门本年度预算调整数与预算数的比率，用以反映和考核部门预算的调整程度。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CellMar>
            <w:top w:w="0" w:type="dxa"/>
            <w:left w:w="0" w:type="dxa"/>
            <w:bottom w:w="0" w:type="dxa"/>
            <w:right w:w="0" w:type="dxa"/>
          </w:tblCellMar>
        </w:tblPrEx>
        <w:trPr>
          <w:trHeight w:val="177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支付</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进度率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部门实际支付进度与既定支付进度的比率，用以反映和考核部门预算执行的及时性和均衡性程度。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CellMar>
            <w:top w:w="0" w:type="dxa"/>
            <w:left w:w="0" w:type="dxa"/>
            <w:bottom w:w="0" w:type="dxa"/>
            <w:right w:w="0" w:type="dxa"/>
          </w:tblCellMar>
        </w:tblPrEx>
        <w:trPr>
          <w:trHeight w:val="12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结转结余控制率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（4分）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部门本年度结转结余总额与上年结转结余总额增减比例，用以反映和考核部门对存量资金的实际控制程度。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结转结余控制率=（本年结转结余总额-上年结转结余总额）/上年结转结余总额×100%。低于15%的计4分，每超过5个百分点扣1分，扣完为止。结转结余总额：部门本年度的结转资金与结余资金之和（以决算数为准）。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CellMar>
            <w:top w:w="0" w:type="dxa"/>
            <w:left w:w="0" w:type="dxa"/>
            <w:bottom w:w="0" w:type="dxa"/>
            <w:right w:w="0" w:type="dxa"/>
          </w:tblCellMar>
        </w:tblPrEx>
        <w:trPr>
          <w:trHeight w:val="93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公用经费</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控制率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（4分）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部门本年度实际支出的公用经费总额与预算安排的公用经费总额的比率，用以反映和考核部门对机构运转成本的实际控制程度。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公用经费控制率=（实际支出公用经费总额/预算安排公用经费总额）×100%。为100%的计4分，每超过1个百分点扣0.1分，扣完为止。</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r>
      <w:tr>
        <w:tblPrEx>
          <w:tblCellMar>
            <w:top w:w="0" w:type="dxa"/>
            <w:left w:w="0" w:type="dxa"/>
            <w:bottom w:w="0" w:type="dxa"/>
            <w:right w:w="0" w:type="dxa"/>
          </w:tblCellMar>
        </w:tblPrEx>
        <w:trPr>
          <w:trHeight w:val="87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“三公经费”控制率（3分）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部门本年度“三公经费”实际支出数与预算安排数的比率，用以反映和考核部门对“三公经费”的实际控制程度。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“三公经费”控制率=（“三公经费”实际支出数/“三公经费”预算安排数）×100%。为100%的计3分，每超过1个百分点扣0.5分，扣完为止。</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CellMar>
            <w:top w:w="0" w:type="dxa"/>
            <w:left w:w="0" w:type="dxa"/>
            <w:bottom w:w="0" w:type="dxa"/>
            <w:right w:w="0" w:type="dxa"/>
          </w:tblCellMar>
        </w:tblPrEx>
        <w:trPr>
          <w:trHeight w:val="1283"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政府采购</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执行率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（4分）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部门本年度实际政府采购金额与年初政府采购预算的比率，用以反映和考核部门政府采购预算执行情况。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CellMar>
            <w:top w:w="0" w:type="dxa"/>
            <w:left w:w="0" w:type="dxa"/>
            <w:bottom w:w="0" w:type="dxa"/>
            <w:right w:w="0" w:type="dxa"/>
          </w:tblCellMar>
        </w:tblPrEx>
        <w:trPr>
          <w:trHeight w:val="95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预算</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管理</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(12分)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管理制度</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健全性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部门为加强预算管理、规范财务行为而制定的管理制度是否健全完整，用以反映和考核部门预算管理制度对完成主要职责或促进事业发展的保障情况。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已制定或具有预算资金管理办法、内部财务管理制度、会计核算制度等管理制度计1分；相关管理制度合法、合规、完整计0.5分；相关管理制度得到有效执行计0.5分。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CellMar>
            <w:top w:w="0" w:type="dxa"/>
            <w:left w:w="0" w:type="dxa"/>
            <w:bottom w:w="0" w:type="dxa"/>
            <w:right w:w="0" w:type="dxa"/>
          </w:tblCellMar>
        </w:tblPrEx>
        <w:trPr>
          <w:trHeight w:val="16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资金使用</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合规性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部门使用预算资金是否符合相关的预算财务管理制度的规定，用以反映和考核部门预算资金的规范运行情况。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①符合国家财经法规和财务管理制度规定以及有关专项资金管理办法的规定计1分；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②资金的拨付有完整的审批程序和手续计1分；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③项目的重大开支经过评估论证计1分；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④符合部门预算批复的用途计1分；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⑤不存在截留、挤占、挪用、虚列支出等情况计1分。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125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预决算信</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息公开性（2分）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部门是否按照政府信息公开有关规定公开相关预决算信息，用以反映和考核部门预决算管理的公开透明情况。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①按规定内容公开预决算信息计1分；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②按规定时限公开预决算信息计1分。预决算信息是指与部门预算、执行、决算、监督、绩效等管理相关的信息。</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CellMar>
            <w:top w:w="0" w:type="dxa"/>
            <w:left w:w="0" w:type="dxa"/>
            <w:bottom w:w="0" w:type="dxa"/>
            <w:right w:w="0" w:type="dxa"/>
          </w:tblCellMar>
        </w:tblPrEx>
        <w:trPr>
          <w:trHeight w:val="93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基础信息</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完善性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（3分）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部门基础信息是否完善，用以反映和考核基础信息对预算管理工作的支撑情况。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①基础数据信息和会计信息资料真实计1分；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②基础数据信息和会计信息资料完整计1分；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③基础数据信息和会计信息资料准确计1分。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tblPrEx>
          <w:tblCellMar>
            <w:top w:w="0" w:type="dxa"/>
            <w:left w:w="0" w:type="dxa"/>
            <w:bottom w:w="0" w:type="dxa"/>
            <w:right w:w="0" w:type="dxa"/>
          </w:tblCellMar>
        </w:tblPrEx>
        <w:trPr>
          <w:trHeight w:val="9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资产</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管理</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（5分）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管理制度</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健全性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部门为加强资产管理、规范资产管理行为而制定的管理制度是否健全完整，用以反映和考核部门资产管理制度对完成主要职责或促进社会发展的保障情况。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①制定或具有资产管理制度计1分；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②相关资金管理制度合法、合规、完整计0.5分；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③相关资产管理制度得到有效执行计0.5分。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15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资产管理</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安全性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部门的资产是否保存完整、使用合规、配置合理、处置规范、收入及时足额上缴，用以反映和考核部门资产安全运行情况。</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①资产保存完整计0.4分；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②资产配置合理计0.4分；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③资产处置规范计0.4分；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④资产账务管理合规、</w:t>
            </w:r>
            <w:r>
              <w:rPr>
                <w:rFonts w:hint="eastAsia" w:ascii="宋体" w:hAnsi="宋体" w:eastAsia="宋体" w:cs="Times New Roman"/>
                <w:color w:val="000000"/>
                <w:kern w:val="0"/>
                <w:lang w:val="en-US" w:eastAsia="zh-CN"/>
              </w:rPr>
              <w:t>账</w:t>
            </w:r>
            <w:bookmarkStart w:id="0" w:name="_GoBack"/>
            <w:bookmarkEnd w:id="0"/>
            <w:r>
              <w:rPr>
                <w:rFonts w:hint="eastAsia" w:ascii="宋体" w:hAnsi="宋体" w:eastAsia="宋体" w:cs="Times New Roman"/>
                <w:color w:val="000000"/>
                <w:kern w:val="0"/>
              </w:rPr>
              <w:t>实相符计0.4分；</w:t>
            </w:r>
          </w:p>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⑤资产有偿使用及处置收入及时足额上缴计0.4分。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tblPrEx>
          <w:tblCellMar>
            <w:top w:w="0" w:type="dxa"/>
            <w:left w:w="0" w:type="dxa"/>
            <w:bottom w:w="0" w:type="dxa"/>
            <w:right w:w="0" w:type="dxa"/>
          </w:tblCellMar>
        </w:tblPrEx>
        <w:trPr>
          <w:trHeight w:val="105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固定资产</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利用率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（1分）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部门实际在用固定资产总额与所有固定资产总额的比率，用以反映和考核部门固定资产使用效率程度。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固定资产利用率=（实际在用固定资产总额/所有固定资产总额）×100%。利用率为100%的计1分，每降1个百分点扣0.1分，扣完为止。</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r>
      <w:tr>
        <w:tblPrEx>
          <w:tblCellMar>
            <w:top w:w="0" w:type="dxa"/>
            <w:left w:w="0" w:type="dxa"/>
            <w:bottom w:w="0" w:type="dxa"/>
            <w:right w:w="0" w:type="dxa"/>
          </w:tblCellMar>
        </w:tblPrEx>
        <w:trPr>
          <w:trHeight w:val="894" w:hRule="atLeast"/>
          <w:jc w:val="center"/>
        </w:trPr>
        <w:tc>
          <w:tcPr>
            <w:tcW w:w="690" w:type="dxa"/>
            <w:vMerge w:val="restart"/>
            <w:tcBorders>
              <w:top w:val="nil"/>
              <w:left w:val="single" w:color="auto" w:sz="8" w:space="0"/>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产出</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(20分)</w:t>
            </w: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职责</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履行</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实际完成率（5分）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部门履行职责而实际完成工作数与计划工作数的比率，用以反映和考核部门履职工作任务目标的实现程度。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实际完成率得分=完成县委县政府绩效考核得分或上级主管部门考核指标得分/指标分值*5分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r>
      <w:tr>
        <w:tblPrEx>
          <w:tblCellMar>
            <w:top w:w="0" w:type="dxa"/>
            <w:left w:w="0" w:type="dxa"/>
            <w:bottom w:w="0" w:type="dxa"/>
            <w:right w:w="0" w:type="dxa"/>
          </w:tblCellMar>
        </w:tblPrEx>
        <w:trPr>
          <w:trHeight w:val="86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完成及时率（4分）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部门在规定时限内及时完成的实际工作数与计划工作数的比率,用以反映和考核部门履职时效目标的实现程度。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完成及时率=（及时完成实际工作数/计划工作数）×100%。1-4季度各得1分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CellMar>
            <w:top w:w="0" w:type="dxa"/>
            <w:left w:w="0" w:type="dxa"/>
            <w:bottom w:w="0" w:type="dxa"/>
            <w:right w:w="0" w:type="dxa"/>
          </w:tblCellMar>
        </w:tblPrEx>
        <w:trPr>
          <w:trHeight w:val="8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质量达标率（5分）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达到质量标准（绩效标准值）的实际工作数与计划工作数的比率,用以反映和考核部门履职质量目标的实现程度。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质量达标率=（质量达标实际工作数/计划工作数）×100%。实际得分=达标率*5分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105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重点工作</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办结率</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（6分）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部门年度重点工作实际完成数与交办或下达数的比率，用以反映部门对重点工作的办理落实程度。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重点工作办结率=（重点工作实际完成数/交办或下达数）×100%。实际得分=办结率*6分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r>
      <w:tr>
        <w:tblPrEx>
          <w:tblCellMar>
            <w:top w:w="0" w:type="dxa"/>
            <w:left w:w="0" w:type="dxa"/>
            <w:bottom w:w="0" w:type="dxa"/>
            <w:right w:w="0" w:type="dxa"/>
          </w:tblCellMar>
        </w:tblPrEx>
        <w:trPr>
          <w:trHeight w:val="644" w:hRule="atLeast"/>
          <w:jc w:val="center"/>
        </w:trPr>
        <w:tc>
          <w:tcPr>
            <w:tcW w:w="690" w:type="dxa"/>
            <w:vMerge w:val="restart"/>
            <w:tcBorders>
              <w:top w:val="nil"/>
              <w:left w:val="single" w:color="auto" w:sz="8" w:space="0"/>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效果</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(20分)</w:t>
            </w:r>
          </w:p>
        </w:tc>
        <w:tc>
          <w:tcPr>
            <w:tcW w:w="704" w:type="dxa"/>
            <w:vMerge w:val="restart"/>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履职</w:t>
            </w:r>
            <w:r>
              <w:rPr>
                <w:rFonts w:hint="eastAsia" w:ascii="宋体" w:hAnsi="宋体" w:eastAsia="宋体" w:cs="Times New Roman"/>
                <w:color w:val="000000"/>
                <w:kern w:val="0"/>
              </w:rPr>
              <w:br w:type="textWrapping"/>
            </w:r>
            <w:r>
              <w:rPr>
                <w:rFonts w:hint="eastAsia" w:ascii="宋体" w:hAnsi="宋体" w:eastAsia="宋体" w:cs="Times New Roman"/>
                <w:color w:val="000000"/>
                <w:kern w:val="0"/>
              </w:rPr>
              <w:t>效益(20分)</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经济效益（5分）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部门履行职责对经济发展所带来的直接或间接影响。</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按经济效益实现程度计算得分（5分）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6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社会效益（5分）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部门履行职责对社会发展所带来的直接或间接影响。</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Calibri" w:hAnsi="Calibri" w:eastAsia="宋体" w:cs="宋体"/>
                <w:kern w:val="0"/>
              </w:rPr>
            </w:pPr>
            <w:r>
              <w:rPr>
                <w:rFonts w:hint="eastAsia" w:ascii="宋体" w:hAnsi="宋体" w:eastAsia="宋体" w:cs="宋体"/>
                <w:color w:val="000000"/>
                <w:kern w:val="0"/>
              </w:rPr>
              <w:t>按社会效益实现程度计算得分（5分）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6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Calibri" w:hAnsi="Calibri" w:eastAsia="宋体" w:cs="宋体"/>
                <w:kern w:val="0"/>
              </w:rPr>
            </w:pPr>
            <w:r>
              <w:rPr>
                <w:rFonts w:hint="eastAsia" w:ascii="宋体" w:hAnsi="宋体" w:eastAsia="宋体" w:cs="宋体"/>
                <w:color w:val="000000"/>
                <w:kern w:val="0"/>
              </w:rPr>
              <w:t>生态效益</w:t>
            </w:r>
          </w:p>
          <w:p>
            <w:pPr>
              <w:spacing w:line="600" w:lineRule="atLeast"/>
              <w:ind w:left="388" w:hanging="170"/>
              <w:jc w:val="center"/>
              <w:rPr>
                <w:rFonts w:ascii="Calibri" w:hAnsi="Calibri" w:eastAsia="宋体" w:cs="宋体"/>
                <w:kern w:val="0"/>
              </w:rPr>
            </w:pPr>
            <w:r>
              <w:rPr>
                <w:rFonts w:hint="eastAsia" w:ascii="宋体" w:hAnsi="宋体" w:eastAsia="宋体" w:cs="宋体"/>
                <w:color w:val="000000"/>
                <w:kern w:val="0"/>
              </w:rPr>
              <w:t>（5分）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部门履行职责对生态环境所带来的直接或间接影响。</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对生态环境影响较好的计5分；一般3分；效果不明显0分。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125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rPr>
                <w:rFonts w:ascii="Times New Roman" w:hAnsi="Times New Roman" w:eastAsia="宋体" w:cs="Times New Roman"/>
                <w:kern w:val="0"/>
                <w:sz w:val="24"/>
                <w:szCs w:val="24"/>
              </w:rPr>
            </w:pP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社会公众</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或服务对</w:t>
            </w:r>
          </w:p>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象满意度（5分）</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社会公众或部门的服务对象对部门履职效果的满意程度。</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64" w:hanging="146"/>
              <w:jc w:val="both"/>
              <w:rPr>
                <w:rFonts w:ascii="Times New Roman" w:hAnsi="Times New Roman" w:eastAsia="宋体" w:cs="Times New Roman"/>
                <w:kern w:val="0"/>
                <w:sz w:val="24"/>
                <w:szCs w:val="24"/>
              </w:rPr>
            </w:pPr>
            <w:r>
              <w:rPr>
                <w:rFonts w:hint="eastAsia" w:ascii="宋体" w:hAnsi="宋体" w:eastAsia="宋体" w:cs="Times New Roman"/>
                <w:kern w:val="0"/>
                <w:sz w:val="18"/>
                <w:szCs w:val="18"/>
              </w:rPr>
              <w:t>90%</w:t>
            </w:r>
            <w:r>
              <w:rPr>
                <w:rFonts w:hint="eastAsia" w:ascii="宋体" w:hAnsi="宋体" w:eastAsia="宋体" w:cs="Times New Roman"/>
                <w:color w:val="000000"/>
                <w:kern w:val="0"/>
              </w:rPr>
              <w:t>（含）以上计5分；80%（含）-90%，计4分；70%（含）-80%，计3分；60%（含）-70%，计2分；低于60%计0分。</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CellMar>
            <w:top w:w="0" w:type="dxa"/>
            <w:left w:w="0" w:type="dxa"/>
            <w:bottom w:w="0" w:type="dxa"/>
            <w:right w:w="0" w:type="dxa"/>
          </w:tblCellMar>
        </w:tblPrEx>
        <w:trPr>
          <w:trHeight w:val="608" w:hRule="atLeast"/>
          <w:jc w:val="center"/>
        </w:trPr>
        <w:tc>
          <w:tcPr>
            <w:tcW w:w="690" w:type="dxa"/>
            <w:tcBorders>
              <w:top w:val="nil"/>
              <w:left w:val="single" w:color="auto" w:sz="8" w:space="0"/>
              <w:bottom w:val="nil"/>
              <w:right w:val="single" w:color="auto" w:sz="8" w:space="0"/>
            </w:tcBorders>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总分</w:t>
            </w:r>
          </w:p>
        </w:tc>
        <w:tc>
          <w:tcPr>
            <w:tcW w:w="704" w:type="dxa"/>
            <w:tcBorders>
              <w:top w:val="nil"/>
              <w:left w:val="nil"/>
              <w:bottom w:val="nil"/>
              <w:right w:val="single" w:color="auto" w:sz="8" w:space="0"/>
            </w:tcBorders>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100</w:t>
            </w:r>
          </w:p>
        </w:tc>
        <w:tc>
          <w:tcPr>
            <w:tcW w:w="960" w:type="dxa"/>
            <w:tcBorders>
              <w:top w:val="nil"/>
              <w:left w:val="nil"/>
              <w:bottom w:val="nil"/>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100　</w:t>
            </w:r>
          </w:p>
        </w:tc>
        <w:tc>
          <w:tcPr>
            <w:tcW w:w="5340" w:type="dxa"/>
            <w:tcBorders>
              <w:top w:val="nil"/>
              <w:left w:val="nil"/>
              <w:bottom w:val="nil"/>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5825" w:type="dxa"/>
            <w:tcBorders>
              <w:top w:val="nil"/>
              <w:left w:val="nil"/>
              <w:bottom w:val="nil"/>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768" w:type="dxa"/>
            <w:tcBorders>
              <w:top w:val="nil"/>
              <w:left w:val="nil"/>
              <w:bottom w:val="nil"/>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98.1</w:t>
            </w:r>
          </w:p>
        </w:tc>
      </w:tr>
      <w:tr>
        <w:tblPrEx>
          <w:tblCellMar>
            <w:top w:w="0" w:type="dxa"/>
            <w:left w:w="0" w:type="dxa"/>
            <w:bottom w:w="0" w:type="dxa"/>
            <w:right w:w="0" w:type="dxa"/>
          </w:tblCellMar>
        </w:tblPrEx>
        <w:trPr>
          <w:trHeight w:val="608" w:hRule="atLeast"/>
          <w:jc w:val="center"/>
        </w:trPr>
        <w:tc>
          <w:tcPr>
            <w:tcW w:w="690" w:type="dxa"/>
            <w:tcBorders>
              <w:top w:val="nil"/>
              <w:left w:val="single" w:color="auto" w:sz="8" w:space="0"/>
              <w:bottom w:val="single" w:color="auto" w:sz="8" w:space="0"/>
              <w:right w:val="single" w:color="auto" w:sz="8" w:space="0"/>
            </w:tcBorders>
            <w:vAlign w:val="center"/>
          </w:tcPr>
          <w:p>
            <w:pPr>
              <w:spacing w:line="600" w:lineRule="atLeast"/>
              <w:ind w:left="388" w:hanging="170"/>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704" w:type="dxa"/>
            <w:tcBorders>
              <w:top w:val="nil"/>
              <w:left w:val="nil"/>
              <w:bottom w:val="single" w:color="auto" w:sz="8" w:space="0"/>
              <w:right w:val="single" w:color="auto" w:sz="8" w:space="0"/>
            </w:tcBorders>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96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center"/>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5340"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5825" w:type="dxa"/>
            <w:tcBorders>
              <w:top w:val="nil"/>
              <w:left w:val="nil"/>
              <w:bottom w:val="single" w:color="auto" w:sz="8" w:space="0"/>
              <w:right w:val="single" w:color="auto" w:sz="8" w:space="0"/>
            </w:tcBorders>
            <w:tcMar>
              <w:top w:w="10" w:type="dxa"/>
              <w:left w:w="10" w:type="dxa"/>
              <w:bottom w:w="0" w:type="dxa"/>
              <w:right w:w="10" w:type="dxa"/>
            </w:tcMar>
            <w:vAlign w:val="center"/>
          </w:tcPr>
          <w:p>
            <w:pPr>
              <w:spacing w:line="600" w:lineRule="atLeast"/>
              <w:ind w:left="388" w:hanging="170"/>
              <w:jc w:val="both"/>
              <w:rPr>
                <w:rFonts w:ascii="Times New Roman" w:hAnsi="Times New Roman" w:eastAsia="宋体" w:cs="Times New Roman"/>
                <w:kern w:val="0"/>
                <w:sz w:val="24"/>
                <w:szCs w:val="24"/>
              </w:rPr>
            </w:pPr>
            <w:r>
              <w:rPr>
                <w:rFonts w:hint="eastAsia" w:ascii="宋体" w:hAnsi="宋体" w:eastAsia="宋体" w:cs="Times New Roman"/>
                <w:color w:val="000000"/>
                <w:kern w:val="0"/>
              </w:rPr>
              <w:t> </w:t>
            </w:r>
          </w:p>
        </w:tc>
        <w:tc>
          <w:tcPr>
            <w:tcW w:w="768" w:type="dxa"/>
            <w:tcBorders>
              <w:top w:val="nil"/>
              <w:left w:val="nil"/>
              <w:bottom w:val="single" w:color="auto" w:sz="8" w:space="0"/>
              <w:right w:val="single" w:color="auto" w:sz="8" w:space="0"/>
            </w:tcBorders>
            <w:vAlign w:val="center"/>
          </w:tcPr>
          <w:p>
            <w:pPr>
              <w:spacing w:line="600" w:lineRule="atLeast"/>
              <w:ind w:left="412" w:hanging="194"/>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bl>
    <w:p>
      <w:pPr>
        <w:spacing w:line="600" w:lineRule="atLeast"/>
        <w:ind w:left="477" w:hanging="259"/>
        <w:jc w:val="both"/>
        <w:rPr>
          <w:rFonts w:ascii="Calibri" w:hAnsi="Calibri" w:eastAsia="微软雅黑" w:cs="宋体"/>
          <w:b/>
          <w:bCs/>
          <w:color w:val="1E1E1E"/>
          <w:kern w:val="0"/>
        </w:rPr>
      </w:pPr>
      <w:r>
        <w:rPr>
          <w:rFonts w:hint="eastAsia" w:ascii="仿宋" w:hAnsi="仿宋" w:eastAsia="仿宋" w:cs="宋体"/>
          <w:b/>
          <w:bCs/>
          <w:color w:val="1E1E1E"/>
          <w:kern w:val="0"/>
          <w:sz w:val="32"/>
          <w:szCs w:val="32"/>
        </w:rPr>
        <w:t> </w:t>
      </w:r>
    </w:p>
    <w:p>
      <w:pPr>
        <w:spacing w:line="320" w:lineRule="atLeast"/>
        <w:ind w:left="315" w:hanging="315"/>
        <w:jc w:val="both"/>
        <w:rPr>
          <w:rFonts w:ascii="Calibri" w:hAnsi="Calibri" w:eastAsia="微软雅黑" w:cs="宋体"/>
          <w:b/>
          <w:bCs/>
          <w:color w:val="1E1E1E"/>
          <w:kern w:val="0"/>
        </w:rPr>
      </w:pPr>
      <w:r>
        <w:rPr>
          <w:rFonts w:ascii="Calibri" w:hAnsi="Calibri" w:eastAsia="微软雅黑" w:cs="宋体"/>
          <w:b/>
          <w:bCs/>
          <w:color w:val="1E1E1E"/>
          <w:kern w:val="0"/>
        </w:rPr>
        <w:t> </w:t>
      </w:r>
    </w:p>
    <w:p>
      <w:pPr>
        <w:spacing w:line="600" w:lineRule="atLeast"/>
        <w:ind w:left="147" w:hanging="147"/>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p>
      <w:pPr>
        <w:spacing w:line="320" w:lineRule="atLeast"/>
        <w:ind w:left="480" w:hanging="480"/>
        <w:jc w:val="both"/>
        <w:rPr>
          <w:rFonts w:ascii="Calibri" w:hAnsi="Calibri" w:eastAsia="微软雅黑" w:cs="宋体"/>
          <w:color w:val="1E1E1E"/>
          <w:kern w:val="0"/>
        </w:rPr>
      </w:pPr>
      <w:r>
        <w:rPr>
          <w:rFonts w:hint="eastAsia" w:ascii="仿宋" w:hAnsi="仿宋" w:eastAsia="仿宋" w:cs="宋体"/>
          <w:color w:val="1E1E1E"/>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NjRjZGViZWVhMzdmNzhlYmU5MTM3MGM4YjYwNWMifQ=="/>
  </w:docVars>
  <w:rsids>
    <w:rsidRoot w:val="00274575"/>
    <w:rsid w:val="00274575"/>
    <w:rsid w:val="008668D8"/>
    <w:rsid w:val="009902BC"/>
    <w:rsid w:val="00D73F1B"/>
    <w:rsid w:val="1EB37449"/>
    <w:rsid w:val="3F67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9"/>
    <w:qFormat/>
    <w:uiPriority w:val="9"/>
    <w:pPr>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next w:val="1"/>
    <w:link w:val="10"/>
    <w:qFormat/>
    <w:uiPriority w:val="9"/>
    <w:pPr>
      <w:spacing w:before="100" w:beforeAutospacing="1" w:after="100" w:afterAutospacing="1"/>
      <w:outlineLvl w:val="1"/>
    </w:pPr>
    <w:rPr>
      <w:rFonts w:ascii="宋体" w:hAnsi="宋体" w:eastAsia="宋体" w:cs="宋体"/>
      <w:b/>
      <w:bCs/>
      <w:kern w:val="0"/>
      <w:sz w:val="36"/>
      <w:szCs w:val="36"/>
    </w:rPr>
  </w:style>
  <w:style w:type="paragraph" w:styleId="4">
    <w:name w:val="heading 3"/>
    <w:basedOn w:val="1"/>
    <w:next w:val="1"/>
    <w:link w:val="11"/>
    <w:qFormat/>
    <w:uiPriority w:val="9"/>
    <w:pPr>
      <w:spacing w:before="100" w:beforeAutospacing="1" w:after="100" w:afterAutospacing="1"/>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uiPriority w:val="99"/>
    <w:pPr>
      <w:spacing w:before="100" w:beforeAutospacing="1" w:after="100" w:afterAutospacing="1"/>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标题 1 Char"/>
    <w:basedOn w:val="7"/>
    <w:link w:val="2"/>
    <w:uiPriority w:val="9"/>
    <w:rPr>
      <w:rFonts w:ascii="宋体" w:hAnsi="宋体" w:eastAsia="宋体" w:cs="宋体"/>
      <w:b/>
      <w:bCs/>
      <w:kern w:val="36"/>
      <w:sz w:val="48"/>
      <w:szCs w:val="48"/>
    </w:rPr>
  </w:style>
  <w:style w:type="character" w:customStyle="1" w:styleId="10">
    <w:name w:val="标题 2 Char"/>
    <w:basedOn w:val="7"/>
    <w:link w:val="3"/>
    <w:uiPriority w:val="9"/>
    <w:rPr>
      <w:rFonts w:ascii="宋体" w:hAnsi="宋体" w:eastAsia="宋体" w:cs="宋体"/>
      <w:b/>
      <w:bCs/>
      <w:kern w:val="0"/>
      <w:sz w:val="36"/>
      <w:szCs w:val="36"/>
    </w:rPr>
  </w:style>
  <w:style w:type="character" w:customStyle="1" w:styleId="11">
    <w:name w:val="标题 3 Char"/>
    <w:basedOn w:val="7"/>
    <w:link w:val="4"/>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8984</Words>
  <Characters>9629</Characters>
  <Lines>75</Lines>
  <Paragraphs>21</Paragraphs>
  <TotalTime>6</TotalTime>
  <ScaleCrop>false</ScaleCrop>
  <LinksUpToDate>false</LinksUpToDate>
  <CharactersWithSpaces>9636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2021-11-01T09:00:00Z</dcterms:created>
  <dc:creator>xb21cn</dc:creator>
  <cp:lastModifiedBy>朱亚林</cp:lastModifiedBy>
  <dcterms:modified xsi:type="dcterms:W3CDTF">2022-10-15T08:14:21Z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E43EBACFB64546BEB556ADC5A35E0716</vt:lpwstr>
  </property>
</Properties>
</file>