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微软雅黑" w:hAnsi="微软雅黑" w:eastAsia="微软雅黑" w:cs="微软雅黑"/>
          <w:b/>
          <w:i w:val="0"/>
          <w:caps w:val="0"/>
          <w:color w:val="1E1E1E"/>
          <w:spacing w:val="0"/>
          <w:kern w:val="0"/>
          <w:sz w:val="37"/>
          <w:szCs w:val="37"/>
          <w:lang w:val="en-US" w:eastAsia="zh-CN" w:bidi="ar"/>
        </w:rPr>
        <w:t>中共新邵县委办公室2020年度部门整体支出绩效自  评  报  告</w:t>
      </w:r>
      <w:r>
        <w:rPr>
          <w:rFonts w:hint="eastAsia" w:ascii="仿宋" w:hAnsi="仿宋" w:eastAsia="仿宋" w:cs="仿宋"/>
          <w:b/>
          <w:i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157"/>
        <w:jc w:val="left"/>
      </w:pPr>
      <w:r>
        <w:rPr>
          <w:rFonts w:hint="eastAsia" w:ascii="仿宋" w:hAnsi="仿宋" w:eastAsia="仿宋" w:cs="仿宋"/>
          <w:b/>
          <w:i w:val="0"/>
          <w:caps w:val="0"/>
          <w:color w:val="1E1E1E"/>
          <w:spacing w:val="0"/>
          <w:kern w:val="0"/>
          <w:sz w:val="32"/>
          <w:szCs w:val="32"/>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i w:val="0"/>
          <w:caps w:val="0"/>
          <w:color w:val="1E1E1E"/>
          <w:spacing w:val="0"/>
          <w:kern w:val="0"/>
          <w:sz w:val="32"/>
          <w:szCs w:val="32"/>
          <w:lang w:val="en-US" w:eastAsia="zh-CN" w:bidi="ar"/>
        </w:rPr>
        <w:t>（一）部门基本情况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内设组室16个，全部纳入2020年部门预算编制范围。内设组室分别是秘书组、县委常委办公室、总值班室、法规室、综合调研室、信息组、党史档案管理组、政工组、机关事务管理组、公务接待办、政策研究室、保密办、机要室、督查室、外事港澳台办、绩效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县委办公室编制人数45人，在职人数45人，离退休人数26人，遗属补助人数5人。</w:t>
      </w:r>
    </w:p>
    <w:p>
      <w:pPr>
        <w:spacing w:line="600" w:lineRule="exact"/>
        <w:ind w:firstLine="643" w:firstLineChars="200"/>
      </w:pPr>
      <w:r>
        <w:rPr>
          <w:rFonts w:hint="eastAsia" w:ascii="仿宋" w:hAnsi="仿宋" w:eastAsia="仿宋" w:cs="仿宋"/>
          <w:b/>
          <w:i w:val="0"/>
          <w:caps w:val="0"/>
          <w:color w:val="1E1E1E"/>
          <w:spacing w:val="0"/>
          <w:kern w:val="0"/>
          <w:sz w:val="32"/>
          <w:szCs w:val="32"/>
          <w:lang w:val="en-US" w:eastAsia="zh-CN" w:bidi="ar"/>
        </w:rPr>
        <w:t>（二）主要工作职责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（一）负责县委会议的准备和组织协调工作，负责安排县委领导同志公务活动，办理县委领导同志交办的事项。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（二）围绕县委工作部署，对涉及全县经济建设、社会发展、党的自身建设等全局性的重大问题进行调查研究，为县委决策提出建议、预案和依据。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（三）负责县委文件和县委领导同志有关文稿的起草、校核、印发工作，负责文书处理工作。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（四）负责党内法规和规范性文件的审核、备案、清理，服务县委领导地方立法工作，协调县委法律顾问服务相关工作。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（五）研究、审核县委各部门、县直各单位党委（党组）、各乡镇党委向县委的请示、报告，提出处理意见报县委领导同志审批。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（六）负责以县委名义向上级党组织请示报告工作的归口、把关工作，负责统筹、指导、督促全县党组织重大事项报告工作。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（七）负责及时、准确、全面地向县委和上级党委报送各类信息，反映有关动态。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（八）负责中央、国务院、省委、省政府、市委、市政府及县委县政府重大决策、重要工作部署和领导同志重要批示、批件贯彻落实情况的督促检查工作，组织办理政协委员有关提案。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（九）负责县委县政府及各部门年度督查检查考核计划的归口审核和全县性年度督查检查考核计划的统一报批、监督、组织实施。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（十）负责县绩效评估委员会办公室的日常工作，组织、协调、指导全县绩效评估工作。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（十一）负责全县外事、港澳</w:t>
      </w:r>
      <w:bookmarkStart w:id="0" w:name="_GoBack"/>
      <w:bookmarkEnd w:id="0"/>
      <w:r>
        <w:rPr>
          <w:rFonts w:hint="eastAsia" w:ascii="仿宋" w:hAnsi="仿宋" w:eastAsia="仿宋" w:cs="仿宋"/>
          <w:i w:val="0"/>
          <w:caps w:val="0"/>
          <w:color w:val="1E1E1E"/>
          <w:spacing w:val="0"/>
          <w:kern w:val="0"/>
          <w:sz w:val="32"/>
          <w:szCs w:val="32"/>
          <w:lang w:val="en-US" w:eastAsia="zh-CN" w:bidi="ar"/>
        </w:rPr>
        <w:t>工作的开展规划；负责全县涉外涉港澳活动的组织管理、联络协调，协同有关部门处理涉外涉港澳事件；审核全县因公出国、赴港澳等有关工作。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（十二）负责全县对台经贸、对台交流合作、对台接待、对台宣传教育、对台联络的组织、指导、协调、检查、督促；负责因公赴台审核报批、涉台事件处理等工作。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（十三）负责全县党史研究、档案事业的发展规划、组织协调、监督指导，负责全县党史研究政策法规的落实，负责全县档案法规的宣传教育以及查处档案违法行为。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（十四）负责管理全县公务接待工作；负责全县的重要公务接待活动和县主要领导外出公务活动的联络服务。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（十五）负责县委值班工作，及时向县委领导同志报告重要情况，协助处理县直各单位和各乡镇向县委反映的重要问题。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六）负责全县党政系统机要密码通信和密码管理；承担县委密码工作领导小组日常工作；负责《保密法》贯彻实施，开展保密法执法检查监督；负责全县党委系统信息化建设、应用、服务和管理；负责全县电子政务内网、专用通信网和党委视频会议的规划、建设和管理；负责全县电子文件管理工作，协同做好党政机关电子公文系统安全可靠应用推进、县直单位信息化建设前置审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七）负责研究拟定全县机关事务管理工作的有关政策、规章制度并组织实施；指导全县后勤体制改革工作，会同有关部门推进全县节约型机关建设；负责全县党政机关办公用房的规划、权属、配置、处置等工作；负责全县公务用车的配置、调配、更新、处置以及预算内专项用于解决全县行政事业单位公务用车的经费管理工作；负责县直机关纳入政府集中采购目录采购的组织实施；负责全县大型活动、重要会议预算编制和经费的使用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（十八）负责县委全面深化改革委员会办公室、县委财经委员会办公室、县委外事工作委员会办公室日常工作。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（十九）办理县委和县委领导同志交办的其他工作。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b/>
          <w:bCs/>
          <w:i w:val="0"/>
          <w:caps w:val="0"/>
          <w:color w:val="1E1E1E"/>
          <w:spacing w:val="0"/>
          <w:kern w:val="0"/>
          <w:sz w:val="32"/>
          <w:szCs w:val="32"/>
          <w:lang w:val="en-US" w:eastAsia="zh-CN" w:bidi="ar"/>
        </w:rPr>
        <w:t>二、部门整体支出规模、使用方向和内容（</w:t>
      </w:r>
      <w:r>
        <w:rPr>
          <w:rFonts w:hint="eastAsia" w:ascii="仿宋" w:hAnsi="仿宋" w:eastAsia="仿宋" w:cs="仿宋"/>
          <w:b/>
          <w:i w:val="0"/>
          <w:caps w:val="0"/>
          <w:color w:val="1E1E1E"/>
          <w:spacing w:val="0"/>
          <w:kern w:val="0"/>
          <w:sz w:val="32"/>
          <w:szCs w:val="32"/>
          <w:lang w:val="en-US" w:eastAsia="zh-CN" w:bidi="ar"/>
        </w:rPr>
        <w:t>金额：万元）。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（一）年度预算收支情况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1.年初预算收支</w:t>
      </w:r>
    </w:p>
    <w:tbl>
      <w:tblPr>
        <w:tblStyle w:val="8"/>
        <w:tblW w:w="10440" w:type="dxa"/>
        <w:jc w:val="center"/>
        <w:shd w:val="clear" w:color="auto" w:fill="auto"/>
        <w:tblLayout w:type="autofit"/>
        <w:tblCellMar>
          <w:top w:w="0" w:type="dxa"/>
          <w:left w:w="0" w:type="dxa"/>
          <w:bottom w:w="0" w:type="dxa"/>
          <w:right w:w="0" w:type="dxa"/>
        </w:tblCellMar>
      </w:tblPr>
      <w:tblGrid>
        <w:gridCol w:w="2568"/>
        <w:gridCol w:w="2088"/>
        <w:gridCol w:w="1953"/>
        <w:gridCol w:w="1617"/>
        <w:gridCol w:w="2214"/>
      </w:tblGrid>
      <w:tr>
        <w:tblPrEx>
          <w:shd w:val="clear" w:color="auto" w:fill="auto"/>
          <w:tblCellMar>
            <w:top w:w="0" w:type="dxa"/>
            <w:left w:w="0" w:type="dxa"/>
            <w:bottom w:w="0" w:type="dxa"/>
            <w:right w:w="0" w:type="dxa"/>
          </w:tblCellMar>
        </w:tblPrEx>
        <w:trPr>
          <w:trHeight w:val="582" w:hRule="atLeast"/>
          <w:jc w:val="center"/>
        </w:trPr>
        <w:tc>
          <w:tcPr>
            <w:tcW w:w="2568"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预算项目</w:t>
            </w:r>
          </w:p>
        </w:tc>
        <w:tc>
          <w:tcPr>
            <w:tcW w:w="4041"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预算金额</w:t>
            </w:r>
          </w:p>
        </w:tc>
        <w:tc>
          <w:tcPr>
            <w:tcW w:w="3831"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较上年增加金额</w:t>
            </w:r>
          </w:p>
        </w:tc>
      </w:tr>
      <w:tr>
        <w:tblPrEx>
          <w:shd w:val="clear" w:color="auto" w:fill="auto"/>
          <w:tblCellMar>
            <w:top w:w="0" w:type="dxa"/>
            <w:left w:w="0" w:type="dxa"/>
            <w:bottom w:w="0" w:type="dxa"/>
            <w:right w:w="0" w:type="dxa"/>
          </w:tblCellMar>
        </w:tblPrEx>
        <w:trPr>
          <w:trHeight w:val="582" w:hRule="atLeast"/>
          <w:jc w:val="center"/>
        </w:trPr>
        <w:tc>
          <w:tcPr>
            <w:tcW w:w="2568"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eastAsia" w:ascii="宋体"/>
                <w:sz w:val="24"/>
                <w:szCs w:val="24"/>
              </w:rPr>
            </w:pPr>
          </w:p>
        </w:tc>
        <w:tc>
          <w:tcPr>
            <w:tcW w:w="208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2020年</w:t>
            </w:r>
          </w:p>
        </w:tc>
        <w:tc>
          <w:tcPr>
            <w:tcW w:w="1953"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2019年</w:t>
            </w:r>
          </w:p>
        </w:tc>
        <w:tc>
          <w:tcPr>
            <w:tcW w:w="1617"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金额</w:t>
            </w:r>
          </w:p>
        </w:tc>
        <w:tc>
          <w:tcPr>
            <w:tcW w:w="221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比例</w:t>
            </w:r>
          </w:p>
        </w:tc>
      </w:tr>
      <w:tr>
        <w:tblPrEx>
          <w:shd w:val="clear" w:color="auto" w:fill="auto"/>
          <w:tblCellMar>
            <w:top w:w="0" w:type="dxa"/>
            <w:left w:w="0" w:type="dxa"/>
            <w:bottom w:w="0" w:type="dxa"/>
            <w:right w:w="0" w:type="dxa"/>
          </w:tblCellMar>
        </w:tblPrEx>
        <w:trPr>
          <w:trHeight w:val="582"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color w:val="010101"/>
                <w:kern w:val="0"/>
                <w:sz w:val="32"/>
                <w:szCs w:val="32"/>
                <w:lang w:val="en-US" w:eastAsia="zh-CN" w:bidi="ar"/>
              </w:rPr>
              <w:t>收入预算</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1145"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其中：财政经费拨款</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582"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color w:val="010101"/>
                <w:kern w:val="0"/>
                <w:sz w:val="32"/>
                <w:szCs w:val="32"/>
                <w:lang w:val="en-US" w:eastAsia="zh-CN" w:bidi="ar"/>
              </w:rPr>
              <w:t>支出预算</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622" w:hRule="atLeast"/>
          <w:jc w:val="center"/>
        </w:trPr>
        <w:tc>
          <w:tcPr>
            <w:tcW w:w="2568"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其中：基本支出</w:t>
            </w:r>
          </w:p>
        </w:tc>
        <w:tc>
          <w:tcPr>
            <w:tcW w:w="208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491.38</w:t>
            </w:r>
          </w:p>
        </w:tc>
        <w:tc>
          <w:tcPr>
            <w:tcW w:w="1953"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588.56</w:t>
            </w:r>
          </w:p>
        </w:tc>
        <w:tc>
          <w:tcPr>
            <w:tcW w:w="161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66"/>
              </w:tabs>
              <w:spacing w:before="0" w:beforeAutospacing="0" w:after="0" w:afterAutospacing="0" w:line="600" w:lineRule="atLeast"/>
              <w:ind w:left="480" w:leftChars="0" w:right="126" w:rightChars="0" w:hanging="48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-97.18</w:t>
            </w:r>
          </w:p>
        </w:tc>
        <w:tc>
          <w:tcPr>
            <w:tcW w:w="221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-16.51%</w:t>
            </w:r>
          </w:p>
        </w:tc>
      </w:tr>
      <w:tr>
        <w:tblPrEx>
          <w:shd w:val="clear" w:color="auto" w:fill="auto"/>
          <w:tblCellMar>
            <w:top w:w="0" w:type="dxa"/>
            <w:left w:w="0" w:type="dxa"/>
            <w:bottom w:w="0" w:type="dxa"/>
            <w:right w:w="0" w:type="dxa"/>
          </w:tblCellMar>
        </w:tblPrEx>
        <w:trPr>
          <w:trHeight w:val="622" w:hRule="atLeast"/>
          <w:jc w:val="center"/>
        </w:trPr>
        <w:tc>
          <w:tcPr>
            <w:tcW w:w="25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rPr>
                <w:rFonts w:hint="default" w:ascii="仿宋" w:hAnsi="仿宋" w:eastAsia="仿宋" w:cs="仿宋"/>
                <w:color w:val="010101"/>
                <w:kern w:val="0"/>
                <w:sz w:val="32"/>
                <w:szCs w:val="32"/>
                <w:lang w:val="en-US" w:eastAsia="zh-CN" w:bidi="ar"/>
              </w:rPr>
            </w:pPr>
            <w:r>
              <w:rPr>
                <w:rFonts w:hint="eastAsia" w:ascii="仿宋" w:hAnsi="仿宋" w:eastAsia="仿宋" w:cs="仿宋"/>
                <w:color w:val="010101"/>
                <w:kern w:val="0"/>
                <w:sz w:val="32"/>
                <w:szCs w:val="32"/>
                <w:lang w:val="en-US" w:eastAsia="zh-CN" w:bidi="ar"/>
              </w:rPr>
              <w:t>其中：项目支出</w:t>
            </w:r>
          </w:p>
        </w:tc>
        <w:tc>
          <w:tcPr>
            <w:tcW w:w="20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1114</w:t>
            </w:r>
          </w:p>
        </w:tc>
        <w:tc>
          <w:tcPr>
            <w:tcW w:w="195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696.48</w:t>
            </w:r>
          </w:p>
        </w:tc>
        <w:tc>
          <w:tcPr>
            <w:tcW w:w="16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417.52</w:t>
            </w:r>
          </w:p>
        </w:tc>
        <w:tc>
          <w:tcPr>
            <w:tcW w:w="22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59.95%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根据年初预算批复，与上年比较，较上年增加320.34万元，原因是增加了项目经费。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2.财政预算整体支出使用范围、方向和内容</w:t>
      </w:r>
    </w:p>
    <w:tbl>
      <w:tblPr>
        <w:tblStyle w:val="8"/>
        <w:tblW w:w="8317" w:type="dxa"/>
        <w:jc w:val="center"/>
        <w:shd w:val="clear" w:color="auto" w:fill="auto"/>
        <w:tblLayout w:type="autofit"/>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工资福利支出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406.17</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406.17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商品和服务支出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82.88</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1196.88</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对个人和家庭的补助</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w:t>
            </w:r>
          </w:p>
        </w:tc>
      </w:tr>
      <w:tr>
        <w:tblPrEx>
          <w:shd w:val="clear" w:color="auto" w:fill="auto"/>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 </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合 计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491.38</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w:t>
            </w: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1605.38</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年度收支决算情况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40" w:leftChars="0" w:right="0" w:rightChars="0"/>
        <w:jc w:val="left"/>
      </w:pPr>
      <w:r>
        <w:rPr>
          <w:rFonts w:hint="eastAsia" w:ascii="仿宋" w:hAnsi="仿宋" w:eastAsia="仿宋" w:cs="仿宋"/>
          <w:i w:val="0"/>
          <w:caps w:val="0"/>
          <w:color w:val="1E1E1E"/>
          <w:spacing w:val="0"/>
          <w:kern w:val="0"/>
          <w:sz w:val="32"/>
          <w:szCs w:val="32"/>
          <w:lang w:val="en-US" w:eastAsia="zh-CN" w:bidi="ar"/>
        </w:rPr>
        <w:t>1.年度收入决算 </w:t>
      </w:r>
    </w:p>
    <w:tbl>
      <w:tblPr>
        <w:tblStyle w:val="8"/>
        <w:tblW w:w="0" w:type="auto"/>
        <w:jc w:val="center"/>
        <w:shd w:val="clear" w:color="auto" w:fill="auto"/>
        <w:tblLayout w:type="autofit"/>
        <w:tblCellMar>
          <w:top w:w="0" w:type="dxa"/>
          <w:left w:w="0" w:type="dxa"/>
          <w:bottom w:w="0" w:type="dxa"/>
          <w:right w:w="0" w:type="dxa"/>
        </w:tblCellMar>
      </w:tblPr>
      <w:tblGrid>
        <w:gridCol w:w="2063"/>
        <w:gridCol w:w="1693"/>
        <w:gridCol w:w="1820"/>
        <w:gridCol w:w="2264"/>
      </w:tblGrid>
      <w:tr>
        <w:tblPrEx>
          <w:shd w:val="clear" w:color="auto" w:fill="auto"/>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差额</w:t>
            </w:r>
          </w:p>
        </w:tc>
      </w:tr>
      <w:tr>
        <w:tblPrEx>
          <w:shd w:val="clear" w:color="auto" w:fill="auto"/>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财政拨款收入</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1605.38</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2028.06</w:t>
            </w:r>
          </w:p>
        </w:tc>
        <w:tc>
          <w:tcPr>
            <w:tcW w:w="22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422.68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caps w:val="0"/>
          <w:color w:val="1E1E1E"/>
          <w:spacing w:val="0"/>
          <w:kern w:val="0"/>
          <w:sz w:val="32"/>
          <w:szCs w:val="32"/>
          <w:lang w:val="en-US" w:eastAsia="zh-CN" w:bidi="ar"/>
        </w:rPr>
        <w:t>市级下达的资金及年中领导批准的会议费等不在预算范围之内，因此支出数比年初预算数大。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 xml:space="preserve">年度预算支出决算及结余 </w:t>
      </w:r>
    </w:p>
    <w:tbl>
      <w:tblPr>
        <w:tblStyle w:val="8"/>
        <w:tblW w:w="8098" w:type="dxa"/>
        <w:tblInd w:w="0" w:type="dxa"/>
        <w:shd w:val="clear" w:color="auto" w:fill="auto"/>
        <w:tblLayout w:type="autofit"/>
        <w:tblCellMar>
          <w:top w:w="0" w:type="dxa"/>
          <w:left w:w="0" w:type="dxa"/>
          <w:bottom w:w="0" w:type="dxa"/>
          <w:right w:w="0" w:type="dxa"/>
        </w:tblCellMar>
      </w:tblPr>
      <w:tblGrid>
        <w:gridCol w:w="1607"/>
        <w:gridCol w:w="2096"/>
        <w:gridCol w:w="1833"/>
        <w:gridCol w:w="2562"/>
      </w:tblGrid>
      <w:tr>
        <w:tblPrEx>
          <w:tblCellMar>
            <w:top w:w="0" w:type="dxa"/>
            <w:left w:w="0" w:type="dxa"/>
            <w:bottom w:w="0" w:type="dxa"/>
            <w:right w:w="0" w:type="dxa"/>
          </w:tblCellMar>
        </w:tblPrEx>
        <w:trPr>
          <w:trHeight w:val="517" w:hRule="atLeast"/>
        </w:trPr>
        <w:tc>
          <w:tcPr>
            <w:tcW w:w="1607"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预算支出类别</w:t>
            </w:r>
          </w:p>
        </w:tc>
        <w:tc>
          <w:tcPr>
            <w:tcW w:w="2096"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预算金额</w:t>
            </w:r>
          </w:p>
        </w:tc>
        <w:tc>
          <w:tcPr>
            <w:tcW w:w="18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决算金额</w:t>
            </w:r>
          </w:p>
        </w:tc>
        <w:tc>
          <w:tcPr>
            <w:tcW w:w="2562"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增减金额</w:t>
            </w:r>
          </w:p>
        </w:tc>
      </w:tr>
      <w:tr>
        <w:tblPrEx>
          <w:tblCellMar>
            <w:top w:w="0" w:type="dxa"/>
            <w:left w:w="0" w:type="dxa"/>
            <w:bottom w:w="0" w:type="dxa"/>
            <w:right w:w="0" w:type="dxa"/>
          </w:tblCellMar>
        </w:tblPrEx>
        <w:trPr>
          <w:trHeight w:val="523" w:hRule="atLeast"/>
        </w:trPr>
        <w:tc>
          <w:tcPr>
            <w:tcW w:w="1607"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基本支出</w:t>
            </w:r>
          </w:p>
        </w:tc>
        <w:tc>
          <w:tcPr>
            <w:tcW w:w="209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491.38</w:t>
            </w:r>
          </w:p>
        </w:tc>
        <w:tc>
          <w:tcPr>
            <w:tcW w:w="18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2028.06</w:t>
            </w:r>
          </w:p>
        </w:tc>
        <w:tc>
          <w:tcPr>
            <w:tcW w:w="25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1536.68</w:t>
            </w:r>
          </w:p>
        </w:tc>
      </w:tr>
      <w:tr>
        <w:tblPrEx>
          <w:tblCellMar>
            <w:top w:w="0" w:type="dxa"/>
            <w:left w:w="0" w:type="dxa"/>
            <w:bottom w:w="0" w:type="dxa"/>
            <w:right w:w="0" w:type="dxa"/>
          </w:tblCellMar>
        </w:tblPrEx>
        <w:trPr>
          <w:trHeight w:val="523" w:hRule="atLeast"/>
        </w:trPr>
        <w:tc>
          <w:tcPr>
            <w:tcW w:w="1607"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项目支出</w:t>
            </w:r>
          </w:p>
        </w:tc>
        <w:tc>
          <w:tcPr>
            <w:tcW w:w="209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1114</w:t>
            </w:r>
          </w:p>
        </w:tc>
        <w:tc>
          <w:tcPr>
            <w:tcW w:w="18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5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485"/>
              </w:tabs>
              <w:spacing w:before="0" w:beforeAutospacing="0" w:after="0" w:afterAutospacing="0" w:line="600" w:lineRule="atLeast"/>
              <w:ind w:right="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-1114</w:t>
            </w:r>
          </w:p>
        </w:tc>
      </w:tr>
      <w:tr>
        <w:tblPrEx>
          <w:shd w:val="clear" w:color="auto" w:fill="auto"/>
          <w:tblCellMar>
            <w:top w:w="0" w:type="dxa"/>
            <w:left w:w="0" w:type="dxa"/>
            <w:bottom w:w="0" w:type="dxa"/>
            <w:right w:w="0" w:type="dxa"/>
          </w:tblCellMar>
        </w:tblPrEx>
        <w:trPr>
          <w:trHeight w:val="400" w:hRule="atLeast"/>
        </w:trPr>
        <w:tc>
          <w:tcPr>
            <w:tcW w:w="1607"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小计</w:t>
            </w:r>
          </w:p>
        </w:tc>
        <w:tc>
          <w:tcPr>
            <w:tcW w:w="2096"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1605.38</w:t>
            </w:r>
          </w:p>
        </w:tc>
        <w:tc>
          <w:tcPr>
            <w:tcW w:w="18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2028.06</w:t>
            </w:r>
          </w:p>
        </w:tc>
        <w:tc>
          <w:tcPr>
            <w:tcW w:w="2562"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422.68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年初预算安排的项目经费，实际执行中用项目经费弥补基本经费支出不足。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caps w:val="0"/>
          <w:color w:val="1E1E1E"/>
          <w:spacing w:val="0"/>
          <w:kern w:val="0"/>
          <w:sz w:val="32"/>
          <w:szCs w:val="32"/>
          <w:lang w:val="en-US" w:eastAsia="zh-CN" w:bidi="ar"/>
        </w:rPr>
        <w:t>三、部门整体支出管理及使用情况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eastAsia" w:ascii="仿宋" w:hAnsi="仿宋" w:eastAsia="仿宋" w:cs="仿宋"/>
          <w:b w:val="0"/>
          <w:i w:val="0"/>
          <w:caps w:val="0"/>
          <w:color w:val="1E1E1E"/>
          <w:spacing w:val="0"/>
          <w:sz w:val="32"/>
          <w:szCs w:val="32"/>
        </w:rPr>
        <w:t>（一）基本支出管理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 w:hAnsi="仿宋" w:eastAsia="仿宋" w:cs="仿宋"/>
          <w:b w:val="0"/>
          <w:i w:val="0"/>
          <w:caps w:val="0"/>
          <w:color w:val="1E1E1E"/>
          <w:spacing w:val="0"/>
          <w:sz w:val="32"/>
          <w:szCs w:val="32"/>
        </w:rPr>
        <w:t>1、基本支出总额使用和管理</w:t>
      </w:r>
    </w:p>
    <w:tbl>
      <w:tblPr>
        <w:tblStyle w:val="8"/>
        <w:tblW w:w="0" w:type="auto"/>
        <w:jc w:val="center"/>
        <w:shd w:val="clear" w:color="auto" w:fill="auto"/>
        <w:tblLayout w:type="autofit"/>
        <w:tblCellMar>
          <w:top w:w="0" w:type="dxa"/>
          <w:left w:w="0" w:type="dxa"/>
          <w:bottom w:w="0" w:type="dxa"/>
          <w:right w:w="0" w:type="dxa"/>
        </w:tblCellMar>
      </w:tblPr>
      <w:tblGrid>
        <w:gridCol w:w="2392"/>
        <w:gridCol w:w="1666"/>
        <w:gridCol w:w="1604"/>
        <w:gridCol w:w="2438"/>
      </w:tblGrid>
      <w:tr>
        <w:tblPrEx>
          <w:shd w:val="clear" w:color="auto" w:fill="auto"/>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406.17</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578.63</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172.46</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82.88</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color w:val="000000" w:themeColor="text1"/>
                <w:lang w:val="en-US"/>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1326.69</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1243.81</w:t>
            </w:r>
          </w:p>
        </w:tc>
      </w:tr>
      <w:tr>
        <w:tblPrEx>
          <w:tblCellMar>
            <w:top w:w="0" w:type="dxa"/>
            <w:left w:w="0" w:type="dxa"/>
            <w:bottom w:w="0" w:type="dxa"/>
            <w:right w:w="0" w:type="dxa"/>
          </w:tblCellMar>
        </w:tblPrEx>
        <w:trPr>
          <w:trHeight w:val="90"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2.33</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color w:val="000000" w:themeColor="text1"/>
                <w:lang w:val="en-US"/>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66.2</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63.87</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资本性支出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56.54</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56.54</w:t>
            </w:r>
          </w:p>
        </w:tc>
      </w:tr>
      <w:tr>
        <w:tblPrEx>
          <w:shd w:val="clear" w:color="auto" w:fill="auto"/>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491.38</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2028.06</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1536.68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仿宋" w:hAnsi="仿宋" w:eastAsia="仿宋" w:cs="仿宋"/>
          <w:i w:val="0"/>
          <w:caps w:val="0"/>
          <w:color w:val="1E1E1E"/>
          <w:spacing w:val="0"/>
          <w:kern w:val="0"/>
          <w:sz w:val="32"/>
          <w:szCs w:val="32"/>
          <w:lang w:val="en-US" w:eastAsia="zh-CN" w:bidi="ar"/>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基本支出中各费用明细支出管理</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工资福利支出</w:t>
      </w:r>
    </w:p>
    <w:tbl>
      <w:tblPr>
        <w:tblStyle w:val="8"/>
        <w:tblW w:w="0" w:type="auto"/>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56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费用项目</w:t>
            </w:r>
          </w:p>
        </w:tc>
        <w:tc>
          <w:tcPr>
            <w:tcW w:w="113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13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417"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节约/超支金额</w:t>
            </w:r>
          </w:p>
        </w:tc>
        <w:tc>
          <w:tcPr>
            <w:tcW w:w="166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基本工资</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184.5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342.08</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157.58</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85.41%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津贴补贴</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105.75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7.38</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-98.37</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-93.02%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奖金</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15.38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112.51</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97.13</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631.53%</w:t>
            </w:r>
          </w:p>
        </w:tc>
      </w:tr>
      <w:tr>
        <w:tblPrEx>
          <w:tblCellMar>
            <w:top w:w="0" w:type="dxa"/>
            <w:left w:w="0" w:type="dxa"/>
            <w:bottom w:w="0" w:type="dxa"/>
            <w:right w:w="0" w:type="dxa"/>
          </w:tblCellMar>
        </w:tblPrEx>
        <w:trPr>
          <w:trHeight w:val="90"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伙食补助费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绩效工资</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机关事业单位基本养老保险缴费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46.44</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49.09</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2.65</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5.7%</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职业年金缴费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职工基本医疗保险缴费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11.27</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28.37</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17.1</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151.73%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公务员医疗补助缴费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4.87</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4.87</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其他社会保障缴费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4.35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2.99</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-1.36</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-31.26%</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住房公积金</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36.68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-36.68</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医疗费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其他工资福利支出</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31.34</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29.54</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1641.1%</w:t>
            </w: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合计</w:t>
            </w:r>
          </w:p>
        </w:tc>
        <w:tc>
          <w:tcPr>
            <w:tcW w:w="113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406.17</w:t>
            </w:r>
          </w:p>
        </w:tc>
        <w:tc>
          <w:tcPr>
            <w:tcW w:w="113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578.63</w:t>
            </w:r>
          </w:p>
        </w:tc>
        <w:tc>
          <w:tcPr>
            <w:tcW w:w="1417"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172.46</w:t>
            </w:r>
          </w:p>
        </w:tc>
        <w:tc>
          <w:tcPr>
            <w:tcW w:w="166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42.46%</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基本工资超支是因为决算数中的基本工资包含了基本工资、津补贴及车补。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奖金超支是因3+2奖金不在预算内，由单位自负，本年度发放了以前年度职工待遇，所以决算数大于预算数。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商品和服务支出 </w:t>
      </w:r>
    </w:p>
    <w:tbl>
      <w:tblPr>
        <w:tblStyle w:val="8"/>
        <w:tblW w:w="0" w:type="auto"/>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支出项目</w:t>
            </w:r>
          </w:p>
        </w:tc>
        <w:tc>
          <w:tcPr>
            <w:tcW w:w="1398"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537"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429"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增减额</w:t>
            </w:r>
          </w:p>
        </w:tc>
        <w:tc>
          <w:tcPr>
            <w:tcW w:w="1643"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办公费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126.35</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124.05</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5393.48%</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印刷费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0.34</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45.69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45.35</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13338.24%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咨询费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4.12</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4.12</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手续费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1.48</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水</w:t>
            </w:r>
            <w:r>
              <w:rPr>
                <w:rFonts w:hint="eastAsia" w:ascii="仿宋" w:hAnsi="仿宋" w:eastAsia="仿宋" w:cs="宋体"/>
                <w:color w:val="010101"/>
                <w:kern w:val="0"/>
                <w:szCs w:val="21"/>
                <w:lang w:bidi="ar"/>
              </w:rPr>
              <w:t>电费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4.94</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2.94</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147%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邮电费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18.46</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16.96</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1130.67%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取暖费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物业管理费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71.13</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71.13</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差旅费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46.7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39.7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567.14%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因公出国（境）费用</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维修（护）费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9.17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8.17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817%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租赁费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683.61</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683.61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会议费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3.2</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35</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993.75%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培训费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1.92</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0.92</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92%</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公务接待费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3.09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-14.91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-82.83%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专用材料费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5.61</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被装购置费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专用燃料费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劳务费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0.7</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11.58</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10.88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1554.29%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委托业务费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工会经费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10.8</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27.37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16.57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153.43%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福利费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公务用车运行维护费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其他交通费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29.04</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-27.57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-94.94%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税金及附加费用</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其他商品和服务支出</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229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229</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合计</w:t>
            </w:r>
          </w:p>
        </w:tc>
        <w:tc>
          <w:tcPr>
            <w:tcW w:w="1398"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82.88</w:t>
            </w:r>
          </w:p>
        </w:tc>
        <w:tc>
          <w:tcPr>
            <w:tcW w:w="1537"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1326.69</w:t>
            </w:r>
          </w:p>
        </w:tc>
        <w:tc>
          <w:tcPr>
            <w:tcW w:w="1429"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1243.81</w:t>
            </w:r>
          </w:p>
        </w:tc>
        <w:tc>
          <w:tcPr>
            <w:tcW w:w="1643"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1500.74%</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办公费增加的主要原因是县委办承担了全县疫情防控及各类会议的服务和保障工作。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印刷费的增加主要在于县委办经领导批准开展了各类专题调研、工作培训及征文作品汇编等工作。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差旅费增加主要是县委办有3个驻村工作队，科级干部联村有20个村以及推进脱贫攻坚等各类下乡费用的增加。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会议费增加主要是经领导批准的各类会议增加。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物业管理费及租赁费的增加是因为年初预算数中没有包括租用东谷大厦办公楼的费用。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其他商品和服务支出增加主要是日常工作中产生的其他不可预测的经费增加。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公务接待费、公务用车运行维护费及其他交通费用的减少主要是本单位厉行节约，严格控制“三公经费”的支出。</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个人和家庭的补助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jc w:val="left"/>
        <w:rPr>
          <w:rFonts w:hint="eastAsia" w:ascii="仿宋" w:hAnsi="仿宋" w:eastAsia="仿宋" w:cs="仿宋"/>
          <w:i w:val="0"/>
          <w:caps w:val="0"/>
          <w:color w:val="1E1E1E"/>
          <w:spacing w:val="0"/>
          <w:kern w:val="0"/>
          <w:sz w:val="32"/>
          <w:szCs w:val="32"/>
          <w:lang w:val="en-US" w:eastAsia="zh-CN" w:bidi="ar"/>
        </w:rPr>
      </w:pPr>
    </w:p>
    <w:tbl>
      <w:tblPr>
        <w:tblStyle w:val="8"/>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支出项目</w:t>
            </w:r>
          </w:p>
        </w:tc>
        <w:tc>
          <w:tcPr>
            <w:tcW w:w="1538"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560"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875"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结余/超支金额</w:t>
            </w:r>
          </w:p>
        </w:tc>
        <w:tc>
          <w:tcPr>
            <w:tcW w:w="1575"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离休费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退休费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6.61</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tabs>
                <w:tab w:val="left" w:pos="612"/>
                <w:tab w:val="center" w:pos="982"/>
              </w:tabs>
              <w:snapToGrid w:val="0"/>
              <w:spacing w:line="600" w:lineRule="exact"/>
              <w:ind w:left="315" w:hanging="315"/>
              <w:jc w:val="left"/>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ab/>
            </w:r>
            <w:r>
              <w:rPr>
                <w:rFonts w:hint="eastAsia" w:ascii="仿宋" w:hAnsi="仿宋" w:eastAsia="仿宋" w:cs="宋体"/>
                <w:color w:val="010101"/>
                <w:kern w:val="0"/>
                <w:szCs w:val="21"/>
                <w:lang w:val="en-US" w:eastAsia="zh-CN" w:bidi="ar"/>
              </w:rPr>
              <w:t>超支</w:t>
            </w:r>
            <w:r>
              <w:rPr>
                <w:rFonts w:hint="eastAsia" w:ascii="仿宋" w:hAnsi="仿宋" w:eastAsia="仿宋" w:cs="宋体"/>
                <w:color w:val="010101"/>
                <w:kern w:val="0"/>
                <w:szCs w:val="21"/>
                <w:lang w:val="en-US" w:eastAsia="zh-CN" w:bidi="ar"/>
              </w:rPr>
              <w:tab/>
            </w:r>
            <w:r>
              <w:rPr>
                <w:rFonts w:hint="eastAsia" w:ascii="仿宋" w:hAnsi="仿宋" w:eastAsia="仿宋" w:cs="宋体"/>
                <w:color w:val="010101"/>
                <w:kern w:val="0"/>
                <w:szCs w:val="21"/>
                <w:lang w:val="en-US" w:eastAsia="zh-CN" w:bidi="ar"/>
              </w:rPr>
              <w:t>6.61</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退职（役）费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抚恤金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1.83</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超支1.83</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生活补助</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2.33</w:t>
            </w: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31.07</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超支28.74</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1233.48%</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救济费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0.7</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超支0.7</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医疗费补助</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0.41</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超支0.41</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助学金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奖励金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20.46</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超支20.46</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个人农业生产补贴</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1025" w:hRule="atLeast"/>
        </w:trPr>
        <w:tc>
          <w:tcPr>
            <w:tcW w:w="1816" w:type="dxa"/>
            <w:tcBorders>
              <w:top w:val="nil"/>
              <w:left w:val="single" w:color="000000" w:sz="8" w:space="0"/>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其他对个人和家庭的补助支出</w:t>
            </w:r>
          </w:p>
        </w:tc>
        <w:tc>
          <w:tcPr>
            <w:tcW w:w="1538"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5.12</w:t>
            </w:r>
          </w:p>
        </w:tc>
        <w:tc>
          <w:tcPr>
            <w:tcW w:w="1875"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超支5.12</w:t>
            </w:r>
          </w:p>
        </w:tc>
        <w:tc>
          <w:tcPr>
            <w:tcW w:w="1575"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single" w:color="auto" w:sz="4" w:space="0"/>
              <w:left w:val="single" w:color="auto" w:sz="4" w:space="0"/>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合计</w:t>
            </w:r>
          </w:p>
        </w:tc>
        <w:tc>
          <w:tcPr>
            <w:tcW w:w="1538"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2.33</w:t>
            </w:r>
          </w:p>
        </w:tc>
        <w:tc>
          <w:tcPr>
            <w:tcW w:w="1560"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66.2</w:t>
            </w:r>
          </w:p>
        </w:tc>
        <w:tc>
          <w:tcPr>
            <w:tcW w:w="1875"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超支63.87</w:t>
            </w:r>
          </w:p>
        </w:tc>
        <w:tc>
          <w:tcPr>
            <w:tcW w:w="15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2741.2%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退休费超支主要是发放了退休干部的老年节及春节慰问开支。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生活补助超支是因为预算数中只包含了遗属的生活补助，而决算数中包含了在职干部的餐补和遗属生活补助，所以决算数大于预算数。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奖励金超支主要是发放了2019年度市绩效考核奖励金和退休干部独生子女费，而预算中没有包含。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pPr>
      <w:r>
        <w:rPr>
          <w:rFonts w:hint="eastAsia" w:ascii="仿宋" w:hAnsi="仿宋" w:eastAsia="仿宋" w:cs="仿宋"/>
          <w:i w:val="0"/>
          <w:caps w:val="0"/>
          <w:color w:val="1E1E1E"/>
          <w:spacing w:val="0"/>
          <w:kern w:val="0"/>
          <w:sz w:val="32"/>
          <w:szCs w:val="32"/>
          <w:lang w:val="en-US" w:eastAsia="zh-CN" w:bidi="ar"/>
        </w:rPr>
        <w:t>（二）“三公经费”支出使用和管理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caps w:val="0"/>
          <w:color w:val="1E1E1E"/>
          <w:spacing w:val="0"/>
          <w:kern w:val="0"/>
          <w:sz w:val="32"/>
          <w:szCs w:val="32"/>
          <w:lang w:val="en-US" w:eastAsia="zh-CN" w:bidi="ar"/>
        </w:rPr>
        <w:t>1、“三公经费”预算执行 </w:t>
      </w:r>
    </w:p>
    <w:tbl>
      <w:tblPr>
        <w:tblStyle w:val="8"/>
        <w:tblW w:w="0" w:type="auto"/>
        <w:jc w:val="center"/>
        <w:shd w:val="clear" w:color="auto" w:fill="auto"/>
        <w:tblLayout w:type="autofit"/>
        <w:tblCellMar>
          <w:top w:w="0" w:type="dxa"/>
          <w:left w:w="0" w:type="dxa"/>
          <w:bottom w:w="0" w:type="dxa"/>
          <w:right w:w="0" w:type="dxa"/>
        </w:tblCellMar>
      </w:tblPr>
      <w:tblGrid>
        <w:gridCol w:w="1608"/>
        <w:gridCol w:w="1054"/>
        <w:gridCol w:w="1112"/>
        <w:gridCol w:w="995"/>
        <w:gridCol w:w="1156"/>
        <w:gridCol w:w="1138"/>
        <w:gridCol w:w="1273"/>
      </w:tblGrid>
      <w:tr>
        <w:tblPrEx>
          <w:shd w:val="clear" w:color="auto" w:fill="auto"/>
          <w:tblCellMar>
            <w:top w:w="0" w:type="dxa"/>
            <w:left w:w="0" w:type="dxa"/>
            <w:bottom w:w="0" w:type="dxa"/>
            <w:right w:w="0" w:type="dxa"/>
          </w:tblCellMar>
        </w:tblPrEx>
        <w:trPr>
          <w:trHeight w:val="364" w:hRule="atLeast"/>
          <w:jc w:val="center"/>
        </w:trPr>
        <w:tc>
          <w:tcPr>
            <w:tcW w:w="1608"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2166"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本年预算</w:t>
            </w:r>
          </w:p>
        </w:tc>
        <w:tc>
          <w:tcPr>
            <w:tcW w:w="215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本年决算</w:t>
            </w:r>
          </w:p>
        </w:tc>
        <w:tc>
          <w:tcPr>
            <w:tcW w:w="241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结余</w:t>
            </w:r>
          </w:p>
        </w:tc>
      </w:tr>
      <w:tr>
        <w:tblPrEx>
          <w:shd w:val="clear" w:color="auto" w:fill="auto"/>
          <w:tblCellMar>
            <w:top w:w="0" w:type="dxa"/>
            <w:left w:w="0" w:type="dxa"/>
            <w:bottom w:w="0" w:type="dxa"/>
            <w:right w:w="0" w:type="dxa"/>
          </w:tblCellMar>
        </w:tblPrEx>
        <w:trPr>
          <w:trHeight w:val="580" w:hRule="atLeast"/>
          <w:jc w:val="center"/>
        </w:trPr>
        <w:tc>
          <w:tcPr>
            <w:tcW w:w="1608"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rPr>
                <w:rFonts w:hint="eastAsia" w:ascii="宋体"/>
                <w:sz w:val="24"/>
                <w:szCs w:val="24"/>
              </w:rPr>
            </w:pPr>
          </w:p>
        </w:tc>
        <w:tc>
          <w:tcPr>
            <w:tcW w:w="1054"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1138"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273"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r>
      <w:tr>
        <w:tblPrEx>
          <w:shd w:val="clear" w:color="auto" w:fill="auto"/>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198</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3.09</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194.91</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CellMar>
            <w:top w:w="0" w:type="dxa"/>
            <w:left w:w="0" w:type="dxa"/>
            <w:bottom w:w="0" w:type="dxa"/>
            <w:right w:w="0" w:type="dxa"/>
          </w:tblCellMar>
        </w:tblPrEx>
        <w:trPr>
          <w:trHeight w:val="40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 21</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21</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CellMar>
            <w:top w:w="0" w:type="dxa"/>
            <w:left w:w="0" w:type="dxa"/>
            <w:bottom w:w="0" w:type="dxa"/>
            <w:right w:w="0" w:type="dxa"/>
          </w:tblCellMar>
        </w:tblPrEx>
        <w:trPr>
          <w:trHeight w:val="43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公务车购置费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default" w:ascii="仿宋" w:hAnsi="仿宋" w:eastAsia="仿宋" w:cs="仿宋"/>
                <w:color w:val="010101"/>
                <w:kern w:val="0"/>
                <w:sz w:val="21"/>
                <w:szCs w:val="21"/>
                <w:lang w:val="en-US" w:eastAsia="zh-CN" w:bidi="ar"/>
              </w:rPr>
              <w:t> </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因公出国费用</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CellMar>
            <w:top w:w="0" w:type="dxa"/>
            <w:left w:w="0" w:type="dxa"/>
            <w:bottom w:w="0" w:type="dxa"/>
            <w:right w:w="0" w:type="dxa"/>
          </w:tblCellMar>
        </w:tblPrEx>
        <w:trPr>
          <w:trHeight w:val="399" w:hRule="atLeast"/>
          <w:jc w:val="center"/>
        </w:trPr>
        <w:tc>
          <w:tcPr>
            <w:tcW w:w="1608"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1054"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219</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3.09</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auto"/>
                <w:kern w:val="0"/>
                <w:sz w:val="21"/>
                <w:szCs w:val="21"/>
                <w:lang w:val="en-US" w:eastAsia="zh-CN" w:bidi="ar"/>
              </w:rPr>
              <w:t>215.91</w:t>
            </w:r>
          </w:p>
        </w:tc>
        <w:tc>
          <w:tcPr>
            <w:tcW w:w="1273"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因预算数中的“三公经费”包含了接待办的公务接待费，而决算数中没有体现接待办的公务接待费，所以导致结余数较大。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caps w:val="0"/>
          <w:color w:val="1E1E1E"/>
          <w:spacing w:val="0"/>
          <w:kern w:val="0"/>
          <w:sz w:val="32"/>
          <w:szCs w:val="32"/>
          <w:lang w:val="en-US" w:eastAsia="zh-CN" w:bidi="ar"/>
        </w:rPr>
        <w:t>2、“三公经费”与上年度比较</w:t>
      </w:r>
    </w:p>
    <w:tbl>
      <w:tblPr>
        <w:tblStyle w:val="8"/>
        <w:tblW w:w="0" w:type="auto"/>
        <w:jc w:val="center"/>
        <w:shd w:val="clear" w:color="auto" w:fill="auto"/>
        <w:tblLayout w:type="autofit"/>
        <w:tblCellMar>
          <w:top w:w="0" w:type="dxa"/>
          <w:left w:w="0" w:type="dxa"/>
          <w:bottom w:w="0" w:type="dxa"/>
          <w:right w:w="0" w:type="dxa"/>
        </w:tblCellMar>
      </w:tblPr>
      <w:tblGrid>
        <w:gridCol w:w="2743"/>
        <w:gridCol w:w="1631"/>
        <w:gridCol w:w="1488"/>
        <w:gridCol w:w="1600"/>
      </w:tblGrid>
      <w:tr>
        <w:tblPrEx>
          <w:shd w:val="clear" w:color="auto" w:fill="auto"/>
          <w:tblCellMar>
            <w:top w:w="0" w:type="dxa"/>
            <w:left w:w="0" w:type="dxa"/>
            <w:bottom w:w="0" w:type="dxa"/>
            <w:right w:w="0" w:type="dxa"/>
          </w:tblCellMar>
        </w:tblPrEx>
        <w:trPr>
          <w:trHeight w:val="331" w:hRule="atLeast"/>
          <w:jc w:val="center"/>
        </w:trPr>
        <w:tc>
          <w:tcPr>
            <w:tcW w:w="2743"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1631"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本年金额</w:t>
            </w:r>
          </w:p>
        </w:tc>
        <w:tc>
          <w:tcPr>
            <w:tcW w:w="1488"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上年金额</w:t>
            </w:r>
          </w:p>
        </w:tc>
        <w:tc>
          <w:tcPr>
            <w:tcW w:w="1600"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减额</w:t>
            </w:r>
          </w:p>
        </w:tc>
      </w:tr>
      <w:tr>
        <w:tblPrEx>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3.09</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3.28</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0.19</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公务车辆购置费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因公出国(境)费用</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69" w:hRule="atLeast"/>
          <w:jc w:val="center"/>
        </w:trPr>
        <w:tc>
          <w:tcPr>
            <w:tcW w:w="2743"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1631"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3.09</w:t>
            </w:r>
          </w:p>
        </w:tc>
        <w:tc>
          <w:tcPr>
            <w:tcW w:w="1488" w:type="dxa"/>
            <w:tcBorders>
              <w:top w:val="nil"/>
              <w:left w:val="nil"/>
              <w:bottom w:val="single" w:color="auto" w:sz="8" w:space="0"/>
              <w:right w:val="single" w:color="auto" w:sz="8" w:space="0"/>
            </w:tcBorders>
            <w:shd w:val="clear" w:color="auto" w:fill="D9D9D9"/>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3.28</w:t>
            </w:r>
          </w:p>
        </w:tc>
        <w:tc>
          <w:tcPr>
            <w:tcW w:w="1600" w:type="dxa"/>
            <w:tcBorders>
              <w:top w:val="nil"/>
              <w:left w:val="nil"/>
              <w:bottom w:val="single" w:color="auto" w:sz="8" w:space="0"/>
              <w:right w:val="single" w:color="auto" w:sz="8" w:space="0"/>
            </w:tcBorders>
            <w:shd w:val="clear" w:color="auto" w:fill="D9D9D9"/>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0.19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563" w:firstLineChars="176"/>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通过严格制度，强化管理，我办全年三公经费总额同比减少</w:t>
      </w:r>
      <w:r>
        <w:rPr>
          <w:rFonts w:hint="eastAsia" w:ascii="仿宋" w:hAnsi="仿宋" w:eastAsia="仿宋" w:cs="仿宋"/>
          <w:i w:val="0"/>
          <w:caps w:val="0"/>
          <w:color w:val="auto"/>
          <w:spacing w:val="0"/>
          <w:kern w:val="0"/>
          <w:sz w:val="32"/>
          <w:szCs w:val="32"/>
          <w:lang w:val="en-US" w:eastAsia="zh-CN" w:bidi="ar"/>
        </w:rPr>
        <w:t>0.19</w:t>
      </w:r>
      <w:r>
        <w:rPr>
          <w:rFonts w:hint="eastAsia" w:ascii="仿宋" w:hAnsi="仿宋" w:eastAsia="仿宋" w:cs="仿宋"/>
          <w:i w:val="0"/>
          <w:caps w:val="0"/>
          <w:color w:val="1E1E1E"/>
          <w:spacing w:val="0"/>
          <w:kern w:val="0"/>
          <w:sz w:val="32"/>
          <w:szCs w:val="32"/>
          <w:lang w:val="en-US" w:eastAsia="zh-CN" w:bidi="ar"/>
        </w:rPr>
        <w:t>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90" w:leftChars="0" w:right="0" w:firstLine="160" w:firstLineChars="0"/>
        <w:jc w:val="left"/>
        <w:rPr>
          <w:rFonts w:hint="eastAsia" w:ascii="仿宋" w:hAnsi="仿宋" w:eastAsia="仿宋"/>
          <w:sz w:val="32"/>
          <w:szCs w:val="32"/>
        </w:rPr>
      </w:pPr>
      <w:r>
        <w:rPr>
          <w:rFonts w:hint="eastAsia" w:ascii="黑体" w:hAnsi="宋体" w:eastAsia="黑体" w:cs="黑体"/>
          <w:i w:val="0"/>
          <w:caps w:val="0"/>
          <w:color w:val="1E1E1E"/>
          <w:spacing w:val="0"/>
          <w:kern w:val="0"/>
          <w:sz w:val="32"/>
          <w:szCs w:val="32"/>
          <w:lang w:val="en-US" w:eastAsia="zh-CN" w:bidi="ar"/>
        </w:rPr>
        <w:t>部门整体支出绩效评价</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2020年，我单位积极履职，强化管理，较好地完成了年度工作目标。通过加强预算收支管理，不断建立健全内部管理制度，部门整体支出管理水平得到提升。部门整体支出绩效情况如下：</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right="0" w:rightChars="0"/>
        <w:jc w:val="both"/>
        <w:textAlignment w:val="auto"/>
        <w:rPr>
          <w:rFonts w:hint="eastAsia" w:ascii="仿宋" w:hAnsi="仿宋" w:eastAsia="仿宋" w:cs="Times New Roman"/>
          <w:sz w:val="32"/>
          <w:szCs w:val="32"/>
        </w:rPr>
      </w:pPr>
      <w:r>
        <w:rPr>
          <w:rFonts w:hint="eastAsia" w:ascii="仿宋" w:hAnsi="仿宋" w:eastAsia="仿宋" w:cs="仿宋"/>
          <w:sz w:val="32"/>
          <w:szCs w:val="32"/>
          <w:lang w:val="en-US" w:eastAsia="zh-CN"/>
        </w:rPr>
        <w:t>（一）</w:t>
      </w:r>
      <w:r>
        <w:rPr>
          <w:rFonts w:ascii="仿宋" w:hAnsi="仿宋" w:eastAsia="仿宋" w:cs="仿宋"/>
          <w:sz w:val="32"/>
          <w:szCs w:val="32"/>
        </w:rPr>
        <w:t>经济性评价</w:t>
      </w:r>
      <w:r>
        <w:rPr>
          <w:rFonts w:hint="eastAsia" w:ascii="仿宋" w:hAnsi="仿宋" w:eastAsia="仿宋" w:cs="仿宋"/>
          <w:sz w:val="32"/>
          <w:szCs w:val="32"/>
          <w:lang w:val="en-US" w:eastAsia="zh-CN"/>
        </w:rPr>
        <w:t>：</w:t>
      </w:r>
      <w:r>
        <w:rPr>
          <w:rFonts w:hint="eastAsia" w:ascii="仿宋" w:hAnsi="仿宋" w:eastAsia="仿宋" w:cs="仿宋"/>
          <w:b w:val="0"/>
          <w:bCs w:val="0"/>
          <w:i w:val="0"/>
          <w:iCs w:val="0"/>
          <w:sz w:val="32"/>
          <w:szCs w:val="32"/>
        </w:rPr>
        <w:t>预</w:t>
      </w:r>
      <w:r>
        <w:rPr>
          <w:rFonts w:hint="eastAsia" w:ascii="仿宋" w:hAnsi="仿宋" w:eastAsia="仿宋" w:cs="仿宋"/>
          <w:b w:val="0"/>
          <w:bCs w:val="0"/>
          <w:sz w:val="32"/>
          <w:szCs w:val="32"/>
        </w:rPr>
        <w:t>算配置控制较好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预算执行比较到位</w:t>
      </w:r>
      <w:r>
        <w:rPr>
          <w:rFonts w:hint="eastAsia" w:ascii="仿宋" w:hAnsi="仿宋" w:eastAsia="仿宋" w:cs="仿宋"/>
          <w:b w:val="0"/>
          <w:bCs w:val="0"/>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pPr>
      <w:r>
        <w:rPr>
          <w:rFonts w:hint="eastAsia" w:ascii="仿宋" w:hAnsi="仿宋" w:eastAsia="仿宋" w:cs="仿宋"/>
          <w:i w:val="0"/>
          <w:caps w:val="0"/>
          <w:color w:val="1E1E1E"/>
          <w:spacing w:val="0"/>
          <w:kern w:val="0"/>
          <w:sz w:val="32"/>
          <w:szCs w:val="32"/>
          <w:shd w:val="clear" w:color="auto" w:fill="FFFFFF"/>
          <w:lang w:val="en-US" w:eastAsia="zh-CN" w:bidi="ar"/>
        </w:rPr>
        <w:t>（二）行政效能评价：</w:t>
      </w:r>
      <w:r>
        <w:rPr>
          <w:rFonts w:hint="eastAsia" w:ascii="仿宋" w:hAnsi="仿宋" w:eastAsia="仿宋" w:cs="Times New Roman"/>
          <w:sz w:val="32"/>
          <w:szCs w:val="32"/>
          <w:lang w:val="en-US" w:eastAsia="zh-CN"/>
        </w:rPr>
        <w:t>本单位</w:t>
      </w:r>
      <w:r>
        <w:rPr>
          <w:rFonts w:hint="eastAsia" w:ascii="仿宋" w:hAnsi="仿宋" w:eastAsia="仿宋" w:cs="Times New Roman"/>
          <w:sz w:val="32"/>
          <w:szCs w:val="32"/>
        </w:rPr>
        <w:t>各项财经制度完善，包括财务管理制度、公务接待制度</w:t>
      </w:r>
      <w:r>
        <w:rPr>
          <w:rFonts w:hint="eastAsia" w:ascii="仿宋" w:hAnsi="仿宋" w:eastAsia="仿宋" w:cs="Times New Roman"/>
          <w:sz w:val="32"/>
          <w:szCs w:val="32"/>
          <w:lang w:eastAsia="zh-CN"/>
        </w:rPr>
        <w:t>等，并且严格遵守，落到实处。每月末定期进行内部自查、自检工作，保证资金收付安全、准确</w:t>
      </w:r>
      <w:r>
        <w:rPr>
          <w:rFonts w:hint="eastAsia" w:ascii="仿宋" w:hAnsi="仿宋" w:eastAsia="仿宋" w:cs="Times New Roman"/>
          <w:sz w:val="32"/>
          <w:szCs w:val="32"/>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pPr>
      <w:r>
        <w:rPr>
          <w:rFonts w:hint="eastAsia" w:ascii="楷体" w:hAnsi="楷体" w:eastAsia="楷体" w:cs="楷体"/>
          <w:sz w:val="32"/>
          <w:szCs w:val="32"/>
          <w:lang w:val="en-US" w:eastAsia="zh-CN"/>
        </w:rPr>
        <w:t>（三）</w:t>
      </w:r>
      <w:r>
        <w:rPr>
          <w:rFonts w:hint="eastAsia" w:ascii="仿宋" w:hAnsi="仿宋" w:eastAsia="仿宋" w:cs="仿宋"/>
          <w:i w:val="0"/>
          <w:caps w:val="0"/>
          <w:color w:val="1E1E1E"/>
          <w:spacing w:val="0"/>
          <w:kern w:val="0"/>
          <w:sz w:val="32"/>
          <w:szCs w:val="32"/>
          <w:shd w:val="clear" w:color="auto" w:fill="FFFFFF"/>
          <w:lang w:val="en-US" w:eastAsia="zh-CN" w:bidi="ar"/>
        </w:rPr>
        <w:t>项目产出及实现的社会效益：</w:t>
      </w:r>
      <w:r>
        <w:rPr>
          <w:rFonts w:hint="eastAsia" w:ascii="仿宋_GB2312" w:hAnsi="仿宋" w:eastAsia="仿宋_GB2312"/>
          <w:sz w:val="32"/>
          <w:szCs w:val="32"/>
        </w:rPr>
        <w:t>群众满意度较好，</w:t>
      </w:r>
      <w:r>
        <w:rPr>
          <w:rFonts w:hint="eastAsia" w:ascii="仿宋" w:hAnsi="仿宋" w:eastAsia="仿宋" w:cs="仿宋"/>
          <w:sz w:val="32"/>
          <w:szCs w:val="32"/>
          <w:lang w:eastAsia="zh-CN"/>
        </w:rPr>
        <w:t>促进</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社会和谐、经济发展</w:t>
      </w:r>
      <w:r>
        <w:rPr>
          <w:rFonts w:hint="eastAsia" w:ascii="仿宋" w:hAnsi="仿宋" w:eastAsia="仿宋" w:cs="仿宋"/>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sz w:val="32"/>
          <w:szCs w:val="32"/>
        </w:rPr>
      </w:pPr>
      <w:r>
        <w:rPr>
          <w:rFonts w:hint="eastAsia" w:ascii="仿宋" w:hAnsi="仿宋" w:eastAsia="仿宋" w:cs="仿宋"/>
          <w:kern w:val="2"/>
          <w:sz w:val="32"/>
          <w:szCs w:val="32"/>
          <w:lang w:val="en-US" w:eastAsia="zh-CN" w:bidi="ar"/>
        </w:rPr>
        <w:t>（四）</w:t>
      </w:r>
      <w:r>
        <w:rPr>
          <w:rFonts w:ascii="仿宋" w:hAnsi="仿宋" w:eastAsia="仿宋" w:cs="仿宋"/>
          <w:kern w:val="2"/>
          <w:sz w:val="32"/>
          <w:szCs w:val="32"/>
          <w:lang w:val="en-US" w:eastAsia="zh-CN" w:bidi="ar"/>
        </w:rPr>
        <w:t>可持续性分析</w:t>
      </w:r>
      <w:r>
        <w:rPr>
          <w:rFonts w:hint="eastAsia" w:ascii="仿宋" w:hAnsi="仿宋" w:eastAsia="仿宋" w:cs="仿宋"/>
          <w:kern w:val="2"/>
          <w:sz w:val="32"/>
          <w:szCs w:val="32"/>
          <w:lang w:val="en-US" w:eastAsia="zh-CN" w:bidi="ar"/>
        </w:rPr>
        <w:t>：</w:t>
      </w:r>
      <w:r>
        <w:rPr>
          <w:rFonts w:hint="eastAsia" w:ascii="仿宋" w:hAnsi="仿宋" w:eastAsia="仿宋" w:cs="仿宋"/>
          <w:sz w:val="32"/>
          <w:szCs w:val="32"/>
          <w:lang w:val="en-US" w:eastAsia="zh-CN"/>
        </w:rPr>
        <w:t>本单位</w:t>
      </w:r>
      <w:r>
        <w:rPr>
          <w:rFonts w:hint="eastAsia" w:ascii="仿宋" w:hAnsi="仿宋" w:eastAsia="仿宋" w:cs="仿宋"/>
          <w:b w:val="0"/>
          <w:bCs w:val="0"/>
          <w:color w:val="auto"/>
          <w:sz w:val="32"/>
          <w:szCs w:val="32"/>
          <w:lang w:eastAsia="zh-CN"/>
        </w:rPr>
        <w:t>厉行节约，确保各项支出落地有声，可持续推进。</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sz w:val="32"/>
          <w:szCs w:val="32"/>
        </w:rPr>
      </w:pPr>
      <w:r>
        <w:rPr>
          <w:rFonts w:hint="eastAsia" w:ascii="仿宋" w:hAnsi="仿宋" w:eastAsia="仿宋" w:cs="仿宋"/>
          <w:i w:val="0"/>
          <w:caps w:val="0"/>
          <w:color w:val="1E1E1E"/>
          <w:spacing w:val="0"/>
          <w:kern w:val="0"/>
          <w:sz w:val="32"/>
          <w:szCs w:val="32"/>
          <w:shd w:val="clear" w:color="auto" w:fill="FFFFFF"/>
          <w:lang w:val="en-US" w:eastAsia="zh-CN" w:bidi="ar"/>
        </w:rPr>
        <w:t>（五）社会公众满意度：</w:t>
      </w:r>
      <w:r>
        <w:rPr>
          <w:rFonts w:hint="eastAsia" w:ascii="仿宋" w:hAnsi="仿宋" w:eastAsia="仿宋"/>
          <w:sz w:val="32"/>
          <w:szCs w:val="32"/>
        </w:rPr>
        <w:t>群众</w:t>
      </w:r>
      <w:r>
        <w:rPr>
          <w:rFonts w:hint="eastAsia" w:ascii="仿宋" w:hAnsi="仿宋" w:eastAsia="仿宋"/>
          <w:sz w:val="32"/>
          <w:szCs w:val="32"/>
          <w:lang w:eastAsia="zh-CN"/>
        </w:rPr>
        <w:t>和服务对象</w:t>
      </w:r>
      <w:r>
        <w:rPr>
          <w:rFonts w:hint="eastAsia" w:ascii="仿宋" w:hAnsi="仿宋" w:eastAsia="仿宋"/>
          <w:sz w:val="32"/>
          <w:szCs w:val="32"/>
        </w:rPr>
        <w:t>满意度达</w:t>
      </w:r>
      <w:r>
        <w:rPr>
          <w:rFonts w:hint="eastAsia" w:ascii="仿宋" w:hAnsi="仿宋" w:eastAsia="仿宋"/>
          <w:sz w:val="32"/>
          <w:szCs w:val="32"/>
          <w:lang w:val="en-US" w:eastAsia="zh-CN"/>
        </w:rPr>
        <w:t>98</w:t>
      </w:r>
      <w:r>
        <w:rPr>
          <w:rFonts w:hint="eastAsia" w:ascii="仿宋" w:hAnsi="仿宋" w:eastAsia="仿宋"/>
          <w:sz w:val="32"/>
          <w:szCs w:val="32"/>
        </w:rPr>
        <w:t>%以上</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cs="仿宋"/>
          <w:b w:val="0"/>
          <w:bCs w:val="0"/>
          <w:i w:val="0"/>
          <w:caps w:val="0"/>
          <w:color w:val="1E1E1E"/>
          <w:spacing w:val="0"/>
          <w:kern w:val="0"/>
          <w:sz w:val="32"/>
          <w:szCs w:val="32"/>
          <w:shd w:val="clear" w:color="auto" w:fill="FFFFFF"/>
          <w:lang w:val="en-US" w:eastAsia="zh-CN" w:bidi="ar"/>
        </w:rPr>
      </w:pPr>
      <w:r>
        <w:rPr>
          <w:rFonts w:hint="eastAsia" w:ascii="仿宋" w:hAnsi="仿宋" w:eastAsia="仿宋"/>
          <w:b w:val="0"/>
          <w:bCs w:val="0"/>
          <w:sz w:val="32"/>
          <w:szCs w:val="32"/>
          <w:lang w:val="en-US" w:eastAsia="zh-CN"/>
        </w:rPr>
        <w:t>（六）</w:t>
      </w:r>
      <w:r>
        <w:rPr>
          <w:rFonts w:hint="eastAsia" w:ascii="仿宋" w:hAnsi="仿宋" w:eastAsia="仿宋"/>
          <w:b w:val="0"/>
          <w:bCs w:val="0"/>
          <w:sz w:val="32"/>
          <w:szCs w:val="32"/>
        </w:rPr>
        <w:t>部门整体绩效</w:t>
      </w:r>
      <w:r>
        <w:rPr>
          <w:rFonts w:hint="eastAsia" w:ascii="仿宋" w:hAnsi="仿宋" w:eastAsia="仿宋"/>
          <w:b w:val="0"/>
          <w:bCs w:val="0"/>
          <w:sz w:val="32"/>
          <w:szCs w:val="32"/>
          <w:lang w:eastAsia="zh-CN"/>
        </w:rPr>
        <w:t>自评</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lang w:eastAsia="zh-CN"/>
        </w:rPr>
        <w:t>自评为</w:t>
      </w:r>
      <w:r>
        <w:rPr>
          <w:rFonts w:hint="eastAsia" w:ascii="仿宋" w:hAnsi="仿宋" w:eastAsia="仿宋"/>
          <w:b w:val="0"/>
          <w:bCs w:val="0"/>
          <w:sz w:val="32"/>
          <w:szCs w:val="32"/>
          <w:lang w:val="en-US" w:eastAsia="zh-CN"/>
        </w:rPr>
        <w:t>98分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eastAsia" w:ascii="黑体" w:hAnsi="宋体" w:eastAsia="黑体" w:cs="黑体"/>
          <w:i w:val="0"/>
          <w:caps w:val="0"/>
          <w:color w:val="1E1E1E"/>
          <w:spacing w:val="0"/>
          <w:kern w:val="0"/>
          <w:sz w:val="32"/>
          <w:szCs w:val="32"/>
          <w:lang w:val="en-US" w:eastAsia="zh-CN" w:bidi="ar"/>
        </w:rPr>
      </w:pPr>
      <w:r>
        <w:rPr>
          <w:rFonts w:hint="eastAsia" w:ascii="黑体" w:hAnsi="宋体" w:eastAsia="黑体" w:cs="黑体"/>
          <w:i w:val="0"/>
          <w:caps w:val="0"/>
          <w:color w:val="1E1E1E"/>
          <w:spacing w:val="0"/>
          <w:kern w:val="0"/>
          <w:sz w:val="32"/>
          <w:szCs w:val="32"/>
          <w:lang w:val="en-US" w:eastAsia="zh-CN" w:bidi="ar"/>
        </w:rPr>
        <w:t>五、存在的问题</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cs="仿宋"/>
          <w:i w:val="0"/>
          <w:caps w:val="0"/>
          <w:color w:val="1E1E1E"/>
          <w:spacing w:val="0"/>
          <w:kern w:val="0"/>
          <w:sz w:val="32"/>
          <w:szCs w:val="32"/>
          <w:shd w:val="clear" w:color="auto" w:fill="FFFFFF"/>
          <w:lang w:val="en-US" w:eastAsia="zh-CN" w:bidi="ar"/>
        </w:rPr>
      </w:pPr>
      <w:r>
        <w:rPr>
          <w:rFonts w:hint="eastAsia" w:ascii="仿宋" w:hAnsi="仿宋" w:eastAsia="仿宋" w:cs="仿宋"/>
          <w:i w:val="0"/>
          <w:caps w:val="0"/>
          <w:color w:val="1E1E1E"/>
          <w:spacing w:val="0"/>
          <w:kern w:val="0"/>
          <w:sz w:val="32"/>
          <w:szCs w:val="32"/>
          <w:lang w:val="en-US" w:eastAsia="zh-CN" w:bidi="ar"/>
        </w:rPr>
        <w:t>预算管理方面，制度执行总体较为有效，仍需进一步加强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eastAsia" w:ascii="黑体" w:hAnsi="宋体" w:eastAsia="黑体" w:cs="黑体"/>
          <w:i w:val="0"/>
          <w:caps w:val="0"/>
          <w:color w:val="1E1E1E"/>
          <w:spacing w:val="0"/>
          <w:kern w:val="0"/>
          <w:sz w:val="32"/>
          <w:szCs w:val="32"/>
          <w:lang w:val="en-US" w:eastAsia="zh-CN" w:bidi="ar"/>
        </w:rPr>
      </w:pPr>
      <w:r>
        <w:rPr>
          <w:rFonts w:hint="eastAsia" w:ascii="黑体" w:hAnsi="宋体" w:eastAsia="黑体" w:cs="黑体"/>
          <w:i w:val="0"/>
          <w:caps w:val="0"/>
          <w:color w:val="1E1E1E"/>
          <w:spacing w:val="0"/>
          <w:kern w:val="0"/>
          <w:sz w:val="32"/>
          <w:szCs w:val="32"/>
          <w:lang w:val="en-US" w:eastAsia="zh-CN" w:bidi="ar"/>
        </w:rPr>
        <w:t>六、改进意见及建议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_GB2312" w:hAnsi="微软雅黑" w:eastAsia="仿宋_GB2312" w:cs="仿宋_GB2312"/>
          <w:i w:val="0"/>
          <w:caps w:val="0"/>
          <w:color w:val="1E1E1E"/>
          <w:spacing w:val="0"/>
          <w:kern w:val="0"/>
          <w:sz w:val="32"/>
          <w:szCs w:val="32"/>
          <w:lang w:val="en-US" w:eastAsia="zh-CN" w:bidi="ar"/>
        </w:rPr>
      </w:pPr>
      <w:r>
        <w:rPr>
          <w:rFonts w:hint="eastAsia" w:ascii="仿宋_GB2312" w:hAnsi="微软雅黑" w:eastAsia="仿宋_GB2312" w:cs="仿宋_GB2312"/>
          <w:i w:val="0"/>
          <w:caps w:val="0"/>
          <w:color w:val="1E1E1E"/>
          <w:spacing w:val="0"/>
          <w:kern w:val="0"/>
          <w:sz w:val="32"/>
          <w:szCs w:val="32"/>
          <w:lang w:val="en-US" w:eastAsia="zh-CN" w:bidi="ar"/>
        </w:rPr>
        <w:t>进一步加强财政预算绩效管理，严格按照部门预算要求，牢固树立“成本效益”观念，进一步加强预算管理，规范预算执行，不断优化预算支出结构，提高资金使用效益。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jc w:val="left"/>
        <w:rPr>
          <w:rFonts w:hint="eastAsia" w:ascii="黑体" w:hAnsi="宋体" w:eastAsia="黑体" w:cs="黑体"/>
          <w:i w:val="0"/>
          <w:caps w:val="0"/>
          <w:color w:val="1E1E1E"/>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540" w:right="0" w:hanging="540"/>
        <w:jc w:val="center"/>
        <w:rPr>
          <w:rFonts w:hint="eastAsia" w:ascii="微软雅黑" w:hAnsi="微软雅黑" w:eastAsia="微软雅黑" w:cs="微软雅黑"/>
          <w:i w:val="0"/>
          <w:caps w:val="0"/>
          <w:color w:val="1E1E1E"/>
          <w:spacing w:val="0"/>
          <w:sz w:val="22"/>
          <w:szCs w:val="22"/>
        </w:rPr>
      </w:pPr>
      <w:r>
        <w:rPr>
          <w:rFonts w:hint="eastAsia" w:ascii="Times New Roman" w:hAnsi="Times New Roman" w:eastAsia="微软雅黑" w:cs="Times New Roman"/>
          <w:i w:val="0"/>
          <w:caps w:val="0"/>
          <w:color w:val="1E1E1E"/>
          <w:spacing w:val="0"/>
          <w:kern w:val="0"/>
          <w:sz w:val="36"/>
          <w:szCs w:val="36"/>
          <w:shd w:val="clear" w:fill="FFFFFF"/>
          <w:lang w:val="en-US" w:eastAsia="zh-CN" w:bidi="ar"/>
        </w:rPr>
        <w:t>2020</w:t>
      </w:r>
      <w:r>
        <w:rPr>
          <w:rFonts w:ascii="方正小标宋_GBK" w:hAnsi="方正小标宋_GBK" w:eastAsia="方正小标宋_GBK" w:cs="方正小标宋_GBK"/>
          <w:i w:val="0"/>
          <w:caps w:val="0"/>
          <w:color w:val="1E1E1E"/>
          <w:spacing w:val="0"/>
          <w:kern w:val="0"/>
          <w:sz w:val="36"/>
          <w:szCs w:val="36"/>
          <w:shd w:val="clear" w:fill="FFFFFF"/>
          <w:lang w:val="en-US" w:eastAsia="zh-CN" w:bidi="ar"/>
        </w:rPr>
        <w:t>年度部门整体支出</w:t>
      </w:r>
      <w:r>
        <w:rPr>
          <w:rFonts w:hint="default" w:ascii="方正小标宋_GBK" w:hAnsi="方正小标宋_GBK" w:eastAsia="方正小标宋_GBK" w:cs="方正小标宋_GBK"/>
          <w:i w:val="0"/>
          <w:caps w:val="0"/>
          <w:color w:val="1E1E1E"/>
          <w:spacing w:val="-8"/>
          <w:kern w:val="0"/>
          <w:sz w:val="36"/>
          <w:szCs w:val="36"/>
          <w:shd w:val="clear" w:fill="FFFFFF"/>
          <w:lang w:val="en-US" w:eastAsia="zh-CN" w:bidi="ar"/>
        </w:rPr>
        <w:t>绩效评价指标评分表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96" w:right="0" w:hanging="396"/>
        <w:jc w:val="left"/>
        <w:rPr>
          <w:rFonts w:hint="eastAsia" w:ascii="微软雅黑" w:hAnsi="微软雅黑" w:eastAsia="微软雅黑" w:cs="微软雅黑"/>
          <w:i w:val="0"/>
          <w:caps w:val="0"/>
          <w:color w:val="1E1E1E"/>
          <w:spacing w:val="0"/>
          <w:sz w:val="22"/>
          <w:szCs w:val="22"/>
        </w:rPr>
      </w:pPr>
      <w:r>
        <w:rPr>
          <w:rFonts w:ascii="楷体_GB2312" w:hAnsi="微软雅黑" w:eastAsia="楷体_GB2312" w:cs="楷体_GB2312"/>
          <w:i w:val="0"/>
          <w:caps w:val="0"/>
          <w:color w:val="1E1E1E"/>
          <w:spacing w:val="-8"/>
          <w:kern w:val="0"/>
          <w:sz w:val="28"/>
          <w:szCs w:val="28"/>
          <w:shd w:val="clear" w:fill="FFFFFF"/>
          <w:lang w:val="en-US" w:eastAsia="zh-CN" w:bidi="ar"/>
        </w:rPr>
        <w:t>填报单位（盖章）：</w:t>
      </w:r>
    </w:p>
    <w:tbl>
      <w:tblPr>
        <w:tblStyle w:val="8"/>
        <w:tblW w:w="0" w:type="auto"/>
        <w:jc w:val="center"/>
        <w:shd w:val="clear" w:color="auto" w:fill="auto"/>
        <w:tblLayout w:type="autofit"/>
        <w:tblCellMar>
          <w:top w:w="0" w:type="dxa"/>
          <w:left w:w="0" w:type="dxa"/>
          <w:bottom w:w="0" w:type="dxa"/>
          <w:right w:w="0" w:type="dxa"/>
        </w:tblCellMar>
      </w:tblPr>
      <w:tblGrid>
        <w:gridCol w:w="491"/>
        <w:gridCol w:w="556"/>
        <w:gridCol w:w="845"/>
        <w:gridCol w:w="2894"/>
        <w:gridCol w:w="2921"/>
        <w:gridCol w:w="619"/>
      </w:tblGrid>
      <w:tr>
        <w:tblPrEx>
          <w:shd w:val="clear" w:color="auto" w:fill="auto"/>
          <w:tblCellMar>
            <w:top w:w="0" w:type="dxa"/>
            <w:left w:w="0" w:type="dxa"/>
            <w:bottom w:w="0" w:type="dxa"/>
            <w:right w:w="0" w:type="dxa"/>
          </w:tblCellMar>
        </w:tblPrEx>
        <w:trPr>
          <w:trHeight w:val="644" w:hRule="atLeast"/>
          <w:jc w:val="center"/>
        </w:trPr>
        <w:tc>
          <w:tcPr>
            <w:tcW w:w="491"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一级</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指标</w:t>
            </w:r>
          </w:p>
        </w:tc>
        <w:tc>
          <w:tcPr>
            <w:tcW w:w="556"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二级指标</w:t>
            </w:r>
          </w:p>
        </w:tc>
        <w:tc>
          <w:tcPr>
            <w:tcW w:w="845"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三级指标</w:t>
            </w:r>
          </w:p>
        </w:tc>
        <w:tc>
          <w:tcPr>
            <w:tcW w:w="2894"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指标解释</w:t>
            </w:r>
          </w:p>
        </w:tc>
        <w:tc>
          <w:tcPr>
            <w:tcW w:w="2921"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指标说明</w:t>
            </w:r>
          </w:p>
        </w:tc>
        <w:tc>
          <w:tcPr>
            <w:tcW w:w="619"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自评分</w:t>
            </w:r>
          </w:p>
        </w:tc>
      </w:tr>
      <w:tr>
        <w:tblPrEx>
          <w:shd w:val="clear" w:color="auto" w:fill="auto"/>
          <w:tblCellMar>
            <w:top w:w="0" w:type="dxa"/>
            <w:left w:w="0" w:type="dxa"/>
            <w:bottom w:w="0" w:type="dxa"/>
            <w:right w:w="0" w:type="dxa"/>
          </w:tblCellMar>
        </w:tblPrEx>
        <w:trPr>
          <w:trHeight w:val="1006"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投入(20分)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目标</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设定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绩效目标合理性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部门所设立的整体绩效目标依据是否充分，是否符合客观实际，用以反映和考核部门整体绩效目标与部门履职、年度工作任务的相符性情况。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①符合国家法律法规、国民经济和社会发展总体规划计1分；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②符合部门“三定”方案确定的职责计0.5分；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③是否符合部门制定的中长期实施规划计0.5分。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09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绩效指标明确性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部门依据整体绩效目标所设定的绩效指标是否清晰、细化、可衡量，用以反映和考核部门整体绩效目标的明细化情况。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①将部门整体的绩效目标细化分解为具体的工作任务计1分；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②通过清晰、可衡量的指标值予以体现计0.5分；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③与部门年度的任务数或计划数相对应计0.5分；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④与本年度部门预算资金相匹配计1分。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1231"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配置（15分）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在职人员控制率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部门本年度实际在职人员数与编制数的比率，用以反映和考核部门对人员成本的控制程度。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1238"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“三公经费”变动率（5分）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部门本年度“三公经费”预算数与上年度“三公经费”预算数的变动比率，用以反映和考核部门对控制重点行政成本的努力程度。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55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重点支出安排率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部门本年度预算安排的重点项目支出与部门项目总支出的比率，用以反映和考核部门对履行主要职责或完成重点任务的保障程度。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976"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(23分)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完成率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部门本年度预算完成数与预算数的比率，用以反映和考核部门预算完成程度。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预算完成率=（预算完成数/预算数）×100%。完成年初预算计4分，未完成年初预算按比例扣减，预算完成数：部门本年度实际完成的预算数。预算数：财政部门批复的本年度部门预算数。</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150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调整率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部门本年度预算调整数与预算数的比率，用以反映和考核部门预算的调整程度。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77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进度率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部门实际支付进度与既定支付进度的比率，用以反映和考核部门预算执行的及时性和均衡性程度。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231"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结转结余控制率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部门本年度结转结余总额与上年结转结余总额增减比例，用以反映和考核部门对存量资金的实际控制程度。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93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公用经费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部门本年度实际支出的公用经费总额与预算安排的公用经费总额的比率，用以反映和考核部门对机构运转成本的实际控制程度。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公用经费控制率=（实际支出公用经费总额/预算安排公用经费总额）×100%。为100%的计4分，每超过1个百分点扣0.1分，扣完为止。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87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“三公经费”控制率（3分）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部门本年度“三公经费”实际支出数与预算安排数的比率，用以反映和考核部门对“三公经费”的实际控制程度。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“三公经费”控制率=（“三公经费”实际支出数/“三公经费”预算安排数）×100%。为100%的计3分，每超过1个百分点扣0.5分，扣完为止。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1283"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政府采购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执行率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部门本年度实际政府采购金额与年初政府采购预算的比率，用以反映和考核部门政府采购预算执行情况。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952"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(12分)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健全性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部门为加强预算管理、规范财务行为而制定的管理制度是否健全完整，用以反映和考核部门预算管理制度对完成主要职责或促进事业发展的保障情况。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已制定或具有预算资金管理办法、内部财务管理制度、会计核算制度等管理制度计1分；相关管理制度合法、合规、完整计0.5分；相关管理制度得到有效执行计0.5分。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605"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资金使用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合规性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部门使用预算资金是否符合相关的预算财务管理制度的规定，用以反映和考核部门预算资金的规范运行情况。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①符合国家财经法规和财务管理制度规定以及有关专项资金管理办法的规定计1分；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②资金的拨付有完整的审批程序和手续计1分；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③项目的重大开支经过评估论证计1分；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④符合部门预算批复的用途计1分；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⑤不存在截留、挤占、挪用、虚列支出等情况计1分。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2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预决算信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息公开性（2分）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部门是否按照政府信息公开有关规定公开相关预决算信息，用以反映和考核部门预决算管理的公开透明情况。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①按规定内容公开预决算信息计1分；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②按规定时限公开预决算信息计1分。预决算信息是指与部门预算、执行、决算、监督、绩效等管理相关的信息。</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93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基础信息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完善性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部门基础信息是否完善，用以反映和考核基础信息对预算管理工作的支撑情况。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①基础数据信息和会计信息资料真实计1分；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②基础数据信息和会计信息资料完整计1分；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③基础数据信息和会计信息资料准确计1分。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968"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资产</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健全性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部门为加强资产管理、规范资产管理行为而制定的管理制度是否健全完整，用以反映和考核部门资产管理制度对完成主要职责或促进社会发展的保障情况。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①制定或具有资产管理制度计1分；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②相关资金管理制度合法、合规、完整计0.5分；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③相关资产管理制度得到有效执行计0.5分。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56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资产管理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安全性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部门的资产是否保存完整、使用合规、配置合理、处置规范、收入及时足额上缴，用以反映和考核部门资产安全运行情况。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①资产保存完整计0.4分；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②资产配置合理计0.4分；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③资产处置规范计0.4分；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④资产账务管理合规、帐实相符计0.4分；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⑤资产有偿使用及处置收入及时足额上缴计0.4分。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0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固定资产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利用率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部门实际在用固定资产总额与所有固定资产总额的比率，用以反映和考核部门固定资产使用效率程度。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固定资产利用率=（实际在用固定资产总额/所有固定资产总额）×100%。利用率为100%的计1分，每降1个百分点扣0.1分，扣完为止。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1</w:t>
            </w:r>
          </w:p>
        </w:tc>
      </w:tr>
      <w:tr>
        <w:tblPrEx>
          <w:shd w:val="clear" w:color="auto" w:fill="auto"/>
          <w:tblCellMar>
            <w:top w:w="0" w:type="dxa"/>
            <w:left w:w="0" w:type="dxa"/>
            <w:bottom w:w="0" w:type="dxa"/>
            <w:right w:w="0" w:type="dxa"/>
          </w:tblCellMar>
        </w:tblPrEx>
        <w:trPr>
          <w:trHeight w:val="894"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产出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职责</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履行</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实际完成率（5分）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部门履行职责而实际完成工作数与计划工作数的比率，用以反映和考核部门履职工作任务目标的实现程度。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实际完成率得分=完成县委县政府绩效考核得分或上级主管部门考核指标得分/指标分值*5分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86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完成及时率（4分）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部门在规定时限内及时完成的实际工作数与计划工作数的比率,用以反映和考核部门履职时效目标的实现程度。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pPr>
            <w:r>
              <w:rPr>
                <w:rFonts w:hint="eastAsia" w:ascii="宋体" w:hAnsi="宋体" w:eastAsia="宋体" w:cs="宋体"/>
                <w:color w:val="000000"/>
                <w:kern w:val="0"/>
                <w:sz w:val="21"/>
                <w:szCs w:val="21"/>
                <w:lang w:val="en-US" w:eastAsia="zh-CN" w:bidi="ar"/>
              </w:rPr>
              <w:t>完成及时率=（及时完成实际工作数/计划工作数）×100%。1-4季度各得1分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80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质量达标率（5分）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达到质量标准（绩效标准值）的实际工作数与计划工作数的比率,用以反映和考核部门履职质量目标的实现程度。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质量达标率=（质量达标实际工作数/计划工作数）×100%。实际得分=达标率*5分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0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重点工作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办结率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（6分）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部门年度重点工作实际完成数与交办或下达数的比率，用以反映部门对重点工作的办理落实程度。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重点工作办结率=（重点工作实际完成数/交办或下达数）×100%。实际得分=办结率*6分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6</w:t>
            </w:r>
          </w:p>
        </w:tc>
      </w:tr>
      <w:tr>
        <w:tblPrEx>
          <w:shd w:val="clear" w:color="auto" w:fill="auto"/>
          <w:tblCellMar>
            <w:top w:w="0" w:type="dxa"/>
            <w:left w:w="0" w:type="dxa"/>
            <w:bottom w:w="0" w:type="dxa"/>
            <w:right w:w="0" w:type="dxa"/>
          </w:tblCellMar>
        </w:tblPrEx>
        <w:trPr>
          <w:trHeight w:val="644"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效果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履职</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效益(20分)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经济效益（5分）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部门履行职责对经济发展所带来的直接或间接影响。</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按经济效益实现程度计算得分（5分）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64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社会效益（5分）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部门履行职责对社会发展所带来的直接或间接影响。</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pPr>
            <w:r>
              <w:rPr>
                <w:rFonts w:hint="eastAsia" w:ascii="宋体" w:hAnsi="宋体" w:eastAsia="宋体" w:cs="宋体"/>
                <w:color w:val="000000"/>
                <w:kern w:val="0"/>
                <w:sz w:val="21"/>
                <w:szCs w:val="21"/>
                <w:lang w:val="en-US" w:eastAsia="zh-CN" w:bidi="ar"/>
              </w:rPr>
              <w:t>按社会效益实现程度计算得分（5分）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64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行政效能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促进部门改进文风会风，加强经费及资产管理，推动网上办事，提高行政效率。</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降低行政成本效果较好的计6分；一般3分；无效果或者效果不明显0分。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2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社会公众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或服务对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象满意度（5分）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社会公众或部门的服务对象对部门履职效果的满意程度。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kern w:val="0"/>
                <w:sz w:val="18"/>
                <w:szCs w:val="18"/>
                <w:lang w:val="en-US" w:eastAsia="zh-CN" w:bidi="ar"/>
              </w:rPr>
              <w:t>90%</w:t>
            </w:r>
            <w:r>
              <w:rPr>
                <w:rFonts w:hint="eastAsia" w:ascii="宋体" w:hAnsi="宋体" w:eastAsia="宋体" w:cs="宋体"/>
                <w:color w:val="000000"/>
                <w:kern w:val="0"/>
                <w:sz w:val="21"/>
                <w:szCs w:val="21"/>
                <w:lang w:val="en-US" w:eastAsia="zh-CN" w:bidi="ar"/>
              </w:rPr>
              <w:t>（含）以上计5分；80%（含）-90%，计4分；70%（含）-80%，计3分；60%（含）-70%，计2分；低于60%计0分。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tblCellMar>
            <w:top w:w="0" w:type="dxa"/>
            <w:left w:w="0" w:type="dxa"/>
            <w:bottom w:w="0" w:type="dxa"/>
            <w:right w:w="0" w:type="dxa"/>
          </w:tblCellMar>
        </w:tblPrEx>
        <w:trPr>
          <w:trHeight w:val="608" w:hRule="atLeast"/>
          <w:jc w:val="center"/>
        </w:trPr>
        <w:tc>
          <w:tcPr>
            <w:tcW w:w="491" w:type="dxa"/>
            <w:tcBorders>
              <w:top w:val="nil"/>
              <w:left w:val="single" w:color="auto" w:sz="8" w:space="0"/>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总分</w:t>
            </w:r>
          </w:p>
        </w:tc>
        <w:tc>
          <w:tcPr>
            <w:tcW w:w="556" w:type="dxa"/>
            <w:tcBorders>
              <w:top w:val="nil"/>
              <w:left w:val="nil"/>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100</w:t>
            </w:r>
          </w:p>
        </w:tc>
        <w:tc>
          <w:tcPr>
            <w:tcW w:w="845"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100　</w:t>
            </w:r>
          </w:p>
        </w:tc>
        <w:tc>
          <w:tcPr>
            <w:tcW w:w="2894"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2921"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619" w:type="dxa"/>
            <w:tcBorders>
              <w:top w:val="nil"/>
              <w:left w:val="nil"/>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lang w:val="en-US"/>
              </w:rPr>
            </w:pPr>
            <w:r>
              <w:rPr>
                <w:rFonts w:hint="eastAsia" w:ascii="宋体" w:hAnsi="宋体" w:eastAsia="宋体" w:cs="宋体"/>
                <w:kern w:val="0"/>
                <w:sz w:val="24"/>
                <w:szCs w:val="24"/>
                <w:lang w:val="en-US" w:eastAsia="zh-CN" w:bidi="ar"/>
              </w:rPr>
              <w:t>98</w:t>
            </w:r>
          </w:p>
        </w:tc>
      </w:tr>
      <w:tr>
        <w:tblPrEx>
          <w:tblCellMar>
            <w:top w:w="0" w:type="dxa"/>
            <w:left w:w="0" w:type="dxa"/>
            <w:bottom w:w="0" w:type="dxa"/>
            <w:right w:w="0" w:type="dxa"/>
          </w:tblCellMar>
        </w:tblPrEx>
        <w:trPr>
          <w:trHeight w:val="608" w:hRule="atLeast"/>
          <w:jc w:val="center"/>
        </w:trPr>
        <w:tc>
          <w:tcPr>
            <w:tcW w:w="491" w:type="dxa"/>
            <w:tcBorders>
              <w:top w:val="nil"/>
              <w:left w:val="single" w:color="auto" w:sz="8" w:space="0"/>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color w:val="000000"/>
                <w:kern w:val="0"/>
                <w:sz w:val="21"/>
                <w:szCs w:val="21"/>
                <w:lang w:val="en-US" w:eastAsia="zh-CN" w:bidi="ar"/>
              </w:rPr>
              <w:t> </w:t>
            </w:r>
          </w:p>
        </w:tc>
        <w:tc>
          <w:tcPr>
            <w:tcW w:w="556"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 </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 </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lang w:val="en-US"/>
              </w:rPr>
            </w:pPr>
            <w:r>
              <w:rPr>
                <w:rFonts w:hint="default" w:ascii="Times New Roman" w:hAnsi="Times New Roman" w:cs="Times New Roman"/>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1E1E1E"/>
          <w:spacing w:val="0"/>
          <w:sz w:val="22"/>
          <w:szCs w:val="22"/>
        </w:rPr>
      </w:pPr>
      <w:r>
        <w:rPr>
          <w:rFonts w:hint="eastAsia" w:ascii="仿宋" w:hAnsi="仿宋" w:eastAsia="仿宋" w:cs="仿宋"/>
          <w:i w:val="0"/>
          <w:caps w:val="0"/>
          <w:color w:val="1E1E1E"/>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7011A"/>
    <w:multiLevelType w:val="singleLevel"/>
    <w:tmpl w:val="A4F7011A"/>
    <w:lvl w:ilvl="0" w:tentative="0">
      <w:start w:val="4"/>
      <w:numFmt w:val="chineseCounting"/>
      <w:suff w:val="nothing"/>
      <w:lvlText w:val="%1、"/>
      <w:lvlJc w:val="left"/>
      <w:pPr>
        <w:ind w:left="410"/>
      </w:pPr>
      <w:rPr>
        <w:rFonts w:hint="eastAsia"/>
      </w:rPr>
    </w:lvl>
  </w:abstractNum>
  <w:abstractNum w:abstractNumId="1">
    <w:nsid w:val="EA64E57D"/>
    <w:multiLevelType w:val="singleLevel"/>
    <w:tmpl w:val="EA64E57D"/>
    <w:lvl w:ilvl="0" w:tentative="0">
      <w:start w:val="2"/>
      <w:numFmt w:val="chineseCounting"/>
      <w:suff w:val="nothing"/>
      <w:lvlText w:val="（%1）"/>
      <w:lvlJc w:val="left"/>
      <w:rPr>
        <w:rFonts w:hint="eastAsia"/>
      </w:rPr>
    </w:lvl>
  </w:abstractNum>
  <w:abstractNum w:abstractNumId="2">
    <w:nsid w:val="07C74E2F"/>
    <w:multiLevelType w:val="singleLevel"/>
    <w:tmpl w:val="07C74E2F"/>
    <w:lvl w:ilvl="0" w:tentative="0">
      <w:start w:val="2"/>
      <w:numFmt w:val="decimal"/>
      <w:lvlText w:val="%1."/>
      <w:lvlJc w:val="left"/>
      <w:pPr>
        <w:tabs>
          <w:tab w:val="left" w:pos="312"/>
        </w:tabs>
      </w:pPr>
    </w:lvl>
  </w:abstractNum>
  <w:abstractNum w:abstractNumId="3">
    <w:nsid w:val="54B227E3"/>
    <w:multiLevelType w:val="singleLevel"/>
    <w:tmpl w:val="54B227E3"/>
    <w:lvl w:ilvl="0" w:tentative="0">
      <w:start w:val="2"/>
      <w:numFmt w:val="decimal"/>
      <w:suff w:val="nothing"/>
      <w:lvlText w:val="%1、"/>
      <w:lvlJc w:val="left"/>
    </w:lvl>
  </w:abstractNum>
  <w:abstractNum w:abstractNumId="4">
    <w:nsid w:val="6952C381"/>
    <w:multiLevelType w:val="singleLevel"/>
    <w:tmpl w:val="6952C381"/>
    <w:lvl w:ilvl="0" w:tentative="0">
      <w:start w:val="1"/>
      <w:numFmt w:val="decimal"/>
      <w:suff w:val="nothing"/>
      <w:lvlText w:val="（%1）"/>
      <w:lvlJc w:val="left"/>
      <w:pPr>
        <w:ind w:left="-246"/>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jI5NGQ3ODg0OTY1NTJhMjQ2MjE4NzQyOGEyYWEifQ=="/>
  </w:docVars>
  <w:rsids>
    <w:rsidRoot w:val="69301BBB"/>
    <w:rsid w:val="010E15B5"/>
    <w:rsid w:val="014B7907"/>
    <w:rsid w:val="016916DA"/>
    <w:rsid w:val="01965395"/>
    <w:rsid w:val="027343D2"/>
    <w:rsid w:val="028F0186"/>
    <w:rsid w:val="0294559D"/>
    <w:rsid w:val="02DA6F1A"/>
    <w:rsid w:val="03502F8B"/>
    <w:rsid w:val="035D3DDF"/>
    <w:rsid w:val="04456DAF"/>
    <w:rsid w:val="04CB0B19"/>
    <w:rsid w:val="07F54613"/>
    <w:rsid w:val="080723D4"/>
    <w:rsid w:val="0952622D"/>
    <w:rsid w:val="0A190F18"/>
    <w:rsid w:val="0ADE3F47"/>
    <w:rsid w:val="0AE228FA"/>
    <w:rsid w:val="0C8E5292"/>
    <w:rsid w:val="0D0F1463"/>
    <w:rsid w:val="0F172816"/>
    <w:rsid w:val="0F5E6E04"/>
    <w:rsid w:val="109C43F8"/>
    <w:rsid w:val="10B01FE7"/>
    <w:rsid w:val="11501A62"/>
    <w:rsid w:val="116B12B3"/>
    <w:rsid w:val="127A6725"/>
    <w:rsid w:val="12AF7B02"/>
    <w:rsid w:val="13817C65"/>
    <w:rsid w:val="13C315E0"/>
    <w:rsid w:val="13E009C0"/>
    <w:rsid w:val="14A86F1A"/>
    <w:rsid w:val="151462DF"/>
    <w:rsid w:val="16523688"/>
    <w:rsid w:val="170A50E3"/>
    <w:rsid w:val="17654FFD"/>
    <w:rsid w:val="18CD0731"/>
    <w:rsid w:val="19FA2EF6"/>
    <w:rsid w:val="1B131DBE"/>
    <w:rsid w:val="1BB36F58"/>
    <w:rsid w:val="1BBD596A"/>
    <w:rsid w:val="1D3063B2"/>
    <w:rsid w:val="1D781B8B"/>
    <w:rsid w:val="1D8977D2"/>
    <w:rsid w:val="1EAA7D79"/>
    <w:rsid w:val="1F3F6B64"/>
    <w:rsid w:val="1F4B09DF"/>
    <w:rsid w:val="1FC25750"/>
    <w:rsid w:val="205B5BCC"/>
    <w:rsid w:val="2062294A"/>
    <w:rsid w:val="20713240"/>
    <w:rsid w:val="20B35F00"/>
    <w:rsid w:val="20FA4C0C"/>
    <w:rsid w:val="210406CF"/>
    <w:rsid w:val="2205327F"/>
    <w:rsid w:val="228A2AC2"/>
    <w:rsid w:val="23DA2EBA"/>
    <w:rsid w:val="24270401"/>
    <w:rsid w:val="25082D0B"/>
    <w:rsid w:val="25E2728C"/>
    <w:rsid w:val="26110BC8"/>
    <w:rsid w:val="264A6915"/>
    <w:rsid w:val="26B52219"/>
    <w:rsid w:val="26FB1EE5"/>
    <w:rsid w:val="27CB0247"/>
    <w:rsid w:val="27F0081B"/>
    <w:rsid w:val="28101C39"/>
    <w:rsid w:val="28B539A7"/>
    <w:rsid w:val="29A924E3"/>
    <w:rsid w:val="2B221AF6"/>
    <w:rsid w:val="2B41406F"/>
    <w:rsid w:val="2D042188"/>
    <w:rsid w:val="2D1905EE"/>
    <w:rsid w:val="2D522922"/>
    <w:rsid w:val="2E425EF6"/>
    <w:rsid w:val="2E441A36"/>
    <w:rsid w:val="2F2061E5"/>
    <w:rsid w:val="2F8F20BC"/>
    <w:rsid w:val="312F1450"/>
    <w:rsid w:val="3131661F"/>
    <w:rsid w:val="32401D3C"/>
    <w:rsid w:val="327927F5"/>
    <w:rsid w:val="32EB658E"/>
    <w:rsid w:val="34B00C51"/>
    <w:rsid w:val="356E6A14"/>
    <w:rsid w:val="374A48B2"/>
    <w:rsid w:val="378F3FC5"/>
    <w:rsid w:val="385A3FD2"/>
    <w:rsid w:val="38C873E4"/>
    <w:rsid w:val="39292964"/>
    <w:rsid w:val="3A0F1317"/>
    <w:rsid w:val="3B1D43B4"/>
    <w:rsid w:val="3D4175E4"/>
    <w:rsid w:val="3D4B7397"/>
    <w:rsid w:val="3DC71DC4"/>
    <w:rsid w:val="3E792C2D"/>
    <w:rsid w:val="3EB1576A"/>
    <w:rsid w:val="3EC52320"/>
    <w:rsid w:val="3EE71267"/>
    <w:rsid w:val="3F3B6E78"/>
    <w:rsid w:val="3F9E4C84"/>
    <w:rsid w:val="3FBD5C5B"/>
    <w:rsid w:val="3FDB75D3"/>
    <w:rsid w:val="4000737A"/>
    <w:rsid w:val="411A5248"/>
    <w:rsid w:val="413F5A5C"/>
    <w:rsid w:val="418A1911"/>
    <w:rsid w:val="418D393B"/>
    <w:rsid w:val="41AD4756"/>
    <w:rsid w:val="42910E33"/>
    <w:rsid w:val="43033420"/>
    <w:rsid w:val="43C3192E"/>
    <w:rsid w:val="43F276AF"/>
    <w:rsid w:val="44104D95"/>
    <w:rsid w:val="4414035C"/>
    <w:rsid w:val="44C56F7A"/>
    <w:rsid w:val="45CC06A5"/>
    <w:rsid w:val="45F41D4E"/>
    <w:rsid w:val="468316CF"/>
    <w:rsid w:val="46D22BD9"/>
    <w:rsid w:val="47343CAF"/>
    <w:rsid w:val="473E566F"/>
    <w:rsid w:val="48567657"/>
    <w:rsid w:val="48A47902"/>
    <w:rsid w:val="48A967E8"/>
    <w:rsid w:val="49056D22"/>
    <w:rsid w:val="49ED07C8"/>
    <w:rsid w:val="49ED6999"/>
    <w:rsid w:val="4BAD53C2"/>
    <w:rsid w:val="4C347D66"/>
    <w:rsid w:val="4D392520"/>
    <w:rsid w:val="4F113CC3"/>
    <w:rsid w:val="4FA967A9"/>
    <w:rsid w:val="4FBA5C40"/>
    <w:rsid w:val="4FF42C64"/>
    <w:rsid w:val="50A6624C"/>
    <w:rsid w:val="50B75930"/>
    <w:rsid w:val="50D74862"/>
    <w:rsid w:val="515108F9"/>
    <w:rsid w:val="515408D2"/>
    <w:rsid w:val="524870A0"/>
    <w:rsid w:val="52487CCF"/>
    <w:rsid w:val="53203E0C"/>
    <w:rsid w:val="544601EC"/>
    <w:rsid w:val="548D61B0"/>
    <w:rsid w:val="550F2AAA"/>
    <w:rsid w:val="55247FF3"/>
    <w:rsid w:val="55983088"/>
    <w:rsid w:val="55A660D7"/>
    <w:rsid w:val="55EC06A6"/>
    <w:rsid w:val="572C26C0"/>
    <w:rsid w:val="5879177F"/>
    <w:rsid w:val="58953DE1"/>
    <w:rsid w:val="58BD7CC7"/>
    <w:rsid w:val="590D5FB8"/>
    <w:rsid w:val="59345333"/>
    <w:rsid w:val="599415FD"/>
    <w:rsid w:val="5A3E52B8"/>
    <w:rsid w:val="5B59444B"/>
    <w:rsid w:val="5BF9082D"/>
    <w:rsid w:val="5C6D33B7"/>
    <w:rsid w:val="5D1F6A36"/>
    <w:rsid w:val="5D2F04E7"/>
    <w:rsid w:val="5D9B49B4"/>
    <w:rsid w:val="5FA17366"/>
    <w:rsid w:val="604F12F2"/>
    <w:rsid w:val="60B91046"/>
    <w:rsid w:val="655122A0"/>
    <w:rsid w:val="65D97BC7"/>
    <w:rsid w:val="65FA6C8C"/>
    <w:rsid w:val="664F6BBC"/>
    <w:rsid w:val="670656B1"/>
    <w:rsid w:val="67B94FCA"/>
    <w:rsid w:val="67FC532D"/>
    <w:rsid w:val="681B033A"/>
    <w:rsid w:val="69301BBB"/>
    <w:rsid w:val="69467E05"/>
    <w:rsid w:val="6A7D43AB"/>
    <w:rsid w:val="6AAD4D56"/>
    <w:rsid w:val="6AE14AEF"/>
    <w:rsid w:val="6AE34800"/>
    <w:rsid w:val="6B6A6F66"/>
    <w:rsid w:val="6BF02840"/>
    <w:rsid w:val="6C4C7C15"/>
    <w:rsid w:val="6C6504DC"/>
    <w:rsid w:val="6C69517D"/>
    <w:rsid w:val="6D8136ED"/>
    <w:rsid w:val="6DAD2286"/>
    <w:rsid w:val="6E7070E1"/>
    <w:rsid w:val="6EDC6A5F"/>
    <w:rsid w:val="6F43227C"/>
    <w:rsid w:val="6F7D10B9"/>
    <w:rsid w:val="6FD83985"/>
    <w:rsid w:val="70F33043"/>
    <w:rsid w:val="71090FA9"/>
    <w:rsid w:val="71AA3595"/>
    <w:rsid w:val="72957910"/>
    <w:rsid w:val="735E1BC2"/>
    <w:rsid w:val="75BC5467"/>
    <w:rsid w:val="77614B32"/>
    <w:rsid w:val="792E3EB5"/>
    <w:rsid w:val="7A366F8D"/>
    <w:rsid w:val="7BFA6803"/>
    <w:rsid w:val="7C0134A8"/>
    <w:rsid w:val="7C5C4D4D"/>
    <w:rsid w:val="7D456E8E"/>
    <w:rsid w:val="7E2839D5"/>
    <w:rsid w:val="7EC4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7318</Words>
  <Characters>8278</Characters>
  <Lines>0</Lines>
  <Paragraphs>0</Paragraphs>
  <TotalTime>40</TotalTime>
  <ScaleCrop>false</ScaleCrop>
  <LinksUpToDate>false</LinksUpToDate>
  <CharactersWithSpaces>8288</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2020-12-09T09:20:00Z</dcterms:created>
  <dc:creator>周红梅</dc:creator>
  <cp:lastModifiedBy>鲸鱼</cp:lastModifiedBy>
  <cp:lastPrinted>2021-11-04T00:53:00Z</cp:lastPrinted>
  <dcterms:modified xsi:type="dcterms:W3CDTF">2022-08-20T08:48:44Z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3B2F7AC244394BE786B690BA961D8D2D</vt:lpwstr>
  </property>
</Properties>
</file>