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pPr>
      <w:bookmarkStart w:id="0" w:name="_GoBack"/>
      <w:bookmarkEnd w:id="0"/>
      <w:r>
        <w:rPr>
          <w:rFonts w:hint="eastAsia" w:ascii="微软雅黑" w:hAnsi="微软雅黑" w:eastAsia="微软雅黑" w:cs="微软雅黑"/>
          <w:b/>
          <w:i w:val="0"/>
          <w:caps w:val="0"/>
          <w:color w:val="1E1E1E"/>
          <w:spacing w:val="0"/>
          <w:kern w:val="0"/>
          <w:sz w:val="37"/>
          <w:szCs w:val="37"/>
          <w:lang w:val="en-US" w:eastAsia="zh-CN" w:bidi="ar"/>
        </w:rPr>
        <w:t>中共新邵县委办公室2020年度部门整体支出绩效自  评  报  告</w:t>
      </w:r>
      <w:r>
        <w:rPr>
          <w:rFonts w:hint="eastAsia" w:ascii="仿宋" w:hAnsi="仿宋" w:eastAsia="仿宋" w:cs="仿宋"/>
          <w:b/>
          <w:i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157"/>
        <w:jc w:val="left"/>
      </w:pPr>
      <w:r>
        <w:rPr>
          <w:rFonts w:hint="eastAsia" w:ascii="仿宋" w:hAnsi="仿宋" w:eastAsia="仿宋" w:cs="仿宋"/>
          <w:b/>
          <w:i w:val="0"/>
          <w:caps w:val="0"/>
          <w:color w:val="1E1E1E"/>
          <w:spacing w:val="0"/>
          <w:kern w:val="0"/>
          <w:sz w:val="32"/>
          <w:szCs w:val="32"/>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i w:val="0"/>
          <w:caps w:val="0"/>
          <w:color w:val="1E1E1E"/>
          <w:spacing w:val="0"/>
          <w:kern w:val="0"/>
          <w:sz w:val="32"/>
          <w:szCs w:val="32"/>
          <w:lang w:val="en-US" w:eastAsia="zh-CN" w:bidi="ar"/>
        </w:rPr>
        <w:t>（一）部门基本情况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县委办公室内设组室16个，全部纳入2020年部门预算编制范围。内设组室分别是秘书组、县委常委办公室、总值班室、法规室、综合调研室、信息组、党史档案管理组、政工组、机关事务管理组、公务接待办、政策研究室、保密办、机要室、督查室、外事港澳台办、绩效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县委办公室编制人数45人，在职人数45人，离退休人数26人，遗属补助人数5人。</w:t>
      </w:r>
    </w:p>
    <w:p>
      <w:pPr>
        <w:spacing w:line="600" w:lineRule="exact"/>
        <w:ind w:firstLine="643" w:firstLineChars="200"/>
      </w:pPr>
      <w:r>
        <w:rPr>
          <w:rFonts w:hint="eastAsia" w:ascii="仿宋" w:hAnsi="仿宋" w:eastAsia="仿宋" w:cs="仿宋"/>
          <w:b/>
          <w:i w:val="0"/>
          <w:caps w:val="0"/>
          <w:color w:val="1E1E1E"/>
          <w:spacing w:val="0"/>
          <w:kern w:val="0"/>
          <w:sz w:val="32"/>
          <w:szCs w:val="32"/>
          <w:lang w:val="en-US" w:eastAsia="zh-CN" w:bidi="ar"/>
        </w:rPr>
        <w:t>（二）主要工作职责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县委办公室的主要职责是：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（一）负责县委会议的准备和组织协调工作，负责安排县委领导同志公务活动，办理县委领导同志交办的事项。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（二）围绕县委工作部署，对涉及全县经济建设、社会发展、党的自身建设等全局性的重大问题进行调查研究，为县委决策提出建议、预案和依据。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（三）负责县委文件和县委领导同志有关文稿的起草、校核、印发工作，负责文书处理工作。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（四）负责党内法规和规范性文件的审核、备案、清理，服务县委领导地方立法工作，协调县委法律顾问服务相关工作。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（五）研究、审核县委各部门、县直各单位党委（党组）、各乡镇党委向县委的请示、报告，提出处理意见报县委领导同志审批。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（六）负责以县委名义向上级党组织请示报告工作的归口、把关工作，负责统筹、指导、督促全县党组织重大事项报告工作。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（七）负责及时、准确、全面地向县委和上级党委报送各类信息，反映有关动态。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（八）负责中央、国务院、省委、省政府、市委、市政府及县委县政府重大决策、重要工作部署和领导同志重要批示、批件贯彻落实情况的督促检查工作，组织办理政协委员有关提案。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（九）负责县委县政府及各部门年度督查检查考核计划的归口审核和全县性年度督查检查考核计划的统一报批、监督、组织实施。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（十）负责县绩效评估委员会办公室的日常工作，组织、协调、指导全县绩效评估工作。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（十一）负责全县外事、港澳工作的开展规划；负责全县涉外涉港澳活动的组织管理、联络协调，协同有关部门处理涉外涉港澳事件；审核全县因公出国、赴港澳等有关工作。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（十二）负责全县对台经贸、对台交流合作、对台接待、对台宣传教育、对台联络的组织、指导、协调、检查、督促；负责因公赴台审核报批、涉台事件处理等工作。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（十三）负责全县党史研究、档案事业的发展规划、组织协调、监督指导，负责全县党史研究政策法规的落实，负责全县档案法规的宣传教育以及查处档案违法行为。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（十四）负责管理全县公务接待工作；负责全县的重要公务接待活动和县主要领导外出公务活动的联络服务。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（十五）负责县委值班工作，及时向县委领导同志报告重要情况，协助处理县直各单位和各乡镇向县委反映的重要问题。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六）负责全县党政系统机要密码通信和密码管理；承担县委密码工作领导小组日常工作；负责《保密法》贯彻实施，开展保密法执法检查监督；负责全县党委系统信息化建设、应用、服务和管理；负责全县电子政务内网、专用通信网和党委视频会议的规划、建设和管理；负责全县电子文件管理工作，协同做好党政机关电子公文系统安全可靠应用推进、县直单位信息化建设前置审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七）负责研究拟定全县机关事务管理工作的有关政策、规章制度并组织实施；指导全县后勤体制改革工作，会同有关部门推进全县节约型机关建设；负责全县党政机关办公用房的规划、权属、配置、处置等工作；负责全县公务用车的配置、调配、更新、处置以及预算内专项用于解决全县行政事业单位公务用车的经费管理工作；负责县直机关纳入政府集中采购目录采购的组织实施；负责全县大型活动、重要会议预算编制和经费的使用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（十八）负责县委全面深化改革委员会办公室、县委财经委员会办公室、县委外事工作委员会办公室日常工作。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64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（十九）办理县委和县委领导同志交办的其他工作。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b/>
          <w:bCs/>
          <w:i w:val="0"/>
          <w:caps w:val="0"/>
          <w:color w:val="1E1E1E"/>
          <w:spacing w:val="0"/>
          <w:kern w:val="0"/>
          <w:sz w:val="32"/>
          <w:szCs w:val="32"/>
          <w:lang w:val="en-US" w:eastAsia="zh-CN" w:bidi="ar"/>
        </w:rPr>
        <w:t>二、部门整体支出规模、使用方向和内容（</w:t>
      </w:r>
      <w:r>
        <w:rPr>
          <w:rFonts w:hint="eastAsia" w:ascii="仿宋" w:hAnsi="仿宋" w:eastAsia="仿宋" w:cs="仿宋"/>
          <w:b/>
          <w:i w:val="0"/>
          <w:caps w:val="0"/>
          <w:color w:val="1E1E1E"/>
          <w:spacing w:val="0"/>
          <w:kern w:val="0"/>
          <w:sz w:val="32"/>
          <w:szCs w:val="32"/>
          <w:lang w:val="en-US" w:eastAsia="zh-CN" w:bidi="ar"/>
        </w:rPr>
        <w:t>金额：万元）。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caps w:val="0"/>
          <w:color w:val="1E1E1E"/>
          <w:spacing w:val="0"/>
          <w:kern w:val="0"/>
          <w:sz w:val="32"/>
          <w:szCs w:val="32"/>
          <w:lang w:val="en-US" w:eastAsia="zh-CN" w:bidi="ar"/>
        </w:rPr>
        <w:t>（一）年度预算收支情况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caps w:val="0"/>
          <w:color w:val="1E1E1E"/>
          <w:spacing w:val="0"/>
          <w:kern w:val="0"/>
          <w:sz w:val="32"/>
          <w:szCs w:val="32"/>
          <w:lang w:val="en-US" w:eastAsia="zh-CN" w:bidi="ar"/>
        </w:rPr>
        <w:t>1.年初预算收支</w:t>
      </w:r>
    </w:p>
    <w:tbl>
      <w:tblPr>
        <w:tblStyle w:val="8"/>
        <w:tblW w:w="10440" w:type="dxa"/>
        <w:jc w:val="center"/>
        <w:shd w:val="clear" w:color="auto" w:fill="auto"/>
        <w:tblLayout w:type="autofit"/>
        <w:tblCellMar>
          <w:top w:w="0" w:type="dxa"/>
          <w:left w:w="0" w:type="dxa"/>
          <w:bottom w:w="0" w:type="dxa"/>
          <w:right w:w="0" w:type="dxa"/>
        </w:tblCellMar>
      </w:tblPr>
      <w:tblGrid>
        <w:gridCol w:w="2568"/>
        <w:gridCol w:w="2088"/>
        <w:gridCol w:w="1953"/>
        <w:gridCol w:w="1617"/>
        <w:gridCol w:w="2214"/>
      </w:tblGrid>
      <w:tr>
        <w:tblPrEx>
          <w:shd w:val="clear" w:color="auto" w:fill="auto"/>
          <w:tblCellMar>
            <w:top w:w="0" w:type="dxa"/>
            <w:left w:w="0" w:type="dxa"/>
            <w:bottom w:w="0" w:type="dxa"/>
            <w:right w:w="0" w:type="dxa"/>
          </w:tblCellMar>
        </w:tblPrEx>
        <w:trPr>
          <w:trHeight w:val="582" w:hRule="atLeast"/>
          <w:jc w:val="center"/>
        </w:trPr>
        <w:tc>
          <w:tcPr>
            <w:tcW w:w="2568"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预算项目</w:t>
            </w:r>
          </w:p>
        </w:tc>
        <w:tc>
          <w:tcPr>
            <w:tcW w:w="4041"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预算金额</w:t>
            </w:r>
          </w:p>
        </w:tc>
        <w:tc>
          <w:tcPr>
            <w:tcW w:w="3831"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较上年增加金额</w:t>
            </w:r>
          </w:p>
        </w:tc>
      </w:tr>
      <w:tr>
        <w:tblPrEx>
          <w:shd w:val="clear" w:color="auto" w:fill="auto"/>
          <w:tblCellMar>
            <w:top w:w="0" w:type="dxa"/>
            <w:left w:w="0" w:type="dxa"/>
            <w:bottom w:w="0" w:type="dxa"/>
            <w:right w:w="0" w:type="dxa"/>
          </w:tblCellMar>
        </w:tblPrEx>
        <w:trPr>
          <w:trHeight w:val="582" w:hRule="atLeast"/>
          <w:jc w:val="center"/>
        </w:trPr>
        <w:tc>
          <w:tcPr>
            <w:tcW w:w="2568"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rPr>
                <w:rFonts w:hint="eastAsia" w:ascii="宋体"/>
                <w:sz w:val="24"/>
                <w:szCs w:val="24"/>
              </w:rPr>
            </w:pPr>
          </w:p>
        </w:tc>
        <w:tc>
          <w:tcPr>
            <w:tcW w:w="208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2020年</w:t>
            </w:r>
          </w:p>
        </w:tc>
        <w:tc>
          <w:tcPr>
            <w:tcW w:w="1953"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2019年</w:t>
            </w:r>
          </w:p>
        </w:tc>
        <w:tc>
          <w:tcPr>
            <w:tcW w:w="1617"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金额</w:t>
            </w:r>
          </w:p>
        </w:tc>
        <w:tc>
          <w:tcPr>
            <w:tcW w:w="2214"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center"/>
              <w:textAlignment w:val="center"/>
            </w:pPr>
            <w:r>
              <w:rPr>
                <w:rFonts w:hint="eastAsia" w:ascii="仿宋" w:hAnsi="仿宋" w:eastAsia="仿宋" w:cs="仿宋"/>
                <w:b/>
                <w:color w:val="000000"/>
                <w:kern w:val="0"/>
                <w:sz w:val="32"/>
                <w:szCs w:val="32"/>
                <w:lang w:val="en-US" w:eastAsia="zh-CN" w:bidi="ar"/>
              </w:rPr>
              <w:t>比例</w:t>
            </w:r>
          </w:p>
        </w:tc>
      </w:tr>
      <w:tr>
        <w:tblPrEx>
          <w:shd w:val="clear" w:color="auto" w:fill="auto"/>
          <w:tblCellMar>
            <w:top w:w="0" w:type="dxa"/>
            <w:left w:w="0" w:type="dxa"/>
            <w:bottom w:w="0" w:type="dxa"/>
            <w:right w:w="0" w:type="dxa"/>
          </w:tblCellMar>
        </w:tblPrEx>
        <w:trPr>
          <w:trHeight w:val="582" w:hRule="atLeast"/>
          <w:jc w:val="center"/>
        </w:trPr>
        <w:tc>
          <w:tcPr>
            <w:tcW w:w="2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left"/>
            </w:pPr>
            <w:r>
              <w:rPr>
                <w:rFonts w:hint="eastAsia" w:ascii="仿宋" w:hAnsi="仿宋" w:eastAsia="仿宋" w:cs="仿宋"/>
                <w:b/>
                <w:color w:val="010101"/>
                <w:kern w:val="0"/>
                <w:sz w:val="32"/>
                <w:szCs w:val="32"/>
                <w:lang w:val="en-US" w:eastAsia="zh-CN" w:bidi="ar"/>
              </w:rPr>
              <w:t>收入预算</w:t>
            </w:r>
          </w:p>
        </w:tc>
        <w:tc>
          <w:tcPr>
            <w:tcW w:w="20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1605.38</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1285.04</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320.34</w:t>
            </w:r>
          </w:p>
        </w:tc>
        <w:tc>
          <w:tcPr>
            <w:tcW w:w="22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24.93%</w:t>
            </w:r>
          </w:p>
        </w:tc>
      </w:tr>
      <w:tr>
        <w:tblPrEx>
          <w:shd w:val="clear" w:color="auto" w:fill="auto"/>
          <w:tblCellMar>
            <w:top w:w="0" w:type="dxa"/>
            <w:left w:w="0" w:type="dxa"/>
            <w:bottom w:w="0" w:type="dxa"/>
            <w:right w:w="0" w:type="dxa"/>
          </w:tblCellMar>
        </w:tblPrEx>
        <w:trPr>
          <w:trHeight w:val="1145" w:hRule="atLeast"/>
          <w:jc w:val="center"/>
        </w:trPr>
        <w:tc>
          <w:tcPr>
            <w:tcW w:w="2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color w:val="010101"/>
                <w:kern w:val="0"/>
                <w:sz w:val="32"/>
                <w:szCs w:val="32"/>
                <w:lang w:val="en-US" w:eastAsia="zh-CN" w:bidi="ar"/>
              </w:rPr>
              <w:t>其中：财政经费拨款</w:t>
            </w:r>
          </w:p>
        </w:tc>
        <w:tc>
          <w:tcPr>
            <w:tcW w:w="20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1605.38</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1285.04</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320.34</w:t>
            </w:r>
          </w:p>
        </w:tc>
        <w:tc>
          <w:tcPr>
            <w:tcW w:w="22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24.93%</w:t>
            </w:r>
          </w:p>
        </w:tc>
      </w:tr>
      <w:tr>
        <w:tblPrEx>
          <w:shd w:val="clear" w:color="auto" w:fill="auto"/>
          <w:tblCellMar>
            <w:top w:w="0" w:type="dxa"/>
            <w:left w:w="0" w:type="dxa"/>
            <w:bottom w:w="0" w:type="dxa"/>
            <w:right w:w="0" w:type="dxa"/>
          </w:tblCellMar>
        </w:tblPrEx>
        <w:trPr>
          <w:trHeight w:val="582" w:hRule="atLeast"/>
          <w:jc w:val="center"/>
        </w:trPr>
        <w:tc>
          <w:tcPr>
            <w:tcW w:w="25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hanging="482"/>
              <w:jc w:val="left"/>
            </w:pPr>
            <w:r>
              <w:rPr>
                <w:rFonts w:hint="eastAsia" w:ascii="仿宋" w:hAnsi="仿宋" w:eastAsia="仿宋" w:cs="仿宋"/>
                <w:b/>
                <w:color w:val="010101"/>
                <w:kern w:val="0"/>
                <w:sz w:val="32"/>
                <w:szCs w:val="32"/>
                <w:lang w:val="en-US" w:eastAsia="zh-CN" w:bidi="ar"/>
              </w:rPr>
              <w:t>支出预算</w:t>
            </w:r>
          </w:p>
        </w:tc>
        <w:tc>
          <w:tcPr>
            <w:tcW w:w="20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rPr>
            </w:pPr>
            <w:r>
              <w:rPr>
                <w:rFonts w:hint="eastAsia" w:ascii="宋体" w:hAnsi="宋体" w:eastAsia="宋体" w:cs="宋体"/>
                <w:sz w:val="24"/>
                <w:szCs w:val="24"/>
                <w:lang w:val="en-US" w:eastAsia="zh-CN"/>
              </w:rPr>
              <w:t>1605.38</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1285.04</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320.34</w:t>
            </w:r>
          </w:p>
        </w:tc>
        <w:tc>
          <w:tcPr>
            <w:tcW w:w="22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24.93%</w:t>
            </w:r>
          </w:p>
        </w:tc>
      </w:tr>
      <w:tr>
        <w:tblPrEx>
          <w:shd w:val="clear" w:color="auto" w:fill="auto"/>
          <w:tblCellMar>
            <w:top w:w="0" w:type="dxa"/>
            <w:left w:w="0" w:type="dxa"/>
            <w:bottom w:w="0" w:type="dxa"/>
            <w:right w:w="0" w:type="dxa"/>
          </w:tblCellMar>
        </w:tblPrEx>
        <w:trPr>
          <w:trHeight w:val="622" w:hRule="atLeast"/>
          <w:jc w:val="center"/>
        </w:trPr>
        <w:tc>
          <w:tcPr>
            <w:tcW w:w="2568"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color w:val="010101"/>
                <w:kern w:val="0"/>
                <w:sz w:val="32"/>
                <w:szCs w:val="32"/>
                <w:lang w:val="en-US" w:eastAsia="zh-CN" w:bidi="ar"/>
              </w:rPr>
              <w:t>其中：基本支出</w:t>
            </w:r>
          </w:p>
        </w:tc>
        <w:tc>
          <w:tcPr>
            <w:tcW w:w="208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491.38</w:t>
            </w:r>
          </w:p>
        </w:tc>
        <w:tc>
          <w:tcPr>
            <w:tcW w:w="1953"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color w:val="010101"/>
                <w:kern w:val="0"/>
                <w:sz w:val="24"/>
                <w:szCs w:val="24"/>
                <w:lang w:val="en-US" w:eastAsia="zh-CN" w:bidi="ar"/>
              </w:rPr>
              <w:t>588.56</w:t>
            </w:r>
          </w:p>
        </w:tc>
        <w:tc>
          <w:tcPr>
            <w:tcW w:w="1617"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66"/>
              </w:tabs>
              <w:spacing w:before="0" w:beforeAutospacing="0" w:after="0" w:afterAutospacing="0" w:line="600" w:lineRule="atLeast"/>
              <w:ind w:left="480" w:leftChars="0" w:right="126" w:rightChars="0" w:hanging="48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-97.18</w:t>
            </w:r>
          </w:p>
        </w:tc>
        <w:tc>
          <w:tcPr>
            <w:tcW w:w="221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-16.51%</w:t>
            </w:r>
          </w:p>
        </w:tc>
      </w:tr>
      <w:tr>
        <w:tblPrEx>
          <w:shd w:val="clear" w:color="auto" w:fill="auto"/>
          <w:tblCellMar>
            <w:top w:w="0" w:type="dxa"/>
            <w:left w:w="0" w:type="dxa"/>
            <w:bottom w:w="0" w:type="dxa"/>
            <w:right w:w="0" w:type="dxa"/>
          </w:tblCellMar>
        </w:tblPrEx>
        <w:trPr>
          <w:trHeight w:val="622" w:hRule="atLeast"/>
          <w:jc w:val="center"/>
        </w:trPr>
        <w:tc>
          <w:tcPr>
            <w:tcW w:w="25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rPr>
                <w:rFonts w:hint="default" w:ascii="仿宋" w:hAnsi="仿宋" w:eastAsia="仿宋" w:cs="仿宋"/>
                <w:color w:val="010101"/>
                <w:kern w:val="0"/>
                <w:sz w:val="32"/>
                <w:szCs w:val="32"/>
                <w:lang w:val="en-US" w:eastAsia="zh-CN" w:bidi="ar"/>
              </w:rPr>
            </w:pPr>
            <w:r>
              <w:rPr>
                <w:rFonts w:hint="eastAsia" w:ascii="仿宋" w:hAnsi="仿宋" w:eastAsia="仿宋" w:cs="仿宋"/>
                <w:color w:val="010101"/>
                <w:kern w:val="0"/>
                <w:sz w:val="32"/>
                <w:szCs w:val="32"/>
                <w:lang w:val="en-US" w:eastAsia="zh-CN" w:bidi="ar"/>
              </w:rPr>
              <w:t>其中：项目支出</w:t>
            </w:r>
          </w:p>
        </w:tc>
        <w:tc>
          <w:tcPr>
            <w:tcW w:w="20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126" w:hanging="480"/>
              <w:jc w:val="right"/>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1114</w:t>
            </w:r>
          </w:p>
        </w:tc>
        <w:tc>
          <w:tcPr>
            <w:tcW w:w="195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right"/>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696.48</w:t>
            </w:r>
          </w:p>
        </w:tc>
        <w:tc>
          <w:tcPr>
            <w:tcW w:w="1617"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right"/>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417.52</w:t>
            </w:r>
          </w:p>
        </w:tc>
        <w:tc>
          <w:tcPr>
            <w:tcW w:w="22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0" w:rightChars="0" w:hanging="480" w:firstLineChars="0"/>
              <w:jc w:val="center"/>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59.95%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caps w:val="0"/>
          <w:color w:val="1E1E1E"/>
          <w:spacing w:val="0"/>
          <w:kern w:val="0"/>
          <w:sz w:val="32"/>
          <w:szCs w:val="32"/>
          <w:lang w:val="en-US" w:eastAsia="zh-CN" w:bidi="ar"/>
        </w:rPr>
        <w:t>根据年初预算批复，与上年比较，较上年增加320.34万元，原因是增加了项目经费。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caps w:val="0"/>
          <w:color w:val="1E1E1E"/>
          <w:spacing w:val="0"/>
          <w:kern w:val="0"/>
          <w:sz w:val="32"/>
          <w:szCs w:val="32"/>
          <w:lang w:val="en-US" w:eastAsia="zh-CN" w:bidi="ar"/>
        </w:rPr>
        <w:t>2.财政预算整体支出使用范围、方向和内容</w:t>
      </w:r>
    </w:p>
    <w:tbl>
      <w:tblPr>
        <w:tblStyle w:val="8"/>
        <w:tblW w:w="8317" w:type="dxa"/>
        <w:jc w:val="center"/>
        <w:shd w:val="clear" w:color="auto" w:fill="auto"/>
        <w:tblLayout w:type="autofit"/>
        <w:tblCellMar>
          <w:top w:w="0" w:type="dxa"/>
          <w:left w:w="0" w:type="dxa"/>
          <w:bottom w:w="0" w:type="dxa"/>
          <w:right w:w="0" w:type="dxa"/>
        </w:tblCellMar>
      </w:tblPr>
      <w:tblGrid>
        <w:gridCol w:w="2859"/>
        <w:gridCol w:w="1748"/>
        <w:gridCol w:w="1331"/>
        <w:gridCol w:w="2379"/>
      </w:tblGrid>
      <w:tr>
        <w:tblPrEx>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工资福利支出</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406.17</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406.17</w:t>
            </w:r>
          </w:p>
        </w:tc>
      </w:tr>
      <w:tr>
        <w:tblPrEx>
          <w:shd w:val="clear" w:color="auto" w:fill="auto"/>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商品和服务支出</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82.88</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1114</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1196.88</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对个人和家庭的补助</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2.33</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2.33</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 </w:t>
            </w:r>
          </w:p>
        </w:tc>
        <w:tc>
          <w:tcPr>
            <w:tcW w:w="174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13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23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合 计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491.38</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1114</w:t>
            </w: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1605.38</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caps w:val="0"/>
          <w:color w:val="1E1E1E"/>
          <w:spacing w:val="0"/>
          <w:kern w:val="0"/>
          <w:sz w:val="32"/>
          <w:szCs w:val="32"/>
          <w:lang w:val="en-US" w:eastAsia="zh-CN" w:bidi="ar"/>
        </w:rPr>
        <w:t>年度收支决算情况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40" w:leftChars="0" w:right="0" w:rightChars="0"/>
        <w:jc w:val="left"/>
      </w:pPr>
      <w:r>
        <w:rPr>
          <w:rFonts w:hint="eastAsia" w:ascii="仿宋" w:hAnsi="仿宋" w:eastAsia="仿宋" w:cs="仿宋"/>
          <w:i w:val="0"/>
          <w:caps w:val="0"/>
          <w:color w:val="1E1E1E"/>
          <w:spacing w:val="0"/>
          <w:kern w:val="0"/>
          <w:sz w:val="32"/>
          <w:szCs w:val="32"/>
          <w:lang w:val="en-US" w:eastAsia="zh-CN" w:bidi="ar"/>
        </w:rPr>
        <w:t>1.年度收入决算 </w:t>
      </w:r>
    </w:p>
    <w:tbl>
      <w:tblPr>
        <w:tblStyle w:val="8"/>
        <w:tblW w:w="0" w:type="auto"/>
        <w:jc w:val="center"/>
        <w:shd w:val="clear" w:color="auto" w:fill="auto"/>
        <w:tblLayout w:type="autofit"/>
        <w:tblCellMar>
          <w:top w:w="0" w:type="dxa"/>
          <w:left w:w="0" w:type="dxa"/>
          <w:bottom w:w="0" w:type="dxa"/>
          <w:right w:w="0" w:type="dxa"/>
        </w:tblCellMar>
      </w:tblPr>
      <w:tblGrid>
        <w:gridCol w:w="2063"/>
        <w:gridCol w:w="1693"/>
        <w:gridCol w:w="1820"/>
        <w:gridCol w:w="2264"/>
      </w:tblGrid>
      <w:tr>
        <w:tblPrEx>
          <w:shd w:val="clear" w:color="auto" w:fill="auto"/>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差额</w:t>
            </w:r>
          </w:p>
        </w:tc>
      </w:tr>
      <w:tr>
        <w:tblPrEx>
          <w:shd w:val="clear" w:color="auto" w:fill="auto"/>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财政拨款收入</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1605.38</w:t>
            </w:r>
          </w:p>
        </w:tc>
        <w:tc>
          <w:tcPr>
            <w:tcW w:w="1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2028.06</w:t>
            </w:r>
          </w:p>
        </w:tc>
        <w:tc>
          <w:tcPr>
            <w:tcW w:w="22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eastAsiaTheme="minorEastAsia"/>
                <w:lang w:val="en-US" w:eastAsia="zh-CN"/>
              </w:rPr>
            </w:pPr>
            <w:r>
              <w:rPr>
                <w:rFonts w:hint="eastAsia"/>
                <w:lang w:val="en-US" w:eastAsia="zh-CN"/>
              </w:rPr>
              <w:t>422.68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caps w:val="0"/>
          <w:color w:val="1E1E1E"/>
          <w:spacing w:val="0"/>
          <w:kern w:val="0"/>
          <w:sz w:val="32"/>
          <w:szCs w:val="32"/>
          <w:lang w:val="en-US" w:eastAsia="zh-CN" w:bidi="ar"/>
        </w:rPr>
        <w:t>市级下达的资金及年中领导批准的会议费等不在预算范围之内，因此支出数比年初预算数大。</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 xml:space="preserve">年度预算支出决算及结余 </w:t>
      </w:r>
    </w:p>
    <w:tbl>
      <w:tblPr>
        <w:tblStyle w:val="8"/>
        <w:tblW w:w="8098" w:type="dxa"/>
        <w:tblInd w:w="0" w:type="dxa"/>
        <w:shd w:val="clear" w:color="auto" w:fill="auto"/>
        <w:tblLayout w:type="autofit"/>
        <w:tblCellMar>
          <w:top w:w="0" w:type="dxa"/>
          <w:left w:w="0" w:type="dxa"/>
          <w:bottom w:w="0" w:type="dxa"/>
          <w:right w:w="0" w:type="dxa"/>
        </w:tblCellMar>
      </w:tblPr>
      <w:tblGrid>
        <w:gridCol w:w="1607"/>
        <w:gridCol w:w="2096"/>
        <w:gridCol w:w="1833"/>
        <w:gridCol w:w="2562"/>
      </w:tblGrid>
      <w:tr>
        <w:tblPrEx>
          <w:shd w:val="clear" w:color="auto" w:fill="auto"/>
          <w:tblCellMar>
            <w:top w:w="0" w:type="dxa"/>
            <w:left w:w="0" w:type="dxa"/>
            <w:bottom w:w="0" w:type="dxa"/>
            <w:right w:w="0" w:type="dxa"/>
          </w:tblCellMar>
        </w:tblPrEx>
        <w:trPr>
          <w:trHeight w:val="517" w:hRule="atLeast"/>
        </w:trPr>
        <w:tc>
          <w:tcPr>
            <w:tcW w:w="1607"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预算支出类别</w:t>
            </w:r>
          </w:p>
        </w:tc>
        <w:tc>
          <w:tcPr>
            <w:tcW w:w="2096"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预算金额</w:t>
            </w:r>
          </w:p>
        </w:tc>
        <w:tc>
          <w:tcPr>
            <w:tcW w:w="1833"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决算金额</w:t>
            </w:r>
          </w:p>
        </w:tc>
        <w:tc>
          <w:tcPr>
            <w:tcW w:w="2562"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增减金额</w:t>
            </w:r>
          </w:p>
        </w:tc>
      </w:tr>
      <w:tr>
        <w:tblPrEx>
          <w:shd w:val="clear" w:color="auto" w:fill="auto"/>
          <w:tblCellMar>
            <w:top w:w="0" w:type="dxa"/>
            <w:left w:w="0" w:type="dxa"/>
            <w:bottom w:w="0" w:type="dxa"/>
            <w:right w:w="0" w:type="dxa"/>
          </w:tblCellMar>
        </w:tblPrEx>
        <w:trPr>
          <w:trHeight w:val="523" w:hRule="atLeast"/>
        </w:trPr>
        <w:tc>
          <w:tcPr>
            <w:tcW w:w="1607"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基本支出</w:t>
            </w:r>
          </w:p>
        </w:tc>
        <w:tc>
          <w:tcPr>
            <w:tcW w:w="209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491.38</w:t>
            </w:r>
          </w:p>
        </w:tc>
        <w:tc>
          <w:tcPr>
            <w:tcW w:w="18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2028.06</w:t>
            </w:r>
          </w:p>
        </w:tc>
        <w:tc>
          <w:tcPr>
            <w:tcW w:w="25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1536.68</w:t>
            </w:r>
          </w:p>
        </w:tc>
      </w:tr>
      <w:tr>
        <w:tblPrEx>
          <w:shd w:val="clear" w:color="auto" w:fill="auto"/>
          <w:tblCellMar>
            <w:top w:w="0" w:type="dxa"/>
            <w:left w:w="0" w:type="dxa"/>
            <w:bottom w:w="0" w:type="dxa"/>
            <w:right w:w="0" w:type="dxa"/>
          </w:tblCellMar>
        </w:tblPrEx>
        <w:trPr>
          <w:trHeight w:val="523" w:hRule="atLeast"/>
        </w:trPr>
        <w:tc>
          <w:tcPr>
            <w:tcW w:w="1607"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项目支出</w:t>
            </w:r>
          </w:p>
        </w:tc>
        <w:tc>
          <w:tcPr>
            <w:tcW w:w="209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leftChars="0" w:right="126" w:rightChars="0" w:hanging="480" w:firstLineChars="0"/>
              <w:jc w:val="center"/>
              <w:rPr>
                <w:rFonts w:hint="eastAsia" w:ascii="宋体" w:hAnsi="宋体" w:eastAsia="宋体" w:cs="宋体"/>
                <w:color w:val="010101"/>
                <w:kern w:val="0"/>
                <w:sz w:val="24"/>
                <w:szCs w:val="24"/>
                <w:lang w:val="en-US" w:eastAsia="zh-CN" w:bidi="ar"/>
              </w:rPr>
            </w:pPr>
            <w:r>
              <w:rPr>
                <w:rFonts w:hint="eastAsia" w:ascii="宋体" w:hAnsi="宋体" w:eastAsia="宋体" w:cs="宋体"/>
                <w:color w:val="010101"/>
                <w:kern w:val="0"/>
                <w:sz w:val="24"/>
                <w:szCs w:val="24"/>
                <w:lang w:val="en-US" w:eastAsia="zh-CN" w:bidi="ar"/>
              </w:rPr>
              <w:t>1114</w:t>
            </w:r>
          </w:p>
        </w:tc>
        <w:tc>
          <w:tcPr>
            <w:tcW w:w="18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w:t>
            </w:r>
          </w:p>
        </w:tc>
        <w:tc>
          <w:tcPr>
            <w:tcW w:w="25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485"/>
              </w:tabs>
              <w:spacing w:before="0" w:beforeAutospacing="0" w:after="0" w:afterAutospacing="0" w:line="600" w:lineRule="atLeast"/>
              <w:ind w:right="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-1114</w:t>
            </w:r>
          </w:p>
        </w:tc>
      </w:tr>
      <w:tr>
        <w:tblPrEx>
          <w:shd w:val="clear" w:color="auto" w:fill="auto"/>
          <w:tblCellMar>
            <w:top w:w="0" w:type="dxa"/>
            <w:left w:w="0" w:type="dxa"/>
            <w:bottom w:w="0" w:type="dxa"/>
            <w:right w:w="0" w:type="dxa"/>
          </w:tblCellMar>
        </w:tblPrEx>
        <w:trPr>
          <w:trHeight w:val="400" w:hRule="atLeast"/>
        </w:trPr>
        <w:tc>
          <w:tcPr>
            <w:tcW w:w="1607"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pPr>
            <w:r>
              <w:rPr>
                <w:rFonts w:hint="eastAsia" w:ascii="仿宋" w:hAnsi="仿宋" w:eastAsia="仿宋" w:cs="仿宋"/>
                <w:color w:val="000000"/>
                <w:kern w:val="0"/>
                <w:sz w:val="24"/>
                <w:szCs w:val="24"/>
                <w:lang w:val="en-US" w:eastAsia="zh-CN" w:bidi="ar"/>
              </w:rPr>
              <w:t>小计</w:t>
            </w:r>
          </w:p>
        </w:tc>
        <w:tc>
          <w:tcPr>
            <w:tcW w:w="2096"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1605.38</w:t>
            </w:r>
          </w:p>
        </w:tc>
        <w:tc>
          <w:tcPr>
            <w:tcW w:w="1833"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2028.06</w:t>
            </w:r>
          </w:p>
        </w:tc>
        <w:tc>
          <w:tcPr>
            <w:tcW w:w="2562"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60" w:right="0" w:hanging="360"/>
              <w:jc w:val="center"/>
              <w:textAlignment w:val="center"/>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422.68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年初预算安排的项目经费，实际执行中用项目经费弥补基本经费支出不足。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caps w:val="0"/>
          <w:color w:val="1E1E1E"/>
          <w:spacing w:val="0"/>
          <w:kern w:val="0"/>
          <w:sz w:val="32"/>
          <w:szCs w:val="32"/>
          <w:lang w:val="en-US" w:eastAsia="zh-CN" w:bidi="ar"/>
        </w:rPr>
        <w:t>三、部门整体支出管理及使用情况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hint="eastAsia" w:ascii="仿宋" w:hAnsi="仿宋" w:eastAsia="仿宋" w:cs="仿宋"/>
          <w:b w:val="0"/>
          <w:i w:val="0"/>
          <w:caps w:val="0"/>
          <w:color w:val="1E1E1E"/>
          <w:spacing w:val="0"/>
          <w:sz w:val="32"/>
          <w:szCs w:val="32"/>
        </w:rPr>
        <w:t>（一）基本支出管理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仿宋" w:hAnsi="仿宋" w:eastAsia="仿宋" w:cs="仿宋"/>
          <w:b w:val="0"/>
          <w:i w:val="0"/>
          <w:caps w:val="0"/>
          <w:color w:val="1E1E1E"/>
          <w:spacing w:val="0"/>
          <w:sz w:val="32"/>
          <w:szCs w:val="32"/>
        </w:rPr>
        <w:t>1、基本支出总额使用和管理</w:t>
      </w:r>
    </w:p>
    <w:tbl>
      <w:tblPr>
        <w:tblStyle w:val="8"/>
        <w:tblW w:w="0" w:type="auto"/>
        <w:jc w:val="center"/>
        <w:shd w:val="clear" w:color="auto" w:fill="auto"/>
        <w:tblLayout w:type="autofit"/>
        <w:tblCellMar>
          <w:top w:w="0" w:type="dxa"/>
          <w:left w:w="0" w:type="dxa"/>
          <w:bottom w:w="0" w:type="dxa"/>
          <w:right w:w="0" w:type="dxa"/>
        </w:tblCellMar>
      </w:tblPr>
      <w:tblGrid>
        <w:gridCol w:w="2392"/>
        <w:gridCol w:w="1666"/>
        <w:gridCol w:w="1604"/>
        <w:gridCol w:w="2438"/>
      </w:tblGrid>
      <w:tr>
        <w:tblPrEx>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 预决算支出项目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工资福利支出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406.17</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578.63</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172.46</w:t>
            </w:r>
          </w:p>
        </w:tc>
      </w:tr>
      <w:tr>
        <w:tblPrEx>
          <w:shd w:val="clear" w:color="auto" w:fill="auto"/>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商品和服务支出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82.88</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color w:val="000000" w:themeColor="text1"/>
                <w:lang w:val="en-US"/>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1326.69</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1243.81</w:t>
            </w:r>
          </w:p>
        </w:tc>
      </w:tr>
      <w:tr>
        <w:tblPrEx>
          <w:tblCellMar>
            <w:top w:w="0" w:type="dxa"/>
            <w:left w:w="0" w:type="dxa"/>
            <w:bottom w:w="0" w:type="dxa"/>
            <w:right w:w="0" w:type="dxa"/>
          </w:tblCellMar>
        </w:tblPrEx>
        <w:trPr>
          <w:trHeight w:val="90"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对个人和家庭的补助</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2.33</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color w:val="000000" w:themeColor="text1"/>
                <w:lang w:val="en-US"/>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66.2</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63.87</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资本性支出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56.54</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56.54</w:t>
            </w:r>
          </w:p>
        </w:tc>
      </w:tr>
      <w:tr>
        <w:tblPrEx>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pPr>
            <w:r>
              <w:rPr>
                <w:rFonts w:hint="eastAsia" w:ascii="仿宋" w:hAnsi="仿宋" w:eastAsia="仿宋" w:cs="仿宋"/>
                <w:color w:val="000000"/>
                <w:kern w:val="0"/>
                <w:sz w:val="21"/>
                <w:szCs w:val="21"/>
                <w:lang w:val="en-US" w:eastAsia="zh-CN" w:bidi="ar"/>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491.38</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2028.06</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1536.68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eastAsia" w:ascii="仿宋" w:hAnsi="仿宋" w:eastAsia="仿宋" w:cs="仿宋"/>
          <w:i w:val="0"/>
          <w:caps w:val="0"/>
          <w:color w:val="1E1E1E"/>
          <w:spacing w:val="0"/>
          <w:kern w:val="0"/>
          <w:sz w:val="32"/>
          <w:szCs w:val="32"/>
          <w:lang w:val="en-US" w:eastAsia="zh-CN" w:bidi="ar"/>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基本支出中各费用明细支出管理</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0" w:leftChars="0" w:right="0" w:firstLine="160" w:firstLineChars="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工资福利支出</w:t>
      </w:r>
    </w:p>
    <w:tbl>
      <w:tblPr>
        <w:tblStyle w:val="8"/>
        <w:tblW w:w="0" w:type="auto"/>
        <w:jc w:val="center"/>
        <w:tblLayout w:type="fixed"/>
        <w:tblCellMar>
          <w:top w:w="0" w:type="dxa"/>
          <w:left w:w="0" w:type="dxa"/>
          <w:bottom w:w="0" w:type="dxa"/>
          <w:right w:w="0" w:type="dxa"/>
        </w:tblCellMar>
      </w:tblPr>
      <w:tblGrid>
        <w:gridCol w:w="2431"/>
        <w:gridCol w:w="1134"/>
        <w:gridCol w:w="1134"/>
        <w:gridCol w:w="1417"/>
        <w:gridCol w:w="1664"/>
      </w:tblGrid>
      <w:tr>
        <w:tblPrEx>
          <w:tblCellMar>
            <w:top w:w="0" w:type="dxa"/>
            <w:left w:w="0" w:type="dxa"/>
            <w:bottom w:w="0" w:type="dxa"/>
            <w:right w:w="0" w:type="dxa"/>
          </w:tblCellMar>
        </w:tblPrEx>
        <w:trPr>
          <w:trHeight w:val="56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费用项目</w:t>
            </w:r>
          </w:p>
        </w:tc>
        <w:tc>
          <w:tcPr>
            <w:tcW w:w="1134"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预算金额</w:t>
            </w:r>
          </w:p>
        </w:tc>
        <w:tc>
          <w:tcPr>
            <w:tcW w:w="1134"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决算金额</w:t>
            </w:r>
          </w:p>
        </w:tc>
        <w:tc>
          <w:tcPr>
            <w:tcW w:w="1417"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节约/超支金额</w:t>
            </w:r>
          </w:p>
        </w:tc>
        <w:tc>
          <w:tcPr>
            <w:tcW w:w="1664" w:type="dxa"/>
            <w:tcBorders>
              <w:top w:val="single" w:color="000000" w:sz="8" w:space="0"/>
              <w:left w:val="nil"/>
              <w:bottom w:val="single" w:color="000000" w:sz="8" w:space="0"/>
              <w:right w:val="single" w:color="000000" w:sz="8" w:space="0"/>
            </w:tcBorders>
            <w:shd w:val="clear" w:color="auto" w:fill="D9D9D9"/>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节约/超支率</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基本工资</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184.5</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342.08</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157.58</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85.41%</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津贴补贴</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105.75</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7.38</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-98.37</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-93.02%</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奖金</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15.38</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112.51</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97.13</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631.53%</w:t>
            </w:r>
          </w:p>
        </w:tc>
      </w:tr>
      <w:tr>
        <w:tblPrEx>
          <w:tblCellMar>
            <w:top w:w="0" w:type="dxa"/>
            <w:left w:w="0" w:type="dxa"/>
            <w:bottom w:w="0" w:type="dxa"/>
            <w:right w:w="0" w:type="dxa"/>
          </w:tblCellMar>
        </w:tblPrEx>
        <w:trPr>
          <w:trHeight w:val="90"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伙食补助费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绩效工资</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机关事业单位基本养老保险缴费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46.44</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49.09</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2.65</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5.7%</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职业年金缴费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职工基本医疗保险缴费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11.27</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28.37</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17.1</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151.73%</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公务员医疗补助缴费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4.87</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4.87</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其他社会保障缴费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4.35</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2.99</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-1.36</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-31.26%</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住房公积金</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36.68</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-36.68</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医疗费</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其他工资福利支出</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w:t>
            </w:r>
          </w:p>
        </w:tc>
        <w:tc>
          <w:tcPr>
            <w:tcW w:w="113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31.34</w:t>
            </w:r>
          </w:p>
        </w:tc>
        <w:tc>
          <w:tcPr>
            <w:tcW w:w="1417"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29.54</w:t>
            </w:r>
          </w:p>
        </w:tc>
        <w:tc>
          <w:tcPr>
            <w:tcW w:w="1664"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1641.1%</w:t>
            </w:r>
          </w:p>
        </w:tc>
      </w:tr>
      <w:tr>
        <w:tblPrEx>
          <w:tblCellMar>
            <w:top w:w="0" w:type="dxa"/>
            <w:left w:w="0" w:type="dxa"/>
            <w:bottom w:w="0" w:type="dxa"/>
            <w:right w:w="0" w:type="dxa"/>
          </w:tblCellMar>
        </w:tblPrEx>
        <w:trPr>
          <w:trHeight w:val="411" w:hRule="atLeast"/>
          <w:jc w:val="center"/>
        </w:trPr>
        <w:tc>
          <w:tcPr>
            <w:tcW w:w="2431" w:type="dxa"/>
            <w:tcBorders>
              <w:top w:val="nil"/>
              <w:left w:val="single" w:color="000000" w:sz="8" w:space="0"/>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合计</w:t>
            </w:r>
          </w:p>
        </w:tc>
        <w:tc>
          <w:tcPr>
            <w:tcW w:w="1134"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406.17</w:t>
            </w:r>
          </w:p>
        </w:tc>
        <w:tc>
          <w:tcPr>
            <w:tcW w:w="1134"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578.63</w:t>
            </w:r>
          </w:p>
        </w:tc>
        <w:tc>
          <w:tcPr>
            <w:tcW w:w="1417"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172.46</w:t>
            </w:r>
          </w:p>
        </w:tc>
        <w:tc>
          <w:tcPr>
            <w:tcW w:w="1664" w:type="dxa"/>
            <w:tcBorders>
              <w:top w:val="nil"/>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42.46%</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基本工资超支是因为决算数中的基本工资包含了基本工资、津补贴及车补。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奖金超支是因3+2奖金不在预算内，由单位自负，本年度发放了以前年度职工待遇，所以决算数大于预算数。</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0" w:leftChars="0" w:right="0" w:firstLine="160" w:firstLineChars="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商品和服务支出 </w:t>
      </w:r>
    </w:p>
    <w:tbl>
      <w:tblPr>
        <w:tblStyle w:val="8"/>
        <w:tblW w:w="0" w:type="auto"/>
        <w:jc w:val="center"/>
        <w:tblLayout w:type="fixed"/>
        <w:tblCellMar>
          <w:top w:w="0" w:type="dxa"/>
          <w:left w:w="0" w:type="dxa"/>
          <w:bottom w:w="0" w:type="dxa"/>
          <w:right w:w="0" w:type="dxa"/>
        </w:tblCellMar>
      </w:tblPr>
      <w:tblGrid>
        <w:gridCol w:w="2133"/>
        <w:gridCol w:w="1398"/>
        <w:gridCol w:w="1537"/>
        <w:gridCol w:w="1429"/>
        <w:gridCol w:w="1643"/>
      </w:tblGrid>
      <w:tr>
        <w:tblPrEx>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支出项目</w:t>
            </w:r>
          </w:p>
        </w:tc>
        <w:tc>
          <w:tcPr>
            <w:tcW w:w="1398"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预算金额</w:t>
            </w:r>
          </w:p>
        </w:tc>
        <w:tc>
          <w:tcPr>
            <w:tcW w:w="1537"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决算金额</w:t>
            </w:r>
          </w:p>
        </w:tc>
        <w:tc>
          <w:tcPr>
            <w:tcW w:w="1429"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增减额</w:t>
            </w:r>
          </w:p>
        </w:tc>
        <w:tc>
          <w:tcPr>
            <w:tcW w:w="1643" w:type="dxa"/>
            <w:tcBorders>
              <w:top w:val="single" w:color="auto" w:sz="8" w:space="0"/>
              <w:left w:val="nil"/>
              <w:bottom w:val="single" w:color="auto" w:sz="8" w:space="0"/>
              <w:right w:val="single" w:color="auto" w:sz="8" w:space="0"/>
            </w:tcBorders>
            <w:shd w:val="clear" w:color="auto" w:fill="D9D9D9"/>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增减率</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办公费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2.3</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126.35</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124.05</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5393.48%</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印刷费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0.34</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45.69</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45.35</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13338.24%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咨询费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4.12</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4.12</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both"/>
              <w:rPr>
                <w:rFonts w:hint="default" w:ascii="仿宋" w:hAnsi="仿宋" w:eastAsia="仿宋" w:cs="宋体"/>
                <w:color w:val="010101"/>
                <w:kern w:val="0"/>
                <w:szCs w:val="21"/>
                <w:lang w:val="en-US" w:eastAsia="zh-CN"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手续费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1.48</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1.48</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val="en-US" w:eastAsia="zh-CN" w:bidi="ar"/>
              </w:rPr>
              <w:t>水</w:t>
            </w:r>
            <w:r>
              <w:rPr>
                <w:rFonts w:hint="eastAsia" w:ascii="仿宋" w:hAnsi="仿宋" w:eastAsia="仿宋" w:cs="宋体"/>
                <w:color w:val="010101"/>
                <w:kern w:val="0"/>
                <w:szCs w:val="21"/>
                <w:lang w:bidi="ar"/>
              </w:rPr>
              <w:t>电费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4.94</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2.94</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val="en-US" w:eastAsia="zh-CN" w:bidi="ar"/>
              </w:rPr>
              <w:t>147%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邮电费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18.46</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16.96</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val="en-US" w:eastAsia="zh-CN" w:bidi="ar"/>
              </w:rPr>
              <w:t>1130.67%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取暖费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物业管理费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71.13</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71.13</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差旅费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7</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46.7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39.7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567.14%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因公出国（境）费用</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维修（护）费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9.17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8.17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817%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租赁费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683.61</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683.61</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会议费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3.2</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35</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31.8</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993.75%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培训费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1.92</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0.92</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92%</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公务接待费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3.09</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-14.91</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both"/>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-82.83%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专用材料费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5.61</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5.61</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被装购置费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专用燃料费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劳务费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0.7</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11.58</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10.88</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1554.29%</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委托业务费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工会经费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10.8</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27.37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16.57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153.43%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福利费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公务用车运行维护费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其他交通费</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29.04</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1.47</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-27.57</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-94.94%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税金及附加费用</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其他商品和服务支出</w:t>
            </w:r>
          </w:p>
        </w:tc>
        <w:tc>
          <w:tcPr>
            <w:tcW w:w="1398"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w:t>
            </w:r>
          </w:p>
        </w:tc>
        <w:tc>
          <w:tcPr>
            <w:tcW w:w="1537"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229</w:t>
            </w:r>
          </w:p>
        </w:tc>
        <w:tc>
          <w:tcPr>
            <w:tcW w:w="1429"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229</w:t>
            </w:r>
          </w:p>
        </w:tc>
        <w:tc>
          <w:tcPr>
            <w:tcW w:w="1643" w:type="dxa"/>
            <w:tcBorders>
              <w:top w:val="nil"/>
              <w:left w:val="nil"/>
              <w:bottom w:val="single" w:color="auto" w:sz="8" w:space="0"/>
              <w:right w:val="single" w:color="auto" w:sz="8" w:space="0"/>
            </w:tcBorders>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合计</w:t>
            </w:r>
          </w:p>
        </w:tc>
        <w:tc>
          <w:tcPr>
            <w:tcW w:w="1398"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82.88</w:t>
            </w:r>
          </w:p>
        </w:tc>
        <w:tc>
          <w:tcPr>
            <w:tcW w:w="1537"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1326.69</w:t>
            </w:r>
          </w:p>
        </w:tc>
        <w:tc>
          <w:tcPr>
            <w:tcW w:w="1429"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1243.81</w:t>
            </w:r>
          </w:p>
        </w:tc>
        <w:tc>
          <w:tcPr>
            <w:tcW w:w="1643" w:type="dxa"/>
            <w:tcBorders>
              <w:top w:val="nil"/>
              <w:left w:val="nil"/>
              <w:bottom w:val="single" w:color="auto" w:sz="8" w:space="0"/>
              <w:right w:val="single" w:color="auto" w:sz="8" w:space="0"/>
            </w:tcBorders>
            <w:shd w:val="clear" w:color="auto" w:fill="C0C0C0"/>
            <w:noWrap w:val="0"/>
            <w:tcMar>
              <w:left w:w="108" w:type="dxa"/>
              <w:right w:w="108"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1500.74%</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办公费增加的主要原因是县委办承担了全县疫情防控及各类会议的服务和保障工作。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印刷费的增加主要在于县委办经领导批准开展了各类专题调研、工作培训及征文作品汇编等工作。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差旅费增加主要是县委办有3个驻村工作队，科级干部联村有20个村以及推进脱贫攻坚等各类下乡费用的增加。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会议费增加主要是经领导批准的各类会议增加。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物业管理费及租赁费的增加是因为年初预算数中没有包括租用东谷大厦办公楼的费用。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其他商品和服务支出增加主要是日常工作中产生的其他不可预测的经费增加。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leftChars="0" w:right="0" w:rightChars="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公务接待费、公务用车运行维护费及其他交通费用的减少主要是本单位厉行节约，严格控制“三公经费”的支出。</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0" w:leftChars="0" w:right="0" w:firstLine="160" w:firstLineChars="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个人和家庭的补助</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Chars="0" w:right="0" w:rightChars="0"/>
        <w:jc w:val="left"/>
        <w:rPr>
          <w:rFonts w:hint="eastAsia" w:ascii="仿宋" w:hAnsi="仿宋" w:eastAsia="仿宋" w:cs="仿宋"/>
          <w:i w:val="0"/>
          <w:caps w:val="0"/>
          <w:color w:val="1E1E1E"/>
          <w:spacing w:val="0"/>
          <w:kern w:val="0"/>
          <w:sz w:val="32"/>
          <w:szCs w:val="32"/>
          <w:lang w:val="en-US" w:eastAsia="zh-CN" w:bidi="ar"/>
        </w:rPr>
      </w:pPr>
    </w:p>
    <w:tbl>
      <w:tblPr>
        <w:tblStyle w:val="8"/>
        <w:tblW w:w="8364" w:type="dxa"/>
        <w:tblInd w:w="0" w:type="dxa"/>
        <w:tblLayout w:type="fixed"/>
        <w:tblCellMar>
          <w:top w:w="0" w:type="dxa"/>
          <w:left w:w="0" w:type="dxa"/>
          <w:bottom w:w="0" w:type="dxa"/>
          <w:right w:w="0" w:type="dxa"/>
        </w:tblCellMar>
      </w:tblPr>
      <w:tblGrid>
        <w:gridCol w:w="1816"/>
        <w:gridCol w:w="1538"/>
        <w:gridCol w:w="1560"/>
        <w:gridCol w:w="1875"/>
        <w:gridCol w:w="1575"/>
      </w:tblGrid>
      <w:tr>
        <w:tblPrEx>
          <w:tblCellMar>
            <w:top w:w="0" w:type="dxa"/>
            <w:left w:w="0" w:type="dxa"/>
            <w:bottom w:w="0" w:type="dxa"/>
            <w:right w:w="0" w:type="dxa"/>
          </w:tblCellMar>
        </w:tblPrEx>
        <w:trPr>
          <w:trHeight w:val="464" w:hRule="atLeast"/>
        </w:trPr>
        <w:tc>
          <w:tcPr>
            <w:tcW w:w="1816" w:type="dxa"/>
            <w:tcBorders>
              <w:top w:val="single" w:color="000000" w:sz="8" w:space="0"/>
              <w:left w:val="single" w:color="000000" w:sz="8" w:space="0"/>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支出项目</w:t>
            </w:r>
          </w:p>
        </w:tc>
        <w:tc>
          <w:tcPr>
            <w:tcW w:w="1538"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预算金额</w:t>
            </w:r>
          </w:p>
        </w:tc>
        <w:tc>
          <w:tcPr>
            <w:tcW w:w="1560"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决算金额</w:t>
            </w:r>
          </w:p>
        </w:tc>
        <w:tc>
          <w:tcPr>
            <w:tcW w:w="1875"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结余/超支金额</w:t>
            </w:r>
          </w:p>
        </w:tc>
        <w:tc>
          <w:tcPr>
            <w:tcW w:w="1575" w:type="dxa"/>
            <w:tcBorders>
              <w:top w:val="single" w:color="000000" w:sz="8" w:space="0"/>
              <w:left w:val="nil"/>
              <w:bottom w:val="single" w:color="000000" w:sz="8" w:space="0"/>
              <w:right w:val="single" w:color="000000" w:sz="8" w:space="0"/>
            </w:tcBorders>
            <w:shd w:val="clear" w:color="auto" w:fill="C0C0C0"/>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结余/超支率</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离休费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退休费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6.61</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tabs>
                <w:tab w:val="left" w:pos="612"/>
                <w:tab w:val="center" w:pos="982"/>
              </w:tabs>
              <w:snapToGrid w:val="0"/>
              <w:spacing w:line="600" w:lineRule="exact"/>
              <w:ind w:left="315" w:hanging="315"/>
              <w:jc w:val="left"/>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ab/>
            </w:r>
            <w:r>
              <w:rPr>
                <w:rFonts w:hint="eastAsia" w:ascii="仿宋" w:hAnsi="仿宋" w:eastAsia="仿宋" w:cs="宋体"/>
                <w:color w:val="010101"/>
                <w:kern w:val="0"/>
                <w:szCs w:val="21"/>
                <w:lang w:val="en-US" w:eastAsia="zh-CN" w:bidi="ar"/>
              </w:rPr>
              <w:t>超支</w:t>
            </w:r>
            <w:r>
              <w:rPr>
                <w:rFonts w:hint="eastAsia" w:ascii="仿宋" w:hAnsi="仿宋" w:eastAsia="仿宋" w:cs="宋体"/>
                <w:color w:val="010101"/>
                <w:kern w:val="0"/>
                <w:szCs w:val="21"/>
                <w:lang w:val="en-US" w:eastAsia="zh-CN" w:bidi="ar"/>
              </w:rPr>
              <w:tab/>
            </w:r>
            <w:r>
              <w:rPr>
                <w:rFonts w:hint="eastAsia" w:ascii="仿宋" w:hAnsi="仿宋" w:eastAsia="仿宋" w:cs="宋体"/>
                <w:color w:val="010101"/>
                <w:kern w:val="0"/>
                <w:szCs w:val="21"/>
                <w:lang w:val="en-US" w:eastAsia="zh-CN" w:bidi="ar"/>
              </w:rPr>
              <w:t>6.61</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退职（役）费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抚恤金</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1.83</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超支1.83</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生活补助</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2.33</w:t>
            </w: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31.07</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超支28.74</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1233.48%</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救济费</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0.7</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超支0.7</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医疗费补助</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0.41</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超支0.41</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助学金</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奖励金</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20.46</w:t>
            </w: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超支20.46</w:t>
            </w: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个人农业生产补贴</w:t>
            </w:r>
          </w:p>
        </w:tc>
        <w:tc>
          <w:tcPr>
            <w:tcW w:w="1538"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8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75" w:type="dxa"/>
            <w:tcBorders>
              <w:top w:val="nil"/>
              <w:left w:val="nil"/>
              <w:bottom w:val="single" w:color="000000" w:sz="8"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1025" w:hRule="atLeast"/>
        </w:trPr>
        <w:tc>
          <w:tcPr>
            <w:tcW w:w="1816" w:type="dxa"/>
            <w:tcBorders>
              <w:top w:val="nil"/>
              <w:left w:val="single" w:color="000000" w:sz="8" w:space="0"/>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r>
              <w:rPr>
                <w:rFonts w:hint="eastAsia" w:ascii="仿宋" w:hAnsi="仿宋" w:eastAsia="仿宋" w:cs="宋体"/>
                <w:color w:val="010101"/>
                <w:kern w:val="0"/>
                <w:szCs w:val="21"/>
                <w:lang w:bidi="ar"/>
              </w:rPr>
              <w:t>其他对个人和家庭的补助支出</w:t>
            </w:r>
          </w:p>
        </w:tc>
        <w:tc>
          <w:tcPr>
            <w:tcW w:w="1538"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c>
          <w:tcPr>
            <w:tcW w:w="1560"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5.12</w:t>
            </w:r>
          </w:p>
        </w:tc>
        <w:tc>
          <w:tcPr>
            <w:tcW w:w="1875"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超支5.12</w:t>
            </w:r>
          </w:p>
        </w:tc>
        <w:tc>
          <w:tcPr>
            <w:tcW w:w="1575" w:type="dxa"/>
            <w:tcBorders>
              <w:top w:val="nil"/>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bidi="ar"/>
              </w:rPr>
            </w:pPr>
          </w:p>
        </w:tc>
      </w:tr>
      <w:tr>
        <w:tblPrEx>
          <w:tblCellMar>
            <w:top w:w="0" w:type="dxa"/>
            <w:left w:w="0" w:type="dxa"/>
            <w:bottom w:w="0" w:type="dxa"/>
            <w:right w:w="0" w:type="dxa"/>
          </w:tblCellMar>
        </w:tblPrEx>
        <w:trPr>
          <w:trHeight w:val="413" w:hRule="atLeast"/>
        </w:trPr>
        <w:tc>
          <w:tcPr>
            <w:tcW w:w="1816" w:type="dxa"/>
            <w:tcBorders>
              <w:top w:val="single" w:color="auto" w:sz="4" w:space="0"/>
              <w:left w:val="single" w:color="auto" w:sz="4" w:space="0"/>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eastAsia"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合计</w:t>
            </w:r>
          </w:p>
        </w:tc>
        <w:tc>
          <w:tcPr>
            <w:tcW w:w="1538" w:type="dxa"/>
            <w:tcBorders>
              <w:top w:val="single" w:color="auto" w:sz="4" w:space="0"/>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2.33</w:t>
            </w:r>
          </w:p>
        </w:tc>
        <w:tc>
          <w:tcPr>
            <w:tcW w:w="1560" w:type="dxa"/>
            <w:tcBorders>
              <w:top w:val="single" w:color="auto" w:sz="4" w:space="0"/>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66.2</w:t>
            </w:r>
          </w:p>
        </w:tc>
        <w:tc>
          <w:tcPr>
            <w:tcW w:w="1875" w:type="dxa"/>
            <w:tcBorders>
              <w:top w:val="single" w:color="auto" w:sz="4" w:space="0"/>
              <w:left w:val="nil"/>
              <w:bottom w:val="single" w:color="auto" w:sz="4" w:space="0"/>
              <w:right w:val="single" w:color="000000" w:sz="8" w:space="0"/>
            </w:tcBorders>
            <w:noWrap w:val="0"/>
            <w:tcMar>
              <w:top w:w="15" w:type="dxa"/>
              <w:left w:w="15" w:type="dxa"/>
              <w:bottom w:w="15" w:type="dxa"/>
              <w:right w:w="15" w:type="dxa"/>
            </w:tcMar>
            <w:vAlign w:val="center"/>
          </w:tcPr>
          <w:p>
            <w:pPr>
              <w:widowControl/>
              <w:snapToGrid w:val="0"/>
              <w:spacing w:line="600" w:lineRule="exact"/>
              <w:ind w:left="315" w:hanging="315"/>
              <w:jc w:val="center"/>
              <w:rPr>
                <w:rFonts w:hint="default" w:ascii="仿宋" w:hAnsi="仿宋" w:eastAsia="仿宋" w:cs="宋体"/>
                <w:color w:val="010101"/>
                <w:kern w:val="0"/>
                <w:szCs w:val="21"/>
                <w:lang w:val="en-US" w:bidi="ar"/>
              </w:rPr>
            </w:pPr>
            <w:r>
              <w:rPr>
                <w:rFonts w:hint="eastAsia" w:ascii="仿宋" w:hAnsi="仿宋" w:eastAsia="仿宋" w:cs="宋体"/>
                <w:color w:val="010101"/>
                <w:kern w:val="0"/>
                <w:szCs w:val="21"/>
                <w:lang w:val="en-US" w:eastAsia="zh-CN" w:bidi="ar"/>
              </w:rPr>
              <w:t>超支63.87</w:t>
            </w:r>
          </w:p>
        </w:tc>
        <w:tc>
          <w:tcPr>
            <w:tcW w:w="1575" w:type="dxa"/>
            <w:tcBorders>
              <w:top w:val="single" w:color="auto" w:sz="4" w:space="0"/>
              <w:left w:val="nil"/>
              <w:bottom w:val="single" w:color="auto" w:sz="4" w:space="0"/>
              <w:right w:val="single" w:color="auto" w:sz="4" w:space="0"/>
            </w:tcBorders>
            <w:noWrap w:val="0"/>
            <w:tcMar>
              <w:top w:w="15" w:type="dxa"/>
              <w:left w:w="15" w:type="dxa"/>
              <w:bottom w:w="15" w:type="dxa"/>
              <w:right w:w="15" w:type="dxa"/>
            </w:tcMar>
            <w:vAlign w:val="center"/>
          </w:tcPr>
          <w:p>
            <w:pPr>
              <w:widowControl/>
              <w:snapToGrid w:val="0"/>
              <w:spacing w:line="600" w:lineRule="exact"/>
              <w:ind w:left="315" w:hanging="315"/>
              <w:jc w:val="both"/>
              <w:rPr>
                <w:rFonts w:hint="default" w:ascii="仿宋" w:hAnsi="仿宋" w:eastAsia="仿宋" w:cs="宋体"/>
                <w:color w:val="010101"/>
                <w:kern w:val="0"/>
                <w:szCs w:val="21"/>
                <w:lang w:val="en-US" w:eastAsia="zh-CN" w:bidi="ar"/>
              </w:rPr>
            </w:pPr>
            <w:r>
              <w:rPr>
                <w:rFonts w:hint="eastAsia" w:ascii="仿宋" w:hAnsi="仿宋" w:eastAsia="仿宋" w:cs="宋体"/>
                <w:color w:val="010101"/>
                <w:kern w:val="0"/>
                <w:szCs w:val="21"/>
                <w:lang w:val="en-US" w:eastAsia="zh-CN" w:bidi="ar"/>
              </w:rPr>
              <w:t>2741.2%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退休费超支主要是发放了退休干部的老年节及春节慰问开支。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生活补助超支是因为预算数中只包含了遗属的生活补助，而决算数中包含了在职干部的餐补和遗属生活补助，所以决算数大于预算数。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奖励金超支主要是发放了2019年度市绩效考核奖励金和退休干部独生子女费，而预算中没有包含。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pPr>
      <w:r>
        <w:rPr>
          <w:rFonts w:hint="eastAsia" w:ascii="仿宋" w:hAnsi="仿宋" w:eastAsia="仿宋" w:cs="仿宋"/>
          <w:i w:val="0"/>
          <w:caps w:val="0"/>
          <w:color w:val="1E1E1E"/>
          <w:spacing w:val="0"/>
          <w:kern w:val="0"/>
          <w:sz w:val="32"/>
          <w:szCs w:val="32"/>
          <w:lang w:val="en-US" w:eastAsia="zh-CN" w:bidi="ar"/>
        </w:rPr>
        <w:t>（二）“三公经费”支出使用和管理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caps w:val="0"/>
          <w:color w:val="1E1E1E"/>
          <w:spacing w:val="0"/>
          <w:kern w:val="0"/>
          <w:sz w:val="32"/>
          <w:szCs w:val="32"/>
          <w:lang w:val="en-US" w:eastAsia="zh-CN" w:bidi="ar"/>
        </w:rPr>
        <w:t>1、“三公经费”预算执行 </w:t>
      </w:r>
    </w:p>
    <w:tbl>
      <w:tblPr>
        <w:tblStyle w:val="8"/>
        <w:tblW w:w="0" w:type="auto"/>
        <w:jc w:val="center"/>
        <w:shd w:val="clear" w:color="auto" w:fill="auto"/>
        <w:tblLayout w:type="autofit"/>
        <w:tblCellMar>
          <w:top w:w="0" w:type="dxa"/>
          <w:left w:w="0" w:type="dxa"/>
          <w:bottom w:w="0" w:type="dxa"/>
          <w:right w:w="0" w:type="dxa"/>
        </w:tblCellMar>
      </w:tblPr>
      <w:tblGrid>
        <w:gridCol w:w="1608"/>
        <w:gridCol w:w="1054"/>
        <w:gridCol w:w="1112"/>
        <w:gridCol w:w="995"/>
        <w:gridCol w:w="1156"/>
        <w:gridCol w:w="1138"/>
        <w:gridCol w:w="1273"/>
      </w:tblGrid>
      <w:tr>
        <w:tblPrEx>
          <w:shd w:val="clear" w:color="auto" w:fill="auto"/>
          <w:tblCellMar>
            <w:top w:w="0" w:type="dxa"/>
            <w:left w:w="0" w:type="dxa"/>
            <w:bottom w:w="0" w:type="dxa"/>
            <w:right w:w="0" w:type="dxa"/>
          </w:tblCellMar>
        </w:tblPrEx>
        <w:trPr>
          <w:trHeight w:val="364" w:hRule="atLeast"/>
          <w:jc w:val="center"/>
        </w:trPr>
        <w:tc>
          <w:tcPr>
            <w:tcW w:w="1608"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费用项目</w:t>
            </w:r>
          </w:p>
        </w:tc>
        <w:tc>
          <w:tcPr>
            <w:tcW w:w="2166"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本年预算</w:t>
            </w:r>
          </w:p>
        </w:tc>
        <w:tc>
          <w:tcPr>
            <w:tcW w:w="215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本年决算</w:t>
            </w:r>
          </w:p>
        </w:tc>
        <w:tc>
          <w:tcPr>
            <w:tcW w:w="241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结余</w:t>
            </w:r>
          </w:p>
        </w:tc>
      </w:tr>
      <w:tr>
        <w:tblPrEx>
          <w:shd w:val="clear" w:color="auto" w:fill="auto"/>
          <w:tblCellMar>
            <w:top w:w="0" w:type="dxa"/>
            <w:left w:w="0" w:type="dxa"/>
            <w:bottom w:w="0" w:type="dxa"/>
            <w:right w:w="0" w:type="dxa"/>
          </w:tblCellMar>
        </w:tblPrEx>
        <w:trPr>
          <w:trHeight w:val="580" w:hRule="atLeast"/>
          <w:jc w:val="center"/>
        </w:trPr>
        <w:tc>
          <w:tcPr>
            <w:tcW w:w="1608"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rPr>
                <w:rFonts w:hint="eastAsia" w:ascii="宋体"/>
                <w:sz w:val="24"/>
                <w:szCs w:val="24"/>
              </w:rPr>
            </w:pPr>
          </w:p>
        </w:tc>
        <w:tc>
          <w:tcPr>
            <w:tcW w:w="1054"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c>
          <w:tcPr>
            <w:tcW w:w="1138"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基本支出</w:t>
            </w:r>
          </w:p>
        </w:tc>
        <w:tc>
          <w:tcPr>
            <w:tcW w:w="1273"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项目支出</w:t>
            </w:r>
          </w:p>
        </w:tc>
      </w:tr>
      <w:tr>
        <w:tblPrEx>
          <w:shd w:val="clear" w:color="auto" w:fill="auto"/>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198</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3.09</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194.91</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shd w:val="clear" w:color="auto" w:fill="auto"/>
          <w:tblCellMar>
            <w:top w:w="0" w:type="dxa"/>
            <w:left w:w="0" w:type="dxa"/>
            <w:bottom w:w="0" w:type="dxa"/>
            <w:right w:w="0" w:type="dxa"/>
          </w:tblCellMar>
        </w:tblPrEx>
        <w:trPr>
          <w:trHeight w:val="400"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 21</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21</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shd w:val="clear" w:color="auto" w:fill="auto"/>
          <w:tblCellMar>
            <w:top w:w="0" w:type="dxa"/>
            <w:left w:w="0" w:type="dxa"/>
            <w:bottom w:w="0" w:type="dxa"/>
            <w:right w:w="0" w:type="dxa"/>
          </w:tblCellMar>
        </w:tblPrEx>
        <w:trPr>
          <w:trHeight w:val="430"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公务车购置费</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default" w:ascii="仿宋" w:hAnsi="仿宋" w:eastAsia="仿宋" w:cs="仿宋"/>
                <w:color w:val="010101"/>
                <w:kern w:val="0"/>
                <w:sz w:val="21"/>
                <w:szCs w:val="21"/>
                <w:lang w:val="en-US" w:eastAsia="zh-CN" w:bidi="ar"/>
              </w:rPr>
              <w:t> </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shd w:val="clear" w:color="auto" w:fill="auto"/>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因公出国费用</w:t>
            </w:r>
          </w:p>
        </w:tc>
        <w:tc>
          <w:tcPr>
            <w:tcW w:w="1054"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12"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0</w:t>
            </w:r>
          </w:p>
        </w:tc>
        <w:tc>
          <w:tcPr>
            <w:tcW w:w="1156"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273"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r>
        <w:tblPrEx>
          <w:shd w:val="clear" w:color="auto" w:fill="auto"/>
          <w:tblCellMar>
            <w:top w:w="0" w:type="dxa"/>
            <w:left w:w="0" w:type="dxa"/>
            <w:bottom w:w="0" w:type="dxa"/>
            <w:right w:w="0" w:type="dxa"/>
          </w:tblCellMar>
        </w:tblPrEx>
        <w:trPr>
          <w:trHeight w:val="399" w:hRule="atLeast"/>
          <w:jc w:val="center"/>
        </w:trPr>
        <w:tc>
          <w:tcPr>
            <w:tcW w:w="1608"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1054"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219</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3.09</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c>
          <w:tcPr>
            <w:tcW w:w="1138"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lang w:val="en-US"/>
              </w:rPr>
            </w:pPr>
            <w:r>
              <w:rPr>
                <w:rFonts w:hint="eastAsia" w:ascii="仿宋" w:hAnsi="仿宋" w:eastAsia="仿宋" w:cs="仿宋"/>
                <w:color w:val="auto"/>
                <w:kern w:val="0"/>
                <w:sz w:val="21"/>
                <w:szCs w:val="21"/>
                <w:lang w:val="en-US" w:eastAsia="zh-CN" w:bidi="ar"/>
              </w:rPr>
              <w:t>215.91</w:t>
            </w:r>
          </w:p>
        </w:tc>
        <w:tc>
          <w:tcPr>
            <w:tcW w:w="1273"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default"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因预算数中的“三公经费”包含了接待办的公务接待费，而决算数中没有体现接待办的公务接待费，所以导致结余数较大。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left"/>
      </w:pPr>
      <w:r>
        <w:rPr>
          <w:rFonts w:hint="eastAsia" w:ascii="仿宋" w:hAnsi="仿宋" w:eastAsia="仿宋" w:cs="仿宋"/>
          <w:i w:val="0"/>
          <w:caps w:val="0"/>
          <w:color w:val="1E1E1E"/>
          <w:spacing w:val="0"/>
          <w:kern w:val="0"/>
          <w:sz w:val="32"/>
          <w:szCs w:val="32"/>
          <w:lang w:val="en-US" w:eastAsia="zh-CN" w:bidi="ar"/>
        </w:rPr>
        <w:t>2、“三公经费”与上年度比较</w:t>
      </w:r>
    </w:p>
    <w:tbl>
      <w:tblPr>
        <w:tblStyle w:val="8"/>
        <w:tblW w:w="0" w:type="auto"/>
        <w:jc w:val="center"/>
        <w:shd w:val="clear" w:color="auto" w:fill="auto"/>
        <w:tblLayout w:type="autofit"/>
        <w:tblCellMar>
          <w:top w:w="0" w:type="dxa"/>
          <w:left w:w="0" w:type="dxa"/>
          <w:bottom w:w="0" w:type="dxa"/>
          <w:right w:w="0" w:type="dxa"/>
        </w:tblCellMar>
      </w:tblPr>
      <w:tblGrid>
        <w:gridCol w:w="2743"/>
        <w:gridCol w:w="1631"/>
        <w:gridCol w:w="1488"/>
        <w:gridCol w:w="1600"/>
      </w:tblGrid>
      <w:tr>
        <w:tblPrEx>
          <w:shd w:val="clear" w:color="auto" w:fill="auto"/>
          <w:tblCellMar>
            <w:top w:w="0" w:type="dxa"/>
            <w:left w:w="0" w:type="dxa"/>
            <w:bottom w:w="0" w:type="dxa"/>
            <w:right w:w="0" w:type="dxa"/>
          </w:tblCellMar>
        </w:tblPrEx>
        <w:trPr>
          <w:trHeight w:val="331" w:hRule="atLeast"/>
          <w:jc w:val="center"/>
        </w:trPr>
        <w:tc>
          <w:tcPr>
            <w:tcW w:w="2743"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费用项目</w:t>
            </w:r>
          </w:p>
        </w:tc>
        <w:tc>
          <w:tcPr>
            <w:tcW w:w="1631"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本年金额</w:t>
            </w:r>
          </w:p>
        </w:tc>
        <w:tc>
          <w:tcPr>
            <w:tcW w:w="1488"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上年金额</w:t>
            </w:r>
          </w:p>
        </w:tc>
        <w:tc>
          <w:tcPr>
            <w:tcW w:w="1600"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减额</w:t>
            </w:r>
          </w:p>
        </w:tc>
      </w:tr>
      <w:tr>
        <w:tblPrEx>
          <w:shd w:val="clear" w:color="auto" w:fill="auto"/>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3.09</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3.28</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0.19</w:t>
            </w:r>
          </w:p>
        </w:tc>
      </w:tr>
      <w:tr>
        <w:tblPrEx>
          <w:shd w:val="clear" w:color="auto" w:fill="auto"/>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r>
      <w:tr>
        <w:tblPrEx>
          <w:shd w:val="clear" w:color="auto" w:fill="auto"/>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公务车辆购置费</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w:t>
            </w:r>
          </w:p>
        </w:tc>
      </w:tr>
      <w:tr>
        <w:tblPrEx>
          <w:shd w:val="clear" w:color="auto" w:fill="auto"/>
          <w:tblCellMar>
            <w:top w:w="0" w:type="dxa"/>
            <w:left w:w="0" w:type="dxa"/>
            <w:bottom w:w="0" w:type="dxa"/>
            <w:right w:w="0" w:type="dxa"/>
          </w:tblCellMar>
        </w:tblPrEx>
        <w:trPr>
          <w:trHeight w:val="331" w:hRule="atLeast"/>
          <w:jc w:val="center"/>
        </w:trPr>
        <w:tc>
          <w:tcPr>
            <w:tcW w:w="2743"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因公出国(境)费用</w:t>
            </w:r>
          </w:p>
        </w:tc>
        <w:tc>
          <w:tcPr>
            <w:tcW w:w="1631"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488"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w:t>
            </w:r>
          </w:p>
        </w:tc>
        <w:tc>
          <w:tcPr>
            <w:tcW w:w="1600"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w:t>
            </w:r>
          </w:p>
        </w:tc>
      </w:tr>
      <w:tr>
        <w:tblPrEx>
          <w:shd w:val="clear" w:color="auto" w:fill="auto"/>
          <w:tblCellMar>
            <w:top w:w="0" w:type="dxa"/>
            <w:left w:w="0" w:type="dxa"/>
            <w:bottom w:w="0" w:type="dxa"/>
            <w:right w:w="0" w:type="dxa"/>
          </w:tblCellMar>
        </w:tblPrEx>
        <w:trPr>
          <w:trHeight w:val="369" w:hRule="atLeast"/>
          <w:jc w:val="center"/>
        </w:trPr>
        <w:tc>
          <w:tcPr>
            <w:tcW w:w="2743"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仿宋" w:hAnsi="仿宋" w:eastAsia="仿宋" w:cs="仿宋"/>
                <w:color w:val="010101"/>
                <w:kern w:val="0"/>
                <w:sz w:val="21"/>
                <w:szCs w:val="21"/>
                <w:lang w:val="en-US" w:eastAsia="zh-CN" w:bidi="ar"/>
              </w:rPr>
              <w:t>合计</w:t>
            </w:r>
          </w:p>
        </w:tc>
        <w:tc>
          <w:tcPr>
            <w:tcW w:w="1631"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3.09</w:t>
            </w:r>
          </w:p>
        </w:tc>
        <w:tc>
          <w:tcPr>
            <w:tcW w:w="1488" w:type="dxa"/>
            <w:tcBorders>
              <w:top w:val="nil"/>
              <w:left w:val="nil"/>
              <w:bottom w:val="single" w:color="auto" w:sz="8" w:space="0"/>
              <w:right w:val="single" w:color="auto" w:sz="8" w:space="0"/>
            </w:tcBorders>
            <w:shd w:val="clear" w:color="auto" w:fill="D9D9D9"/>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3.28</w:t>
            </w:r>
          </w:p>
        </w:tc>
        <w:tc>
          <w:tcPr>
            <w:tcW w:w="1600" w:type="dxa"/>
            <w:tcBorders>
              <w:top w:val="nil"/>
              <w:left w:val="nil"/>
              <w:bottom w:val="single" w:color="auto" w:sz="8" w:space="0"/>
              <w:right w:val="single" w:color="auto" w:sz="8" w:space="0"/>
            </w:tcBorders>
            <w:shd w:val="clear" w:color="auto" w:fill="D9D9D9"/>
            <w:tcMar>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leftChars="0" w:right="0" w:rightChars="0" w:hanging="315" w:firstLineChars="0"/>
              <w:jc w:val="center"/>
              <w:rPr>
                <w:rFonts w:hint="default"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0.19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563" w:firstLineChars="176"/>
        <w:jc w:val="left"/>
        <w:rPr>
          <w:rFonts w:hint="eastAsia" w:ascii="仿宋" w:hAnsi="仿宋" w:eastAsia="仿宋" w:cs="仿宋"/>
          <w:i w:val="0"/>
          <w:caps w:val="0"/>
          <w:color w:val="1E1E1E"/>
          <w:spacing w:val="0"/>
          <w:kern w:val="0"/>
          <w:sz w:val="32"/>
          <w:szCs w:val="32"/>
          <w:lang w:val="en-US" w:eastAsia="zh-CN" w:bidi="ar"/>
        </w:rPr>
      </w:pPr>
      <w:r>
        <w:rPr>
          <w:rFonts w:hint="eastAsia" w:ascii="仿宋" w:hAnsi="仿宋" w:eastAsia="仿宋" w:cs="仿宋"/>
          <w:i w:val="0"/>
          <w:caps w:val="0"/>
          <w:color w:val="1E1E1E"/>
          <w:spacing w:val="0"/>
          <w:kern w:val="0"/>
          <w:sz w:val="32"/>
          <w:szCs w:val="32"/>
          <w:lang w:val="en-US" w:eastAsia="zh-CN" w:bidi="ar"/>
        </w:rPr>
        <w:t>通过严格制度，强化管理，我办全年三公经费总额同比减少</w:t>
      </w:r>
      <w:r>
        <w:rPr>
          <w:rFonts w:hint="eastAsia" w:ascii="仿宋" w:hAnsi="仿宋" w:eastAsia="仿宋" w:cs="仿宋"/>
          <w:i w:val="0"/>
          <w:caps w:val="0"/>
          <w:color w:val="auto"/>
          <w:spacing w:val="0"/>
          <w:kern w:val="0"/>
          <w:sz w:val="32"/>
          <w:szCs w:val="32"/>
          <w:lang w:val="en-US" w:eastAsia="zh-CN" w:bidi="ar"/>
        </w:rPr>
        <w:t>0.19</w:t>
      </w:r>
      <w:r>
        <w:rPr>
          <w:rFonts w:hint="eastAsia" w:ascii="仿宋" w:hAnsi="仿宋" w:eastAsia="仿宋" w:cs="仿宋"/>
          <w:i w:val="0"/>
          <w:caps w:val="0"/>
          <w:color w:val="1E1E1E"/>
          <w:spacing w:val="0"/>
          <w:kern w:val="0"/>
          <w:sz w:val="32"/>
          <w:szCs w:val="32"/>
          <w:lang w:val="en-US" w:eastAsia="zh-CN" w:bidi="ar"/>
        </w:rPr>
        <w:t>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90" w:leftChars="0" w:right="0" w:firstLine="160" w:firstLineChars="0"/>
        <w:jc w:val="left"/>
        <w:rPr>
          <w:rFonts w:hint="eastAsia" w:ascii="仿宋" w:hAnsi="仿宋" w:eastAsia="仿宋"/>
          <w:sz w:val="32"/>
          <w:szCs w:val="32"/>
        </w:rPr>
      </w:pPr>
      <w:r>
        <w:rPr>
          <w:rFonts w:hint="eastAsia" w:ascii="黑体" w:hAnsi="宋体" w:eastAsia="黑体" w:cs="黑体"/>
          <w:i w:val="0"/>
          <w:caps w:val="0"/>
          <w:color w:val="1E1E1E"/>
          <w:spacing w:val="0"/>
          <w:kern w:val="0"/>
          <w:sz w:val="32"/>
          <w:szCs w:val="32"/>
          <w:lang w:val="en-US" w:eastAsia="zh-CN" w:bidi="ar"/>
        </w:rPr>
        <w:t>部门整体支出绩效评价</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2020年，我单位积极履职，强化管理，较好地完成了年度工作目标。通过加强预算收支管理，不断建立健全内部管理制度，部门整体支出管理水平得到提升。部门整体支出绩效情况如下：</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right="0" w:rightChars="0"/>
        <w:jc w:val="both"/>
        <w:textAlignment w:val="auto"/>
        <w:rPr>
          <w:rFonts w:hint="eastAsia" w:ascii="仿宋" w:hAnsi="仿宋" w:eastAsia="仿宋" w:cs="Times New Roman"/>
          <w:sz w:val="32"/>
          <w:szCs w:val="32"/>
        </w:rPr>
      </w:pPr>
      <w:r>
        <w:rPr>
          <w:rFonts w:hint="eastAsia" w:ascii="仿宋" w:hAnsi="仿宋" w:eastAsia="仿宋" w:cs="仿宋"/>
          <w:sz w:val="32"/>
          <w:szCs w:val="32"/>
          <w:lang w:val="en-US" w:eastAsia="zh-CN"/>
        </w:rPr>
        <w:t>（一）</w:t>
      </w:r>
      <w:r>
        <w:rPr>
          <w:rFonts w:ascii="仿宋" w:hAnsi="仿宋" w:eastAsia="仿宋" w:cs="仿宋"/>
          <w:sz w:val="32"/>
          <w:szCs w:val="32"/>
        </w:rPr>
        <w:t>经济性评价</w:t>
      </w:r>
      <w:r>
        <w:rPr>
          <w:rFonts w:hint="eastAsia" w:ascii="仿宋" w:hAnsi="仿宋" w:eastAsia="仿宋" w:cs="仿宋"/>
          <w:sz w:val="32"/>
          <w:szCs w:val="32"/>
          <w:lang w:val="en-US" w:eastAsia="zh-CN"/>
        </w:rPr>
        <w:t>：</w:t>
      </w:r>
      <w:r>
        <w:rPr>
          <w:rFonts w:hint="eastAsia" w:ascii="仿宋" w:hAnsi="仿宋" w:eastAsia="仿宋" w:cs="仿宋"/>
          <w:b w:val="0"/>
          <w:bCs w:val="0"/>
          <w:i w:val="0"/>
          <w:iCs w:val="0"/>
          <w:sz w:val="32"/>
          <w:szCs w:val="32"/>
        </w:rPr>
        <w:t>预</w:t>
      </w:r>
      <w:r>
        <w:rPr>
          <w:rFonts w:hint="eastAsia" w:ascii="仿宋" w:hAnsi="仿宋" w:eastAsia="仿宋" w:cs="仿宋"/>
          <w:b w:val="0"/>
          <w:bCs w:val="0"/>
          <w:sz w:val="32"/>
          <w:szCs w:val="32"/>
        </w:rPr>
        <w:t>算配置控制较好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预算执行比较到位</w:t>
      </w:r>
      <w:r>
        <w:rPr>
          <w:rFonts w:hint="eastAsia" w:ascii="仿宋" w:hAnsi="仿宋" w:eastAsia="仿宋" w:cs="仿宋"/>
          <w:b w:val="0"/>
          <w:bCs w:val="0"/>
          <w:sz w:val="32"/>
          <w:szCs w:val="32"/>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pPr>
      <w:r>
        <w:rPr>
          <w:rFonts w:hint="eastAsia" w:ascii="仿宋" w:hAnsi="仿宋" w:eastAsia="仿宋" w:cs="仿宋"/>
          <w:i w:val="0"/>
          <w:caps w:val="0"/>
          <w:color w:val="1E1E1E"/>
          <w:spacing w:val="0"/>
          <w:kern w:val="0"/>
          <w:sz w:val="32"/>
          <w:szCs w:val="32"/>
          <w:shd w:val="clear" w:color="auto" w:fill="FFFFFF"/>
          <w:lang w:val="en-US" w:eastAsia="zh-CN" w:bidi="ar"/>
        </w:rPr>
        <w:t>（二）行政效能评价：</w:t>
      </w:r>
      <w:r>
        <w:rPr>
          <w:rFonts w:hint="eastAsia" w:ascii="仿宋" w:hAnsi="仿宋" w:eastAsia="仿宋" w:cs="Times New Roman"/>
          <w:sz w:val="32"/>
          <w:szCs w:val="32"/>
          <w:lang w:val="en-US" w:eastAsia="zh-CN"/>
        </w:rPr>
        <w:t>本单位</w:t>
      </w:r>
      <w:r>
        <w:rPr>
          <w:rFonts w:hint="eastAsia" w:ascii="仿宋" w:hAnsi="仿宋" w:eastAsia="仿宋" w:cs="Times New Roman"/>
          <w:sz w:val="32"/>
          <w:szCs w:val="32"/>
        </w:rPr>
        <w:t>各项财经制度完善，包括财务管理制度、公务接待制度</w:t>
      </w:r>
      <w:r>
        <w:rPr>
          <w:rFonts w:hint="eastAsia" w:ascii="仿宋" w:hAnsi="仿宋" w:eastAsia="仿宋" w:cs="Times New Roman"/>
          <w:sz w:val="32"/>
          <w:szCs w:val="32"/>
          <w:lang w:eastAsia="zh-CN"/>
        </w:rPr>
        <w:t>等，并且严格遵守，落到实处。每月末定期进行内部自查、自检工作，保证资金收付安全、准确</w:t>
      </w:r>
      <w:r>
        <w:rPr>
          <w:rFonts w:hint="eastAsia" w:ascii="仿宋" w:hAnsi="仿宋" w:eastAsia="仿宋" w:cs="Times New Roman"/>
          <w:sz w:val="32"/>
          <w:szCs w:val="32"/>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pPr>
      <w:r>
        <w:rPr>
          <w:rFonts w:hint="eastAsia" w:ascii="楷体" w:hAnsi="楷体" w:eastAsia="楷体" w:cs="楷体"/>
          <w:sz w:val="32"/>
          <w:szCs w:val="32"/>
          <w:lang w:val="en-US" w:eastAsia="zh-CN"/>
        </w:rPr>
        <w:t>（三）</w:t>
      </w:r>
      <w:r>
        <w:rPr>
          <w:rFonts w:hint="eastAsia" w:ascii="仿宋" w:hAnsi="仿宋" w:eastAsia="仿宋" w:cs="仿宋"/>
          <w:i w:val="0"/>
          <w:caps w:val="0"/>
          <w:color w:val="1E1E1E"/>
          <w:spacing w:val="0"/>
          <w:kern w:val="0"/>
          <w:sz w:val="32"/>
          <w:szCs w:val="32"/>
          <w:shd w:val="clear" w:color="auto" w:fill="FFFFFF"/>
          <w:lang w:val="en-US" w:eastAsia="zh-CN" w:bidi="ar"/>
        </w:rPr>
        <w:t>项目产出及实现的社会效益：</w:t>
      </w:r>
      <w:r>
        <w:rPr>
          <w:rFonts w:hint="eastAsia" w:ascii="仿宋_GB2312" w:hAnsi="仿宋" w:eastAsia="仿宋_GB2312"/>
          <w:sz w:val="32"/>
          <w:szCs w:val="32"/>
        </w:rPr>
        <w:t>群众满意度较好，</w:t>
      </w:r>
      <w:r>
        <w:rPr>
          <w:rFonts w:hint="eastAsia" w:ascii="仿宋" w:hAnsi="仿宋" w:eastAsia="仿宋" w:cs="仿宋"/>
          <w:sz w:val="32"/>
          <w:szCs w:val="32"/>
          <w:lang w:eastAsia="zh-CN"/>
        </w:rPr>
        <w:t>促进</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社会和谐、经济发展</w:t>
      </w:r>
      <w:r>
        <w:rPr>
          <w:rFonts w:hint="eastAsia" w:ascii="仿宋" w:hAnsi="仿宋" w:eastAsia="仿宋" w:cs="仿宋"/>
          <w:sz w:val="32"/>
          <w:szCs w:val="32"/>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sz w:val="32"/>
          <w:szCs w:val="32"/>
        </w:rPr>
      </w:pPr>
      <w:r>
        <w:rPr>
          <w:rFonts w:hint="eastAsia" w:ascii="仿宋" w:hAnsi="仿宋" w:eastAsia="仿宋" w:cs="仿宋"/>
          <w:kern w:val="2"/>
          <w:sz w:val="32"/>
          <w:szCs w:val="32"/>
          <w:lang w:val="en-US" w:eastAsia="zh-CN" w:bidi="ar"/>
        </w:rPr>
        <w:t>（四）</w:t>
      </w:r>
      <w:r>
        <w:rPr>
          <w:rFonts w:ascii="仿宋" w:hAnsi="仿宋" w:eastAsia="仿宋" w:cs="仿宋"/>
          <w:kern w:val="2"/>
          <w:sz w:val="32"/>
          <w:szCs w:val="32"/>
          <w:lang w:val="en-US" w:eastAsia="zh-CN" w:bidi="ar"/>
        </w:rPr>
        <w:t>可持续性分析</w:t>
      </w:r>
      <w:r>
        <w:rPr>
          <w:rFonts w:hint="eastAsia" w:ascii="仿宋" w:hAnsi="仿宋" w:eastAsia="仿宋" w:cs="仿宋"/>
          <w:kern w:val="2"/>
          <w:sz w:val="32"/>
          <w:szCs w:val="32"/>
          <w:lang w:val="en-US" w:eastAsia="zh-CN" w:bidi="ar"/>
        </w:rPr>
        <w:t>：</w:t>
      </w:r>
      <w:r>
        <w:rPr>
          <w:rFonts w:hint="eastAsia" w:ascii="仿宋" w:hAnsi="仿宋" w:eastAsia="仿宋" w:cs="仿宋"/>
          <w:sz w:val="32"/>
          <w:szCs w:val="32"/>
          <w:lang w:val="en-US" w:eastAsia="zh-CN"/>
        </w:rPr>
        <w:t>本单位</w:t>
      </w:r>
      <w:r>
        <w:rPr>
          <w:rFonts w:hint="eastAsia" w:ascii="仿宋" w:hAnsi="仿宋" w:eastAsia="仿宋" w:cs="仿宋"/>
          <w:b w:val="0"/>
          <w:bCs w:val="0"/>
          <w:color w:val="auto"/>
          <w:sz w:val="32"/>
          <w:szCs w:val="32"/>
          <w:lang w:eastAsia="zh-CN"/>
        </w:rPr>
        <w:t>厉行节约，确保各项支出落地有声，可持续推进。</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sz w:val="32"/>
          <w:szCs w:val="32"/>
        </w:rPr>
      </w:pPr>
      <w:r>
        <w:rPr>
          <w:rFonts w:hint="eastAsia" w:ascii="仿宋" w:hAnsi="仿宋" w:eastAsia="仿宋" w:cs="仿宋"/>
          <w:i w:val="0"/>
          <w:caps w:val="0"/>
          <w:color w:val="1E1E1E"/>
          <w:spacing w:val="0"/>
          <w:kern w:val="0"/>
          <w:sz w:val="32"/>
          <w:szCs w:val="32"/>
          <w:shd w:val="clear" w:color="auto" w:fill="FFFFFF"/>
          <w:lang w:val="en-US" w:eastAsia="zh-CN" w:bidi="ar"/>
        </w:rPr>
        <w:t>（五）社会公众满意度：</w:t>
      </w:r>
      <w:r>
        <w:rPr>
          <w:rFonts w:hint="eastAsia" w:ascii="仿宋" w:hAnsi="仿宋" w:eastAsia="仿宋"/>
          <w:sz w:val="32"/>
          <w:szCs w:val="32"/>
        </w:rPr>
        <w:t>群众</w:t>
      </w:r>
      <w:r>
        <w:rPr>
          <w:rFonts w:hint="eastAsia" w:ascii="仿宋" w:hAnsi="仿宋" w:eastAsia="仿宋"/>
          <w:sz w:val="32"/>
          <w:szCs w:val="32"/>
          <w:lang w:eastAsia="zh-CN"/>
        </w:rPr>
        <w:t>和服务对象</w:t>
      </w:r>
      <w:r>
        <w:rPr>
          <w:rFonts w:hint="eastAsia" w:ascii="仿宋" w:hAnsi="仿宋" w:eastAsia="仿宋"/>
          <w:sz w:val="32"/>
          <w:szCs w:val="32"/>
        </w:rPr>
        <w:t>满意度达</w:t>
      </w:r>
      <w:r>
        <w:rPr>
          <w:rFonts w:hint="eastAsia" w:ascii="仿宋" w:hAnsi="仿宋" w:eastAsia="仿宋"/>
          <w:sz w:val="32"/>
          <w:szCs w:val="32"/>
          <w:lang w:val="en-US" w:eastAsia="zh-CN"/>
        </w:rPr>
        <w:t>98</w:t>
      </w:r>
      <w:r>
        <w:rPr>
          <w:rFonts w:hint="eastAsia" w:ascii="仿宋" w:hAnsi="仿宋" w:eastAsia="仿宋"/>
          <w:sz w:val="32"/>
          <w:szCs w:val="32"/>
        </w:rPr>
        <w:t>%以上</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cs="仿宋"/>
          <w:b w:val="0"/>
          <w:bCs w:val="0"/>
          <w:i w:val="0"/>
          <w:caps w:val="0"/>
          <w:color w:val="1E1E1E"/>
          <w:spacing w:val="0"/>
          <w:kern w:val="0"/>
          <w:sz w:val="32"/>
          <w:szCs w:val="32"/>
          <w:shd w:val="clear" w:color="auto" w:fill="FFFFFF"/>
          <w:lang w:val="en-US" w:eastAsia="zh-CN" w:bidi="ar"/>
        </w:rPr>
      </w:pPr>
      <w:r>
        <w:rPr>
          <w:rFonts w:hint="eastAsia" w:ascii="仿宋" w:hAnsi="仿宋" w:eastAsia="仿宋"/>
          <w:b w:val="0"/>
          <w:bCs w:val="0"/>
          <w:sz w:val="32"/>
          <w:szCs w:val="32"/>
          <w:lang w:val="en-US" w:eastAsia="zh-CN"/>
        </w:rPr>
        <w:t>（六）</w:t>
      </w:r>
      <w:r>
        <w:rPr>
          <w:rFonts w:hint="eastAsia" w:ascii="仿宋" w:hAnsi="仿宋" w:eastAsia="仿宋"/>
          <w:b w:val="0"/>
          <w:bCs w:val="0"/>
          <w:sz w:val="32"/>
          <w:szCs w:val="32"/>
        </w:rPr>
        <w:t>部门整体绩效</w:t>
      </w:r>
      <w:r>
        <w:rPr>
          <w:rFonts w:hint="eastAsia" w:ascii="仿宋" w:hAnsi="仿宋" w:eastAsia="仿宋"/>
          <w:b w:val="0"/>
          <w:bCs w:val="0"/>
          <w:sz w:val="32"/>
          <w:szCs w:val="32"/>
          <w:lang w:eastAsia="zh-CN"/>
        </w:rPr>
        <w:t>自评</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lang w:eastAsia="zh-CN"/>
        </w:rPr>
        <w:t>自评为</w:t>
      </w:r>
      <w:r>
        <w:rPr>
          <w:rFonts w:hint="eastAsia" w:ascii="仿宋" w:hAnsi="仿宋" w:eastAsia="仿宋"/>
          <w:b w:val="0"/>
          <w:bCs w:val="0"/>
          <w:sz w:val="32"/>
          <w:szCs w:val="32"/>
          <w:lang w:val="en-US" w:eastAsia="zh-CN"/>
        </w:rPr>
        <w:t>98分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eastAsia" w:ascii="黑体" w:hAnsi="宋体" w:eastAsia="黑体" w:cs="黑体"/>
          <w:i w:val="0"/>
          <w:caps w:val="0"/>
          <w:color w:val="1E1E1E"/>
          <w:spacing w:val="0"/>
          <w:kern w:val="0"/>
          <w:sz w:val="32"/>
          <w:szCs w:val="32"/>
          <w:lang w:val="en-US" w:eastAsia="zh-CN" w:bidi="ar"/>
        </w:rPr>
      </w:pPr>
      <w:r>
        <w:rPr>
          <w:rFonts w:hint="eastAsia" w:ascii="黑体" w:hAnsi="宋体" w:eastAsia="黑体" w:cs="黑体"/>
          <w:i w:val="0"/>
          <w:caps w:val="0"/>
          <w:color w:val="1E1E1E"/>
          <w:spacing w:val="0"/>
          <w:kern w:val="0"/>
          <w:sz w:val="32"/>
          <w:szCs w:val="32"/>
          <w:lang w:val="en-US" w:eastAsia="zh-CN" w:bidi="ar"/>
        </w:rPr>
        <w:t>五、存在的问题</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pacing w:line="600" w:lineRule="atLeast"/>
        <w:ind w:leftChars="0" w:right="0" w:rightChars="0"/>
        <w:jc w:val="both"/>
        <w:textAlignment w:val="auto"/>
        <w:rPr>
          <w:rFonts w:hint="eastAsia" w:ascii="仿宋" w:hAnsi="仿宋" w:eastAsia="仿宋" w:cs="仿宋"/>
          <w:i w:val="0"/>
          <w:caps w:val="0"/>
          <w:color w:val="1E1E1E"/>
          <w:spacing w:val="0"/>
          <w:kern w:val="0"/>
          <w:sz w:val="32"/>
          <w:szCs w:val="32"/>
          <w:shd w:val="clear" w:color="auto" w:fill="FFFFFF"/>
          <w:lang w:val="en-US" w:eastAsia="zh-CN" w:bidi="ar"/>
        </w:rPr>
      </w:pPr>
      <w:r>
        <w:rPr>
          <w:rFonts w:hint="eastAsia" w:ascii="仿宋" w:hAnsi="仿宋" w:eastAsia="仿宋" w:cs="仿宋"/>
          <w:i w:val="0"/>
          <w:caps w:val="0"/>
          <w:color w:val="1E1E1E"/>
          <w:spacing w:val="0"/>
          <w:kern w:val="0"/>
          <w:sz w:val="32"/>
          <w:szCs w:val="32"/>
          <w:lang w:val="en-US" w:eastAsia="zh-CN" w:bidi="ar"/>
        </w:rPr>
        <w:t>预算管理方面，制度执行总体较为有效，仍需进一步加强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eastAsia" w:ascii="黑体" w:hAnsi="宋体" w:eastAsia="黑体" w:cs="黑体"/>
          <w:i w:val="0"/>
          <w:caps w:val="0"/>
          <w:color w:val="1E1E1E"/>
          <w:spacing w:val="0"/>
          <w:kern w:val="0"/>
          <w:sz w:val="32"/>
          <w:szCs w:val="32"/>
          <w:lang w:val="en-US" w:eastAsia="zh-CN" w:bidi="ar"/>
        </w:rPr>
      </w:pPr>
      <w:r>
        <w:rPr>
          <w:rFonts w:hint="eastAsia" w:ascii="黑体" w:hAnsi="宋体" w:eastAsia="黑体" w:cs="黑体"/>
          <w:i w:val="0"/>
          <w:caps w:val="0"/>
          <w:color w:val="1E1E1E"/>
          <w:spacing w:val="0"/>
          <w:kern w:val="0"/>
          <w:sz w:val="32"/>
          <w:szCs w:val="32"/>
          <w:lang w:val="en-US" w:eastAsia="zh-CN" w:bidi="ar"/>
        </w:rPr>
        <w:t>六、改进意见及建议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仿宋_GB2312" w:hAnsi="微软雅黑" w:eastAsia="仿宋_GB2312" w:cs="仿宋_GB2312"/>
          <w:i w:val="0"/>
          <w:caps w:val="0"/>
          <w:color w:val="1E1E1E"/>
          <w:spacing w:val="0"/>
          <w:kern w:val="0"/>
          <w:sz w:val="32"/>
          <w:szCs w:val="32"/>
          <w:lang w:val="en-US" w:eastAsia="zh-CN" w:bidi="ar"/>
        </w:rPr>
      </w:pPr>
      <w:r>
        <w:rPr>
          <w:rFonts w:hint="eastAsia" w:ascii="仿宋_GB2312" w:hAnsi="微软雅黑" w:eastAsia="仿宋_GB2312" w:cs="仿宋_GB2312"/>
          <w:i w:val="0"/>
          <w:caps w:val="0"/>
          <w:color w:val="1E1E1E"/>
          <w:spacing w:val="0"/>
          <w:kern w:val="0"/>
          <w:sz w:val="32"/>
          <w:szCs w:val="32"/>
          <w:lang w:val="en-US" w:eastAsia="zh-CN" w:bidi="ar"/>
        </w:rPr>
        <w:t>进一步加强财政预算绩效管理，严格按照部门预算要求，牢固树立“成本效益”观念，进一步加强预算管理，规范预算执行，不断优化预算支出结构，提高资金使用效益。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leftChars="0" w:right="0" w:rightChars="0"/>
        <w:jc w:val="left"/>
        <w:rPr>
          <w:rFonts w:hint="eastAsia" w:ascii="黑体" w:hAnsi="宋体" w:eastAsia="黑体" w:cs="黑体"/>
          <w:i w:val="0"/>
          <w:caps w:val="0"/>
          <w:color w:val="1E1E1E"/>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540" w:right="0" w:hanging="540"/>
        <w:jc w:val="center"/>
        <w:rPr>
          <w:rFonts w:hint="eastAsia" w:ascii="微软雅黑" w:hAnsi="微软雅黑" w:eastAsia="微软雅黑" w:cs="微软雅黑"/>
          <w:i w:val="0"/>
          <w:caps w:val="0"/>
          <w:color w:val="1E1E1E"/>
          <w:spacing w:val="0"/>
          <w:sz w:val="22"/>
          <w:szCs w:val="22"/>
        </w:rPr>
      </w:pPr>
      <w:r>
        <w:rPr>
          <w:rFonts w:hint="eastAsia" w:ascii="Times New Roman" w:hAnsi="Times New Roman" w:eastAsia="微软雅黑" w:cs="Times New Roman"/>
          <w:i w:val="0"/>
          <w:caps w:val="0"/>
          <w:color w:val="1E1E1E"/>
          <w:spacing w:val="0"/>
          <w:kern w:val="0"/>
          <w:sz w:val="36"/>
          <w:szCs w:val="36"/>
          <w:shd w:val="clear" w:fill="FFFFFF"/>
          <w:lang w:val="en-US" w:eastAsia="zh-CN" w:bidi="ar"/>
        </w:rPr>
        <w:t>2020</w:t>
      </w:r>
      <w:r>
        <w:rPr>
          <w:rFonts w:ascii="方正小标宋_GBK" w:hAnsi="方正小标宋_GBK" w:eastAsia="方正小标宋_GBK" w:cs="方正小标宋_GBK"/>
          <w:i w:val="0"/>
          <w:caps w:val="0"/>
          <w:color w:val="1E1E1E"/>
          <w:spacing w:val="0"/>
          <w:kern w:val="0"/>
          <w:sz w:val="36"/>
          <w:szCs w:val="36"/>
          <w:shd w:val="clear" w:fill="FFFFFF"/>
          <w:lang w:val="en-US" w:eastAsia="zh-CN" w:bidi="ar"/>
        </w:rPr>
        <w:t>年度部门整体支出</w:t>
      </w:r>
      <w:r>
        <w:rPr>
          <w:rFonts w:hint="default" w:ascii="方正小标宋_GBK" w:hAnsi="方正小标宋_GBK" w:eastAsia="方正小标宋_GBK" w:cs="方正小标宋_GBK"/>
          <w:i w:val="0"/>
          <w:caps w:val="0"/>
          <w:color w:val="1E1E1E"/>
          <w:spacing w:val="-8"/>
          <w:kern w:val="0"/>
          <w:sz w:val="36"/>
          <w:szCs w:val="36"/>
          <w:shd w:val="clear" w:fill="FFFFFF"/>
          <w:lang w:val="en-US" w:eastAsia="zh-CN" w:bidi="ar"/>
        </w:rPr>
        <w:t>绩效评价指标评分表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96" w:right="0" w:hanging="396"/>
        <w:jc w:val="left"/>
        <w:rPr>
          <w:rFonts w:hint="eastAsia" w:ascii="微软雅黑" w:hAnsi="微软雅黑" w:eastAsia="微软雅黑" w:cs="微软雅黑"/>
          <w:i w:val="0"/>
          <w:caps w:val="0"/>
          <w:color w:val="1E1E1E"/>
          <w:spacing w:val="0"/>
          <w:sz w:val="22"/>
          <w:szCs w:val="22"/>
        </w:rPr>
      </w:pPr>
      <w:r>
        <w:rPr>
          <w:rFonts w:ascii="楷体_GB2312" w:hAnsi="微软雅黑" w:eastAsia="楷体_GB2312" w:cs="楷体_GB2312"/>
          <w:i w:val="0"/>
          <w:caps w:val="0"/>
          <w:color w:val="1E1E1E"/>
          <w:spacing w:val="-8"/>
          <w:kern w:val="0"/>
          <w:sz w:val="28"/>
          <w:szCs w:val="28"/>
          <w:shd w:val="clear" w:fill="FFFFFF"/>
          <w:lang w:val="en-US" w:eastAsia="zh-CN" w:bidi="ar"/>
        </w:rPr>
        <w:t>填报单位（盖章）：</w:t>
      </w:r>
    </w:p>
    <w:tbl>
      <w:tblPr>
        <w:tblStyle w:val="8"/>
        <w:tblW w:w="0" w:type="auto"/>
        <w:jc w:val="center"/>
        <w:shd w:val="clear" w:color="auto" w:fill="auto"/>
        <w:tblLayout w:type="autofit"/>
        <w:tblCellMar>
          <w:top w:w="0" w:type="dxa"/>
          <w:left w:w="0" w:type="dxa"/>
          <w:bottom w:w="0" w:type="dxa"/>
          <w:right w:w="0" w:type="dxa"/>
        </w:tblCellMar>
      </w:tblPr>
      <w:tblGrid>
        <w:gridCol w:w="491"/>
        <w:gridCol w:w="556"/>
        <w:gridCol w:w="845"/>
        <w:gridCol w:w="2894"/>
        <w:gridCol w:w="2921"/>
        <w:gridCol w:w="619"/>
      </w:tblGrid>
      <w:tr>
        <w:tblPrEx>
          <w:shd w:val="clear" w:color="auto" w:fill="auto"/>
          <w:tblCellMar>
            <w:top w:w="0" w:type="dxa"/>
            <w:left w:w="0" w:type="dxa"/>
            <w:bottom w:w="0" w:type="dxa"/>
            <w:right w:w="0" w:type="dxa"/>
          </w:tblCellMar>
        </w:tblPrEx>
        <w:trPr>
          <w:trHeight w:val="644" w:hRule="atLeast"/>
          <w:jc w:val="center"/>
        </w:trPr>
        <w:tc>
          <w:tcPr>
            <w:tcW w:w="491" w:type="dxa"/>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指标</w:t>
            </w:r>
          </w:p>
        </w:tc>
        <w:tc>
          <w:tcPr>
            <w:tcW w:w="556"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二级指标</w:t>
            </w:r>
          </w:p>
        </w:tc>
        <w:tc>
          <w:tcPr>
            <w:tcW w:w="845"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三级指标</w:t>
            </w:r>
          </w:p>
        </w:tc>
        <w:tc>
          <w:tcPr>
            <w:tcW w:w="2894"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指标解释</w:t>
            </w:r>
          </w:p>
        </w:tc>
        <w:tc>
          <w:tcPr>
            <w:tcW w:w="2921"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指标说明</w:t>
            </w:r>
          </w:p>
        </w:tc>
        <w:tc>
          <w:tcPr>
            <w:tcW w:w="619"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自评分</w:t>
            </w:r>
          </w:p>
        </w:tc>
      </w:tr>
      <w:tr>
        <w:tblPrEx>
          <w:shd w:val="clear" w:color="auto" w:fill="auto"/>
          <w:tblCellMar>
            <w:top w:w="0" w:type="dxa"/>
            <w:left w:w="0" w:type="dxa"/>
            <w:bottom w:w="0" w:type="dxa"/>
            <w:right w:w="0" w:type="dxa"/>
          </w:tblCellMar>
        </w:tblPrEx>
        <w:trPr>
          <w:trHeight w:val="1006"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投入(20分)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设定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绩效目标合理性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部门所设立的整体绩效目标依据是否充分，是否符合客观实际，用以反映和考核部门整体绩效目标与部门履职、年度工作任务的相符性情况。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①符合国家法律法规、国民经济和社会发展总体规划计1分；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②符合部门“三定”方案确定的职责计0.5分；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③是否符合部门制定的中长期实施规划计0.5分。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096"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绩效指标明确性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（3分）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部门依据整体绩效目标所设定的绩效指标是否清晰、细化、可衡量，用以反映和考核部门整体绩效目标的明细化情况。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①将部门整体的绩效目标细化分解为具体的工作任务计1分；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②通过清晰、可衡量的指标值予以体现计0.5分；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③与部门年度的任务数或计划数相对应计0.5分；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④与本年度部门预算资金相匹配计1分。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1231"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配置（15分）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在职人员控制率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部门本年度实际在职人员数与编制数的比率，用以反映和考核部门对人员成本的控制程度。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1238"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“三公经费”变动率（5分）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部门本年度“三公经费”预算数与上年度“三公经费”预算数的变动比率，用以反映和考核部门对控制重点行政成本的努力程度。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550"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重点支出安排率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部门本年度预算安排的重点项目支出与部门项目总支出的比率，用以反映和考核部门对履行主要职责或完成重点任务的保障程度。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976"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(23分)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完成率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部门本年度预算完成数与预算数的比率，用以反映和考核部门预算完成程度。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预算完成率=（预算完成数/预算数）×100%。完成年初预算计4分，未完成年初预算按比例扣减，预算完成数：部门本年度实际完成的预算数。预算数：财政部门批复的本年度部门预算数。</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1500"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调整率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部门本年度预算调整数与预算数的比率，用以反映和考核部门预算的调整程度。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770"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进度率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部门实际支付进度与既定支付进度的比率，用以反映和考核部门预算执行的及时性和均衡性程度。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231"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结转结余控制率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部门本年度结转结余总额与上年结转结余总额增减比例，用以反映和考核部门对存量资金的实际控制程度。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936"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公用经费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控制率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部门本年度实际支出的公用经费总额与预算安排的公用经费总额的比率，用以反映和考核部门对机构运转成本的实际控制程度。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公用经费控制率=（实际支出公用经费总额/预算安排公用经费总额）×100%。为100%的计4分，每超过1个百分点扣0.1分，扣完为止。</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87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“三公经费”控制率（3分）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部门本年度“三公经费”实际支出数与预算安排数的比率，用以反映和考核部门对“三公经费”的实际控制程度。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“三公经费”控制率=（“三公经费”实际支出数/“三公经费”预算安排数）×100%。为100%的计3分，每超过1个百分点扣0.5分，扣完为止。</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1283"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政府采购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执行率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部门本年度实际政府采购金额与年初政府采购预算的比率，用以反映和考核部门政府采购预算执行情况。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952"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(12分)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管理制度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健全性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部门为加强预算管理、规范财务行为而制定的管理制度是否健全完整，用以反映和考核部门预算管理制度对完成主要职责或促进事业发展的保障情况。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已制定或具有预算资金管理办法、内部财务管理制度、会计核算制度等管理制度计1分；相关管理制度合法、合规、完整计0.5分；相关管理制度得到有效执行计0.5分。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605"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资金使用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合规性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部门使用预算资金是否符合相关的预算财务管理制度的规定，用以反映和考核部门预算资金的规范运行情况。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①符合国家财经法规和财务管理制度规定以及有关专项资金管理办法的规定计1分；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②资金的拨付有完整的审批程序和手续计1分；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③项目的重大开支经过评估论证计1分；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④符合部门预算批复的用途计1分；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⑤不存在截留、挤占、挪用、虚列支出等情况计1分。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2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预决算信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息公开性（2分）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部门是否按照政府信息公开有关规定公开相关预决算信息，用以反映和考核部门预决算管理的公开透明情况。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①按规定内容公开预决算信息计1分；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②按规定时限公开预决算信息计1分。预决算信息是指与部门预算、执行、决算、监督、绩效等管理相关的信息。</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93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基础信息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完善性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（3分）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部门基础信息是否完善，用以反映和考核基础信息对预算管理工作的支撑情况。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①基础数据信息和会计信息资料真实计1分；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②基础数据信息和会计信息资料完整计1分；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③基础数据信息和会计信息资料准确计1分。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3</w:t>
            </w:r>
          </w:p>
        </w:tc>
      </w:tr>
      <w:tr>
        <w:tblPrEx>
          <w:shd w:val="clear" w:color="auto" w:fill="auto"/>
          <w:tblCellMar>
            <w:top w:w="0" w:type="dxa"/>
            <w:left w:w="0" w:type="dxa"/>
            <w:bottom w:w="0" w:type="dxa"/>
            <w:right w:w="0" w:type="dxa"/>
          </w:tblCellMar>
        </w:tblPrEx>
        <w:trPr>
          <w:trHeight w:val="968"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资产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（5分）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管理制度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健全性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部门为加强资产管理、规范资产管理行为而制定的管理制度是否健全完整，用以反映和考核部门资产管理制度对完成主要职责或促进社会发展的保障情况。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①制定或具有资产管理制度计1分；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②相关资金管理制度合法、合规、完整计0.5分；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③相关资产管理制度得到有效执行计0.5分。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566"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资产管理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安全性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部门的资产是否保存完整、使用合规、配置合理、处置规范、收入及时足额上缴，用以反映和考核部门资产安全运行情况。</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①资产保存完整计0.4分；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②资产配置合理计0.4分；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③资产处置规范计0.4分；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④资产账务管理合规、账实相符计0.4分；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⑤资产有偿使用及处置收入及时足额上缴计0.4分。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2</w:t>
            </w:r>
          </w:p>
        </w:tc>
      </w:tr>
      <w:tr>
        <w:tblPrEx>
          <w:shd w:val="clear" w:color="auto" w:fill="auto"/>
          <w:tblCellMar>
            <w:top w:w="0" w:type="dxa"/>
            <w:left w:w="0" w:type="dxa"/>
            <w:bottom w:w="0" w:type="dxa"/>
            <w:right w:w="0" w:type="dxa"/>
          </w:tblCellMar>
        </w:tblPrEx>
        <w:trPr>
          <w:trHeight w:val="10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固定资产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利用率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部门实际在用固定资产总额与所有固定资产总额的比率，用以反映和考核部门固定资产使用效率程度。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固定资产利用率=（实际在用固定资产总额/所有固定资产总额）×100%。利用率为100%的计1分，每降1个百分点扣0.1分，扣完为止。</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1</w:t>
            </w:r>
          </w:p>
        </w:tc>
      </w:tr>
      <w:tr>
        <w:tblPrEx>
          <w:shd w:val="clear" w:color="auto" w:fill="auto"/>
          <w:tblCellMar>
            <w:top w:w="0" w:type="dxa"/>
            <w:left w:w="0" w:type="dxa"/>
            <w:bottom w:w="0" w:type="dxa"/>
            <w:right w:w="0" w:type="dxa"/>
          </w:tblCellMar>
        </w:tblPrEx>
        <w:trPr>
          <w:trHeight w:val="894"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产出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履行</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实际完成率（5分）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部门履行职责而实际完成工作数与计划工作数的比率，用以反映和考核部门履职工作任务目标的实现程度。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实际完成率得分=完成县委县政府绩效考核得分或上级主管部门考核指标得分/指标分值*5分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86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完成及时率（4分）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部门在规定时限内及时完成的实际工作数与计划工作数的比率,用以反映和考核部门履职时效目标的实现程度。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jc w:val="both"/>
            </w:pPr>
            <w:r>
              <w:rPr>
                <w:rFonts w:hint="eastAsia" w:ascii="宋体" w:hAnsi="宋体" w:eastAsia="宋体" w:cs="宋体"/>
                <w:color w:val="000000"/>
                <w:kern w:val="0"/>
                <w:sz w:val="21"/>
                <w:szCs w:val="21"/>
                <w:lang w:val="en-US" w:eastAsia="zh-CN" w:bidi="ar"/>
              </w:rPr>
              <w:t>完成及时率=（及时完成实际工作数/计划工作数）×100%。1-4季度各得1分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4</w:t>
            </w:r>
          </w:p>
        </w:tc>
      </w:tr>
      <w:tr>
        <w:tblPrEx>
          <w:shd w:val="clear" w:color="auto" w:fill="auto"/>
          <w:tblCellMar>
            <w:top w:w="0" w:type="dxa"/>
            <w:left w:w="0" w:type="dxa"/>
            <w:bottom w:w="0" w:type="dxa"/>
            <w:right w:w="0" w:type="dxa"/>
          </w:tblCellMar>
        </w:tblPrEx>
        <w:trPr>
          <w:trHeight w:val="80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质量达标率（5分）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达到质量标准（绩效标准值）的实际工作数与计划工作数的比率,用以反映和考核部门履职质量目标的实现程度。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质量达标率=（质量达标实际工作数/计划工作数）×100%。实际得分=达标率*5分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0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重点工作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办结率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（6分）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部门年度重点工作实际完成数与交办或下达数的比率，用以反映部门对重点工作的办理落实程度。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重点工作办结率=（重点工作实际完成数/交办或下达数）×100%。实际得分=办结率*6分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6</w:t>
            </w:r>
          </w:p>
        </w:tc>
      </w:tr>
      <w:tr>
        <w:tblPrEx>
          <w:shd w:val="clear" w:color="auto" w:fill="auto"/>
          <w:tblCellMar>
            <w:top w:w="0" w:type="dxa"/>
            <w:left w:w="0" w:type="dxa"/>
            <w:bottom w:w="0" w:type="dxa"/>
            <w:right w:w="0" w:type="dxa"/>
          </w:tblCellMar>
        </w:tblPrEx>
        <w:trPr>
          <w:trHeight w:val="644" w:hRule="atLeast"/>
          <w:jc w:val="center"/>
        </w:trPr>
        <w:tc>
          <w:tcPr>
            <w:tcW w:w="491" w:type="dxa"/>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效果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(20分)</w:t>
            </w:r>
          </w:p>
        </w:tc>
        <w:tc>
          <w:tcPr>
            <w:tcW w:w="556"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履职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效益(20分)</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经济效益（5分）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部门履行职责对经济发展所带来的直接或间接影响。</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按经济效益实现程度计算得分（5分）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64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社会效益（5分）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部门履行职责对社会发展所带来的直接或间接影响。</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pPr>
            <w:r>
              <w:rPr>
                <w:rFonts w:hint="eastAsia" w:ascii="宋体" w:hAnsi="宋体" w:eastAsia="宋体" w:cs="宋体"/>
                <w:color w:val="000000"/>
                <w:kern w:val="0"/>
                <w:sz w:val="21"/>
                <w:szCs w:val="21"/>
                <w:lang w:val="en-US" w:eastAsia="zh-CN" w:bidi="ar"/>
              </w:rPr>
              <w:t>按社会效益实现程度计算得分（5分）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644"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行政效能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促进部门改进文风会风，加强经费及资产管理，推动网上办事，提高行政效率。</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降低行政成本效果较好的计6分；一般3分；无效果或者效果不明显0分。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1259" w:hRule="atLeast"/>
          <w:jc w:val="center"/>
        </w:trPr>
        <w:tc>
          <w:tcPr>
            <w:tcW w:w="491" w:type="dxa"/>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556"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社会公众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或服务对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象满意度（5分）</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社会公众或部门的服务对象对部门履职效果的满意程度。</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kern w:val="0"/>
                <w:sz w:val="18"/>
                <w:szCs w:val="18"/>
                <w:lang w:val="en-US" w:eastAsia="zh-CN" w:bidi="ar"/>
              </w:rPr>
              <w:t>90%</w:t>
            </w:r>
            <w:r>
              <w:rPr>
                <w:rFonts w:hint="eastAsia" w:ascii="宋体" w:hAnsi="宋体" w:eastAsia="宋体" w:cs="宋体"/>
                <w:color w:val="000000"/>
                <w:kern w:val="0"/>
                <w:sz w:val="21"/>
                <w:szCs w:val="21"/>
                <w:lang w:val="en-US" w:eastAsia="zh-CN" w:bidi="ar"/>
              </w:rPr>
              <w:t>（含）以上计5分；80%（含）-90%，计4分；70%（含）-80%，计3分；60%（含）-70%，计2分；低于60%计0分。</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24"/>
                <w:szCs w:val="24"/>
                <w:lang w:val="en-US" w:eastAsia="zh-CN" w:bidi="ar"/>
              </w:rPr>
              <w:t>5</w:t>
            </w:r>
          </w:p>
        </w:tc>
      </w:tr>
      <w:tr>
        <w:tblPrEx>
          <w:shd w:val="clear" w:color="auto" w:fill="auto"/>
          <w:tblCellMar>
            <w:top w:w="0" w:type="dxa"/>
            <w:left w:w="0" w:type="dxa"/>
            <w:bottom w:w="0" w:type="dxa"/>
            <w:right w:w="0" w:type="dxa"/>
          </w:tblCellMar>
        </w:tblPrEx>
        <w:trPr>
          <w:trHeight w:val="608" w:hRule="atLeast"/>
          <w:jc w:val="center"/>
        </w:trPr>
        <w:tc>
          <w:tcPr>
            <w:tcW w:w="491" w:type="dxa"/>
            <w:tcBorders>
              <w:top w:val="nil"/>
              <w:left w:val="single" w:color="auto" w:sz="8" w:space="0"/>
              <w:bottom w:val="nil"/>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总分</w:t>
            </w:r>
          </w:p>
        </w:tc>
        <w:tc>
          <w:tcPr>
            <w:tcW w:w="556" w:type="dxa"/>
            <w:tcBorders>
              <w:top w:val="nil"/>
              <w:left w:val="nil"/>
              <w:bottom w:val="nil"/>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100</w:t>
            </w:r>
          </w:p>
        </w:tc>
        <w:tc>
          <w:tcPr>
            <w:tcW w:w="845" w:type="dxa"/>
            <w:tcBorders>
              <w:top w:val="nil"/>
              <w:left w:val="nil"/>
              <w:bottom w:val="nil"/>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100　</w:t>
            </w:r>
          </w:p>
        </w:tc>
        <w:tc>
          <w:tcPr>
            <w:tcW w:w="2894" w:type="dxa"/>
            <w:tcBorders>
              <w:top w:val="nil"/>
              <w:left w:val="nil"/>
              <w:bottom w:val="nil"/>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2921" w:type="dxa"/>
            <w:tcBorders>
              <w:top w:val="nil"/>
              <w:left w:val="nil"/>
              <w:bottom w:val="nil"/>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619" w:type="dxa"/>
            <w:tcBorders>
              <w:top w:val="nil"/>
              <w:left w:val="nil"/>
              <w:bottom w:val="nil"/>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lang w:val="en-US"/>
              </w:rPr>
            </w:pPr>
            <w:r>
              <w:rPr>
                <w:rFonts w:hint="eastAsia" w:ascii="宋体" w:hAnsi="宋体" w:eastAsia="宋体" w:cs="宋体"/>
                <w:kern w:val="0"/>
                <w:sz w:val="24"/>
                <w:szCs w:val="24"/>
                <w:lang w:val="en-US" w:eastAsia="zh-CN" w:bidi="ar"/>
              </w:rPr>
              <w:t>98</w:t>
            </w:r>
          </w:p>
        </w:tc>
      </w:tr>
      <w:tr>
        <w:tblPrEx>
          <w:shd w:val="clear" w:color="auto" w:fill="auto"/>
          <w:tblCellMar>
            <w:top w:w="0" w:type="dxa"/>
            <w:left w:w="0" w:type="dxa"/>
            <w:bottom w:w="0" w:type="dxa"/>
            <w:right w:w="0" w:type="dxa"/>
          </w:tblCellMar>
        </w:tblPrEx>
        <w:trPr>
          <w:trHeight w:val="608" w:hRule="atLeast"/>
          <w:jc w:val="center"/>
        </w:trPr>
        <w:tc>
          <w:tcPr>
            <w:tcW w:w="491" w:type="dxa"/>
            <w:tcBorders>
              <w:top w:val="nil"/>
              <w:left w:val="single" w:color="auto" w:sz="8" w:space="0"/>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color w:val="000000"/>
                <w:kern w:val="0"/>
                <w:sz w:val="21"/>
                <w:szCs w:val="21"/>
                <w:lang w:val="en-US" w:eastAsia="zh-CN" w:bidi="ar"/>
              </w:rPr>
              <w:t> </w:t>
            </w:r>
          </w:p>
        </w:tc>
        <w:tc>
          <w:tcPr>
            <w:tcW w:w="556"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 </w:t>
            </w:r>
          </w:p>
        </w:tc>
        <w:tc>
          <w:tcPr>
            <w:tcW w:w="845"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kern w:val="0"/>
                <w:sz w:val="21"/>
                <w:szCs w:val="21"/>
                <w:lang w:val="en-US" w:eastAsia="zh-CN" w:bidi="ar"/>
              </w:rPr>
              <w:t> </w:t>
            </w:r>
          </w:p>
        </w:tc>
        <w:tc>
          <w:tcPr>
            <w:tcW w:w="2894"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2921"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kern w:val="0"/>
                <w:sz w:val="21"/>
                <w:szCs w:val="21"/>
                <w:lang w:val="en-US" w:eastAsia="zh-CN" w:bidi="ar"/>
              </w:rPr>
              <w:t> </w:t>
            </w:r>
          </w:p>
        </w:tc>
        <w:tc>
          <w:tcPr>
            <w:tcW w:w="619" w:type="dxa"/>
            <w:tcBorders>
              <w:top w:val="nil"/>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lang w:val="en-US"/>
              </w:rPr>
            </w:pPr>
            <w:r>
              <w:rPr>
                <w:rFonts w:hint="default" w:ascii="Times New Roman" w:hAnsi="Times New Roman" w:cs="Times New Roman"/>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1E1E1E"/>
          <w:spacing w:val="0"/>
          <w:sz w:val="22"/>
          <w:szCs w:val="22"/>
        </w:rPr>
      </w:pPr>
      <w:r>
        <w:rPr>
          <w:rFonts w:hint="eastAsia" w:ascii="仿宋" w:hAnsi="仿宋" w:eastAsia="仿宋" w:cs="仿宋"/>
          <w:i w:val="0"/>
          <w:caps w:val="0"/>
          <w:color w:val="1E1E1E"/>
          <w:spacing w:val="0"/>
          <w:kern w:val="0"/>
          <w:sz w:val="32"/>
          <w:szCs w:val="3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7011A"/>
    <w:multiLevelType w:val="singleLevel"/>
    <w:tmpl w:val="A4F7011A"/>
    <w:lvl w:ilvl="0" w:tentative="0">
      <w:start w:val="4"/>
      <w:numFmt w:val="chineseCounting"/>
      <w:suff w:val="nothing"/>
      <w:lvlText w:val="%1、"/>
      <w:lvlJc w:val="left"/>
      <w:pPr>
        <w:ind w:left="410"/>
      </w:pPr>
      <w:rPr>
        <w:rFonts w:hint="eastAsia"/>
      </w:rPr>
    </w:lvl>
  </w:abstractNum>
  <w:abstractNum w:abstractNumId="1">
    <w:nsid w:val="EA64E57D"/>
    <w:multiLevelType w:val="singleLevel"/>
    <w:tmpl w:val="EA64E57D"/>
    <w:lvl w:ilvl="0" w:tentative="0">
      <w:start w:val="2"/>
      <w:numFmt w:val="chineseCounting"/>
      <w:suff w:val="nothing"/>
      <w:lvlText w:val="（%1）"/>
      <w:lvlJc w:val="left"/>
      <w:rPr>
        <w:rFonts w:hint="eastAsia"/>
      </w:rPr>
    </w:lvl>
  </w:abstractNum>
  <w:abstractNum w:abstractNumId="2">
    <w:nsid w:val="07C74E2F"/>
    <w:multiLevelType w:val="singleLevel"/>
    <w:tmpl w:val="07C74E2F"/>
    <w:lvl w:ilvl="0" w:tentative="0">
      <w:start w:val="2"/>
      <w:numFmt w:val="decimal"/>
      <w:lvlText w:val="%1."/>
      <w:lvlJc w:val="left"/>
      <w:pPr>
        <w:tabs>
          <w:tab w:val="left" w:pos="312"/>
        </w:tabs>
      </w:pPr>
    </w:lvl>
  </w:abstractNum>
  <w:abstractNum w:abstractNumId="3">
    <w:nsid w:val="54B227E3"/>
    <w:multiLevelType w:val="singleLevel"/>
    <w:tmpl w:val="54B227E3"/>
    <w:lvl w:ilvl="0" w:tentative="0">
      <w:start w:val="2"/>
      <w:numFmt w:val="decimal"/>
      <w:suff w:val="nothing"/>
      <w:lvlText w:val="%1、"/>
      <w:lvlJc w:val="left"/>
    </w:lvl>
  </w:abstractNum>
  <w:abstractNum w:abstractNumId="4">
    <w:nsid w:val="6952C381"/>
    <w:multiLevelType w:val="singleLevel"/>
    <w:tmpl w:val="6952C381"/>
    <w:lvl w:ilvl="0" w:tentative="0">
      <w:start w:val="1"/>
      <w:numFmt w:val="decimal"/>
      <w:suff w:val="nothing"/>
      <w:lvlText w:val="（%1）"/>
      <w:lvlJc w:val="left"/>
      <w:pPr>
        <w:ind w:left="-246"/>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YzYzVjMTkxMTE2MGJlOTUwODEyMzY5OTM1MDUifQ=="/>
  </w:docVars>
  <w:rsids>
    <w:rsidRoot w:val="69301BBB"/>
    <w:rsid w:val="010D54AE"/>
    <w:rsid w:val="010E15B5"/>
    <w:rsid w:val="014B7907"/>
    <w:rsid w:val="016916DA"/>
    <w:rsid w:val="01965395"/>
    <w:rsid w:val="027343D2"/>
    <w:rsid w:val="028F0186"/>
    <w:rsid w:val="0294559D"/>
    <w:rsid w:val="02DA6F1A"/>
    <w:rsid w:val="03502F8B"/>
    <w:rsid w:val="035D3DDF"/>
    <w:rsid w:val="04456DAF"/>
    <w:rsid w:val="04CB0B19"/>
    <w:rsid w:val="07F54613"/>
    <w:rsid w:val="080723D4"/>
    <w:rsid w:val="0952622D"/>
    <w:rsid w:val="0A190F18"/>
    <w:rsid w:val="0ADE3F47"/>
    <w:rsid w:val="0AE228FA"/>
    <w:rsid w:val="0C8E5292"/>
    <w:rsid w:val="0D0F1463"/>
    <w:rsid w:val="0F172816"/>
    <w:rsid w:val="0F5E6E04"/>
    <w:rsid w:val="109C43F8"/>
    <w:rsid w:val="10B01FE7"/>
    <w:rsid w:val="11501A62"/>
    <w:rsid w:val="116B12B3"/>
    <w:rsid w:val="127A6725"/>
    <w:rsid w:val="12AF7B02"/>
    <w:rsid w:val="13817C65"/>
    <w:rsid w:val="13C315E0"/>
    <w:rsid w:val="13E009C0"/>
    <w:rsid w:val="14A86F1A"/>
    <w:rsid w:val="151462DF"/>
    <w:rsid w:val="16523688"/>
    <w:rsid w:val="170A50E3"/>
    <w:rsid w:val="17654FFD"/>
    <w:rsid w:val="18CD0731"/>
    <w:rsid w:val="19FA2EF6"/>
    <w:rsid w:val="1B131DBE"/>
    <w:rsid w:val="1BB36F58"/>
    <w:rsid w:val="1BBD596A"/>
    <w:rsid w:val="1D3063B2"/>
    <w:rsid w:val="1D781B8B"/>
    <w:rsid w:val="1D8977D2"/>
    <w:rsid w:val="1EAA7D79"/>
    <w:rsid w:val="1F3F6B64"/>
    <w:rsid w:val="1F4B09DF"/>
    <w:rsid w:val="1FC25750"/>
    <w:rsid w:val="205B5BCC"/>
    <w:rsid w:val="2062294A"/>
    <w:rsid w:val="20713240"/>
    <w:rsid w:val="20B35F00"/>
    <w:rsid w:val="20FA4C0C"/>
    <w:rsid w:val="210406CF"/>
    <w:rsid w:val="2205327F"/>
    <w:rsid w:val="228A2AC2"/>
    <w:rsid w:val="23DA2EBA"/>
    <w:rsid w:val="24270401"/>
    <w:rsid w:val="25082D0B"/>
    <w:rsid w:val="25E2728C"/>
    <w:rsid w:val="26110BC8"/>
    <w:rsid w:val="264A6915"/>
    <w:rsid w:val="26B52219"/>
    <w:rsid w:val="26FB1EE5"/>
    <w:rsid w:val="27CB0247"/>
    <w:rsid w:val="27F0081B"/>
    <w:rsid w:val="28101C39"/>
    <w:rsid w:val="28B539A7"/>
    <w:rsid w:val="29A924E3"/>
    <w:rsid w:val="2B221AF6"/>
    <w:rsid w:val="2B41406F"/>
    <w:rsid w:val="2D042188"/>
    <w:rsid w:val="2D1905EE"/>
    <w:rsid w:val="2D522922"/>
    <w:rsid w:val="2E425EF6"/>
    <w:rsid w:val="2E441A36"/>
    <w:rsid w:val="2F2061E5"/>
    <w:rsid w:val="2F8F20BC"/>
    <w:rsid w:val="312F1450"/>
    <w:rsid w:val="3131661F"/>
    <w:rsid w:val="32401D3C"/>
    <w:rsid w:val="327927F5"/>
    <w:rsid w:val="32EB658E"/>
    <w:rsid w:val="34B00C51"/>
    <w:rsid w:val="356E6A14"/>
    <w:rsid w:val="374A48B2"/>
    <w:rsid w:val="378F3FC5"/>
    <w:rsid w:val="385A3FD2"/>
    <w:rsid w:val="38C873E4"/>
    <w:rsid w:val="39292964"/>
    <w:rsid w:val="3A0F1317"/>
    <w:rsid w:val="3B1D43B4"/>
    <w:rsid w:val="3D4175E4"/>
    <w:rsid w:val="3D4B7397"/>
    <w:rsid w:val="3DC71DC4"/>
    <w:rsid w:val="3E792C2D"/>
    <w:rsid w:val="3EB1576A"/>
    <w:rsid w:val="3EC52320"/>
    <w:rsid w:val="3EE71267"/>
    <w:rsid w:val="3F3B6E78"/>
    <w:rsid w:val="3F9E4C84"/>
    <w:rsid w:val="3FBD5C5B"/>
    <w:rsid w:val="3FDB75D3"/>
    <w:rsid w:val="4000737A"/>
    <w:rsid w:val="411A5248"/>
    <w:rsid w:val="413F5A5C"/>
    <w:rsid w:val="418A1911"/>
    <w:rsid w:val="418D393B"/>
    <w:rsid w:val="41AD4756"/>
    <w:rsid w:val="42910E33"/>
    <w:rsid w:val="43033420"/>
    <w:rsid w:val="43C3192E"/>
    <w:rsid w:val="43F276AF"/>
    <w:rsid w:val="44104D95"/>
    <w:rsid w:val="4414035C"/>
    <w:rsid w:val="44C56F7A"/>
    <w:rsid w:val="45CC06A5"/>
    <w:rsid w:val="45F41D4E"/>
    <w:rsid w:val="468316CF"/>
    <w:rsid w:val="46D22BD9"/>
    <w:rsid w:val="47343CAF"/>
    <w:rsid w:val="473E566F"/>
    <w:rsid w:val="48567657"/>
    <w:rsid w:val="48A47902"/>
    <w:rsid w:val="48A967E8"/>
    <w:rsid w:val="49056D22"/>
    <w:rsid w:val="49ED07C8"/>
    <w:rsid w:val="49ED6999"/>
    <w:rsid w:val="4BAD53C2"/>
    <w:rsid w:val="4C347D66"/>
    <w:rsid w:val="4D392520"/>
    <w:rsid w:val="4F113CC3"/>
    <w:rsid w:val="4FA967A9"/>
    <w:rsid w:val="4FBA5C40"/>
    <w:rsid w:val="4FF42C64"/>
    <w:rsid w:val="50A6624C"/>
    <w:rsid w:val="50B75930"/>
    <w:rsid w:val="50D74862"/>
    <w:rsid w:val="515108F9"/>
    <w:rsid w:val="515408D2"/>
    <w:rsid w:val="524870A0"/>
    <w:rsid w:val="52487CCF"/>
    <w:rsid w:val="53203E0C"/>
    <w:rsid w:val="544601EC"/>
    <w:rsid w:val="548D61B0"/>
    <w:rsid w:val="550F2AAA"/>
    <w:rsid w:val="55247FF3"/>
    <w:rsid w:val="55983088"/>
    <w:rsid w:val="55A660D7"/>
    <w:rsid w:val="55EC06A6"/>
    <w:rsid w:val="572C26C0"/>
    <w:rsid w:val="5879177F"/>
    <w:rsid w:val="58953DE1"/>
    <w:rsid w:val="58BD7CC7"/>
    <w:rsid w:val="590D5FB8"/>
    <w:rsid w:val="59345333"/>
    <w:rsid w:val="599415FD"/>
    <w:rsid w:val="5A3E52B8"/>
    <w:rsid w:val="5B59444B"/>
    <w:rsid w:val="5BF9082D"/>
    <w:rsid w:val="5C6D33B7"/>
    <w:rsid w:val="5D1F6A36"/>
    <w:rsid w:val="5D2F04E7"/>
    <w:rsid w:val="5D9B49B4"/>
    <w:rsid w:val="5FA17366"/>
    <w:rsid w:val="604F12F2"/>
    <w:rsid w:val="60B91046"/>
    <w:rsid w:val="655122A0"/>
    <w:rsid w:val="65D97BC7"/>
    <w:rsid w:val="65FA6C8C"/>
    <w:rsid w:val="664F6BBC"/>
    <w:rsid w:val="670656B1"/>
    <w:rsid w:val="67B94FCA"/>
    <w:rsid w:val="67FC532D"/>
    <w:rsid w:val="681B033A"/>
    <w:rsid w:val="69301BBB"/>
    <w:rsid w:val="69467E05"/>
    <w:rsid w:val="6A7D43AB"/>
    <w:rsid w:val="6AAD4D56"/>
    <w:rsid w:val="6AE14AEF"/>
    <w:rsid w:val="6AE34800"/>
    <w:rsid w:val="6B6A6F66"/>
    <w:rsid w:val="6BF02840"/>
    <w:rsid w:val="6C4C7C15"/>
    <w:rsid w:val="6C6504DC"/>
    <w:rsid w:val="6C69517D"/>
    <w:rsid w:val="6D8136ED"/>
    <w:rsid w:val="6DAD2286"/>
    <w:rsid w:val="6E7070E1"/>
    <w:rsid w:val="6EDC6A5F"/>
    <w:rsid w:val="6F43227C"/>
    <w:rsid w:val="6F7D10B9"/>
    <w:rsid w:val="6FD83985"/>
    <w:rsid w:val="70F33043"/>
    <w:rsid w:val="71090FA9"/>
    <w:rsid w:val="71AA3595"/>
    <w:rsid w:val="72957910"/>
    <w:rsid w:val="735E1BC2"/>
    <w:rsid w:val="75BC5467"/>
    <w:rsid w:val="77614B32"/>
    <w:rsid w:val="792E3EB5"/>
    <w:rsid w:val="7A366F8D"/>
    <w:rsid w:val="7BFA6803"/>
    <w:rsid w:val="7C0134A8"/>
    <w:rsid w:val="7C5C4D4D"/>
    <w:rsid w:val="7D456E8E"/>
    <w:rsid w:val="7E2839D5"/>
    <w:rsid w:val="7EC4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7318</Words>
  <Characters>8278</Characters>
  <Lines>0</Lines>
  <Paragraphs>0</Paragraphs>
  <TotalTime>40</TotalTime>
  <ScaleCrop>false</ScaleCrop>
  <LinksUpToDate>false</LinksUpToDate>
  <CharactersWithSpaces>8292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2020-12-09T09:20:00Z</dcterms:created>
  <dc:creator>周红梅</dc:creator>
  <cp:lastModifiedBy>Administrator</cp:lastModifiedBy>
  <cp:lastPrinted>2021-11-04T00:53:00Z</cp:lastPrinted>
  <dcterms:modified xsi:type="dcterms:W3CDTF">2022-10-13T15:12:22Z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BB013A3F26F145E5A8629739DE821DE0</vt:lpwstr>
  </property>
</Properties>
</file>