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ind w:left="540" w:right="641" w:hanging="54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自然资源修复中心2021年</w:t>
      </w:r>
      <w:r>
        <w:rPr>
          <w:rFonts w:hint="eastAsia" w:ascii="黑体" w:hAnsi="黑体" w:eastAsia="黑体" w:cs="黑体"/>
          <w:sz w:val="36"/>
          <w:szCs w:val="36"/>
        </w:rPr>
        <w:t>部门整体支出绩效自评</w:t>
      </w:r>
    </w:p>
    <w:p>
      <w:pPr>
        <w:adjustRightInd w:val="0"/>
        <w:spacing w:line="580" w:lineRule="exact"/>
        <w:ind w:left="540" w:right="641" w:hanging="54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报告</w:t>
      </w:r>
    </w:p>
    <w:p>
      <w:pPr>
        <w:adjustRightInd w:val="0"/>
        <w:spacing w:line="580" w:lineRule="exact"/>
        <w:ind w:left="480" w:right="641" w:hanging="48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</w:rPr>
        <w:t>一）部门基本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新邵县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自然资源修复中心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核定全额拨款事业编制10名。现实有在编人数9人。内设四个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职能股室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：综合部、修复部、整治部、财务部。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新邵县自然资源修复中心的主要职能是：1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、代表政府有计划地开发、整理、复垦耕地；组织开发、整理、复垦项目的选址、立项、拟定方案、项目报批及方案的实施和项目的验收工作；2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承办县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资源局交办的其他事项。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226" w:beforeAutospacing="0" w:after="226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021年度工作计划：1、完成土地开发项目的项目建设。2、坚决落实地质灾害治理项目的工程质量督促。3、督促开发项目耕种落实。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226" w:beforeAutospacing="0" w:after="226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部门整体支出规模、使用方向和主要内容、涉及范围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226" w:beforeAutospacing="0" w:after="226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1、2021年，我中心年初预算收入33.71万元，其中财政经费拨款33.71万元，纳入一般公共预算管理的非税收入拨款0万元；全年实际预算收入为117.2万元（预算调整）。                                                   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226" w:beforeAutospacing="0" w:after="226" w:afterAutospacing="0"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2、2021年，我中心年初预算支出33.71万元，其中基本支出30.83万元，项目支出0万元，全年实际预算支出117.2万元。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226" w:beforeAutospacing="0" w:after="226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2021年，我中心全年实际支出117.2万元，其中基本支出117.2万元，项目支出0万元。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1、收入预算执行情况。我单位年初下达收入预算33.71万元，到年底，共执收 117.2万元，完成率287%。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900" w:firstLineChars="3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2、支出预算执行情况。我单位年初支出预算33.71 万元，到年底我单位预算支出共3117.2万元，完成率287%。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" w:leftChars="304" w:firstLine="160" w:firstLineChars="5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2021年全年整体支出117.2万元，其中基本支出117.2万元。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800" w:firstLineChars="25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基本支出主要用于人员经费支出和日常公用经费支出，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人员经费支出53.91万元，包含正式职工基本工资、绩效工资、津补贴、奖金、伙食补助费、社会保障缴费等支出，另外还包含了各项保险等其他对个人和家庭的补助支出。公用经费实际支出为 63.29万元，主要包括办公费、印刷费、劳务费、培训费、差旅费、工会经费及公务招待费等行政办公经费支出。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日常公用经费中三公经费支出情况如下: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因公出国经费：2021年预算数0万元，2021年决算数0万元，2020年决算数0万元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公务接待费2021年预算数0.2万元，2021年决算数0万元，2020年决算数0万元。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公务用车运行维护费2021年预算0万元，2021年决算数0万元，2020年决算数0万元。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我中心“三公经费”的使用和管理严格遵循省、市、县相关规定执行，厉行节约，规范管理，继续严控“三公”经费。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Cs/>
          <w:sz w:val="32"/>
          <w:szCs w:val="32"/>
        </w:rPr>
        <w:t>专项支出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2021年我中心没有项目支出。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三、资产管理情况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截止2021年12月31日，我单位资产总额为7.12万元，其中：流动资产1.84万元，非流动资产5.28万元，占比74.16%。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因固定资产折旧，总资产较上年减少9.51万元。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为了规范和加强国有资产配置，使用和处置管理，优化资产结构，提高资产使用效益，推进资产管理与预算管理有机结合，本单位严格按照法定程序和权限配置、使用、处置资产制度执行，并根据《行政事业单位国有资产管理办法》制定了《新邵县不动产登记中心固定资产管理制度》，连同《新邵县不动产登记中心财务管理制度》对固定资产的范围，使用年限，以及管理、核算、购置、验收、保管、使用、清查和追溯等都明确有严格的规定，程序和管理。单位配备了资产管理员，建立了资产台账，并定期更新台账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根据新邵县财政局《关于开展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2021年部门整体支出和项目支出绩效自评工作的通知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》文件精神，我单位对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的部门整体绩效进行了自评工作，自评过程中，本着强化绩效目标意识、提高部门整体资金使用效率、提升绩效管理水平的原则，通过目标计划管理、工作数据采集等，评估资金的使用效率和工作开展情况，明确绩效目标，一是确立绩效目标与部门年度履职目标一致，体现工作任务的产出和效果；二是明确绩效目标是否与部门职责目标、工作目标一致，是否体现预算的产出和效果，总体来说，2021年我中心的自评结果良好，设置了明确的绩效目标，财务相关管理制度健全，预算及时、有效，资金使用规范，基本实现了预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line="600" w:lineRule="exact"/>
        <w:ind w:leftChars="200" w:right="0" w:rightChars="0" w:firstLine="30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五、综合评价情况及评价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line="60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考核评分细则，从整体上看，2021年我中心资金运行维护决策正确，资金管理规范，项目管理到位，政策执行有力，有效发挥了财政资金的使用效率。我中心各项项目资金其主要用途是优化发证程序，保障不动产登记发证工作的正常运转；在人员经费支出、公共支出严格执行县政府的各项制度；在项目经费的使用上，在保证各项任务顺利完成的同时，严格落实厉行节约的原则；三公经费的使用严格控制在预算申报的范围内。最后评价得分为97分，自评等级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200"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部门整体支出主要绩效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1年在局党组的领导下，我中心落实土地开发、地质灾害治理项目的工程建设，各项工作稳步推进。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1、地质灾害治理项目稳步推进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全年共完成6个，针对项目的质量、工程进度进行督促，如期完成上级对地质灾害时间节点。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土地开发项目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督促成洛耕种项目的耕种进度，做好部级退回项目的整改。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1、部门预算编制还不科学合理，精细度不够，缺乏预算编制的准确性。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2、绩效目标设定还不够规范，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3、预算执行衔接不够充分。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4、全面推进预算预算绩效管理工作贯彻不到位，需进一步落实。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1、是加强领导，精心组织，逐步推进，实现编制预算绩效目标全覆盖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2、完善相关制度，并推进制度落实。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3、细化预算编制工作，认真做好预算的编制。进一步加强内部预算管理意识，严格按照预算编制的相关制度和要求进行预算编制；全面编制预算项目，优先保障固定性的、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相对刚性的费用支出项目，尽量压缩变动性的、有控制空间的费用项目，进一步提高预算编制的科学性、严谨性和可控性。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C9C49"/>
    <w:multiLevelType w:val="singleLevel"/>
    <w:tmpl w:val="69EC9C4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zNlOTkxNGFiMzNhZGNiZjhlMjRkZDI4ODk4NDcifQ=="/>
    <w:docVar w:name="KSO_WPS_MARK_KEY" w:val="fe28a1d6-4dcd-4e05-a696-91fa30106d09"/>
  </w:docVars>
  <w:rsids>
    <w:rsidRoot w:val="5F0946CC"/>
    <w:rsid w:val="01CD36D8"/>
    <w:rsid w:val="06A10541"/>
    <w:rsid w:val="1880166D"/>
    <w:rsid w:val="19F45B80"/>
    <w:rsid w:val="1A8F132E"/>
    <w:rsid w:val="1C344154"/>
    <w:rsid w:val="2617553E"/>
    <w:rsid w:val="30F85AFE"/>
    <w:rsid w:val="33171638"/>
    <w:rsid w:val="372D71EE"/>
    <w:rsid w:val="3A6A136F"/>
    <w:rsid w:val="41E72BC8"/>
    <w:rsid w:val="458C735B"/>
    <w:rsid w:val="4A196ABD"/>
    <w:rsid w:val="4FE5544C"/>
    <w:rsid w:val="5F0946CC"/>
    <w:rsid w:val="68507DAE"/>
    <w:rsid w:val="6E671AE9"/>
    <w:rsid w:val="6F5A443A"/>
    <w:rsid w:val="79767B58"/>
    <w:rsid w:val="7A1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2158</Words>
  <Characters>2318</Characters>
  <Lines>0</Lines>
  <Paragraphs>0</Paragraphs>
  <TotalTime>17</TotalTime>
  <ScaleCrop>false</ScaleCrop>
  <LinksUpToDate>false</LinksUpToDate>
  <CharactersWithSpaces>2382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2022-05-23T01:54:00Z</dcterms:created>
  <dc:creator>Jin</dc:creator>
  <cp:lastModifiedBy>Administrator</cp:lastModifiedBy>
  <dcterms:modified xsi:type="dcterms:W3CDTF">2022-12-21T05:50:49Z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297E1B29AE0945968699A5DF1A4C536B</vt:lpwstr>
  </property>
</Properties>
</file>