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center"/>
        <w:rPr>
          <w:rFonts w:hint="eastAsia" w:ascii="仿宋" w:hAnsi="仿宋" w:eastAsia="仿宋"/>
          <w:sz w:val="36"/>
          <w:szCs w:val="36"/>
        </w:rPr>
      </w:pPr>
      <w:r>
        <w:rPr>
          <w:rFonts w:hint="eastAsia" w:ascii="仿宋" w:hAnsi="仿宋" w:eastAsia="仿宋"/>
          <w:sz w:val="36"/>
          <w:szCs w:val="36"/>
        </w:rPr>
        <w:t>新邵</w:t>
      </w:r>
      <w:r>
        <w:rPr>
          <w:rFonts w:hint="eastAsia" w:ascii="仿宋" w:hAnsi="仿宋" w:eastAsia="仿宋"/>
          <w:sz w:val="36"/>
          <w:szCs w:val="36"/>
          <w:lang w:eastAsia="zh-CN"/>
        </w:rPr>
        <w:t>县委宣传部</w:t>
      </w:r>
    </w:p>
    <w:p>
      <w:pPr>
        <w:spacing w:line="600" w:lineRule="exact"/>
        <w:ind w:left="540" w:hanging="540"/>
        <w:jc w:val="center"/>
        <w:rPr>
          <w:rFonts w:ascii="仿宋" w:hAnsi="仿宋" w:eastAsia="仿宋"/>
          <w:sz w:val="36"/>
          <w:szCs w:val="36"/>
        </w:rPr>
      </w:pPr>
      <w:r>
        <w:rPr>
          <w:rFonts w:hint="eastAsia" w:ascii="仿宋" w:hAnsi="仿宋" w:eastAsia="仿宋"/>
          <w:sz w:val="36"/>
          <w:szCs w:val="36"/>
          <w:lang w:eastAsia="zh-CN"/>
        </w:rPr>
        <w:t>202</w:t>
      </w:r>
      <w:r>
        <w:rPr>
          <w:rFonts w:hint="eastAsia" w:ascii="仿宋" w:hAnsi="仿宋" w:eastAsia="仿宋"/>
          <w:sz w:val="36"/>
          <w:szCs w:val="36"/>
          <w:lang w:val="en-US" w:eastAsia="zh-CN"/>
        </w:rPr>
        <w:t>2</w:t>
      </w:r>
      <w:r>
        <w:rPr>
          <w:rFonts w:ascii="仿宋" w:hAnsi="仿宋" w:eastAsia="仿宋"/>
          <w:sz w:val="36"/>
          <w:szCs w:val="36"/>
        </w:rPr>
        <w:t>年度</w:t>
      </w:r>
      <w:r>
        <w:rPr>
          <w:rFonts w:hint="eastAsia" w:ascii="仿宋" w:hAnsi="仿宋" w:eastAsia="仿宋"/>
          <w:sz w:val="36"/>
          <w:szCs w:val="36"/>
        </w:rPr>
        <w:t>部门整体支出绩效自评报告</w:t>
      </w:r>
    </w:p>
    <w:p>
      <w:pPr>
        <w:spacing w:line="600" w:lineRule="exact"/>
        <w:ind w:left="482" w:hanging="482"/>
        <w:jc w:val="center"/>
        <w:rPr>
          <w:rFonts w:ascii="仿宋" w:hAnsi="仿宋" w:eastAsia="仿宋"/>
          <w:b/>
          <w:sz w:val="32"/>
          <w:szCs w:val="32"/>
        </w:rPr>
      </w:pPr>
    </w:p>
    <w:p>
      <w:pPr>
        <w:adjustRightInd w:val="0"/>
        <w:snapToGrid w:val="0"/>
        <w:spacing w:line="600" w:lineRule="exact"/>
        <w:ind w:left="480" w:hanging="480"/>
        <w:outlineLvl w:val="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部门</w:t>
      </w:r>
      <w:r>
        <w:rPr>
          <w:rFonts w:ascii="仿宋" w:hAnsi="仿宋" w:eastAsia="仿宋"/>
          <w:sz w:val="32"/>
          <w:szCs w:val="32"/>
        </w:rPr>
        <w:t>概况</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w:t>
      </w:r>
      <w:r>
        <w:rPr>
          <w:rFonts w:hint="eastAsia" w:ascii="仿宋" w:hAnsi="仿宋" w:eastAsia="仿宋" w:cs="仿宋_GB2312"/>
          <w:sz w:val="30"/>
          <w:szCs w:val="30"/>
        </w:rPr>
        <w:t>单位基本情况</w:t>
      </w:r>
    </w:p>
    <w:p>
      <w:pPr>
        <w:widowControl/>
        <w:spacing w:line="600" w:lineRule="exact"/>
        <w:ind w:firstLine="640" w:firstLineChars="200"/>
        <w:jc w:val="left"/>
        <w:rPr>
          <w:rFonts w:ascii="仿宋_GB2312" w:eastAsia="仿宋_GB2312"/>
          <w:bCs/>
          <w:color w:val="000000"/>
          <w:sz w:val="30"/>
          <w:szCs w:val="30"/>
          <w:lang w:bidi="ar"/>
        </w:rPr>
      </w:pPr>
      <w:r>
        <w:rPr>
          <w:rFonts w:hint="eastAsia" w:ascii="Times New Roman" w:hAnsi="Times New Roman" w:eastAsia="黑体" w:cs="宋体"/>
          <w:bCs/>
          <w:color w:val="333333"/>
          <w:kern w:val="0"/>
          <w:sz w:val="32"/>
          <w:szCs w:val="32"/>
        </w:rPr>
        <w:t>1、</w:t>
      </w:r>
      <w:r>
        <w:rPr>
          <w:rFonts w:hint="eastAsia" w:ascii="仿宋_GB2312" w:eastAsia="仿宋_GB2312" w:cs="仿宋_GB2312"/>
          <w:bCs/>
          <w:color w:val="000000"/>
          <w:sz w:val="30"/>
          <w:szCs w:val="30"/>
        </w:rPr>
        <w:t>内设机构数（7个</w:t>
      </w:r>
      <w:r>
        <w:rPr>
          <w:rFonts w:hint="eastAsia" w:ascii="仿宋_GB2312" w:eastAsia="仿宋_GB2312"/>
          <w:bCs/>
          <w:color w:val="000000"/>
          <w:sz w:val="30"/>
          <w:szCs w:val="30"/>
          <w:lang w:bidi="ar"/>
        </w:rPr>
        <w:t>）：办公室、新闻组（县突发公共事件应急新闻</w:t>
      </w:r>
      <w:r>
        <w:rPr>
          <w:rFonts w:hint="eastAsia" w:ascii="仿宋_GB2312" w:eastAsia="仿宋_GB2312"/>
          <w:bCs/>
          <w:color w:val="000000"/>
          <w:sz w:val="30"/>
          <w:szCs w:val="30"/>
          <w:lang w:eastAsia="zh-CN" w:bidi="ar"/>
        </w:rPr>
        <w:t>部</w:t>
      </w:r>
      <w:r>
        <w:rPr>
          <w:rFonts w:hint="eastAsia" w:ascii="仿宋_GB2312" w:eastAsia="仿宋_GB2312"/>
          <w:bCs/>
          <w:color w:val="000000"/>
          <w:sz w:val="30"/>
          <w:szCs w:val="30"/>
          <w:lang w:bidi="ar"/>
        </w:rPr>
        <w:t>办公室）、宣传组、理教党教组、文化艺术指导组、新闻出版（版权）电影管理组、文明建设指导组</w:t>
      </w:r>
    </w:p>
    <w:p>
      <w:pPr>
        <w:widowControl/>
        <w:shd w:val="clear" w:color="auto" w:fill="FFFFFF"/>
        <w:snapToGrid w:val="0"/>
        <w:spacing w:line="600" w:lineRule="exact"/>
        <w:ind w:firstLine="600" w:firstLineChars="200"/>
        <w:jc w:val="left"/>
        <w:rPr>
          <w:rFonts w:ascii="仿宋" w:hAnsi="仿宋" w:eastAsia="仿宋" w:cs="仿宋_GB2312"/>
          <w:sz w:val="30"/>
          <w:szCs w:val="30"/>
        </w:rPr>
      </w:pPr>
      <w:r>
        <w:rPr>
          <w:rFonts w:hint="eastAsia" w:ascii="仿宋_GB2312" w:eastAsia="仿宋_GB2312"/>
          <w:bCs/>
          <w:color w:val="000000"/>
          <w:sz w:val="30"/>
          <w:szCs w:val="30"/>
          <w:lang w:bidi="ar"/>
        </w:rPr>
        <w:t>2、所属机构（2个）：县文学艺术界联合会（正科级）、县社会科学界联合会（正科级）。</w:t>
      </w:r>
      <w:r>
        <w:rPr>
          <w:b/>
          <w:sz w:val="30"/>
          <w:szCs w:val="30"/>
          <w:lang w:bidi="ar"/>
        </w:rPr>
        <w:t xml:space="preserve"> </w:t>
      </w:r>
      <w:r>
        <w:rPr>
          <w:rFonts w:hint="eastAsia" w:ascii="仿宋_GB2312" w:eastAsia="仿宋_GB2312"/>
          <w:sz w:val="30"/>
          <w:szCs w:val="30"/>
          <w:lang w:bidi="ar"/>
        </w:rPr>
        <w:t xml:space="preserve">         </w:t>
      </w:r>
      <w:r>
        <w:rPr>
          <w:rFonts w:ascii="宋体" w:hAnsi="宋体" w:cs="宋体"/>
          <w:color w:val="333333"/>
          <w:sz w:val="24"/>
        </w:rPr>
        <w:t>　</w:t>
      </w:r>
    </w:p>
    <w:p>
      <w:pPr>
        <w:adjustRightInd w:val="0"/>
        <w:snapToGrid w:val="0"/>
        <w:spacing w:line="600" w:lineRule="exact"/>
        <w:ind w:left="480" w:hanging="480"/>
        <w:rPr>
          <w:rFonts w:ascii="仿宋" w:hAnsi="仿宋" w:eastAsia="仿宋"/>
          <w:sz w:val="32"/>
          <w:szCs w:val="32"/>
        </w:rPr>
      </w:pPr>
      <w:r>
        <w:rPr>
          <w:rFonts w:hint="eastAsia" w:ascii="仿宋" w:hAnsi="仿宋" w:eastAsia="仿宋" w:cs="仿宋_GB2312"/>
          <w:sz w:val="30"/>
          <w:szCs w:val="30"/>
          <w:lang w:val="en-US" w:eastAsia="zh-CN"/>
        </w:rPr>
        <w:t>县</w:t>
      </w:r>
      <w:r>
        <w:rPr>
          <w:rFonts w:hint="eastAsia" w:ascii="仿宋" w:hAnsi="仿宋" w:eastAsia="仿宋" w:cs="仿宋_GB2312"/>
          <w:sz w:val="30"/>
          <w:szCs w:val="30"/>
          <w:lang w:eastAsia="zh-CN"/>
        </w:rPr>
        <w:t>委宣传部</w:t>
      </w:r>
      <w:r>
        <w:rPr>
          <w:rFonts w:hint="eastAsia" w:ascii="仿宋" w:hAnsi="仿宋" w:eastAsia="仿宋" w:cs="仿宋_GB2312"/>
          <w:sz w:val="30"/>
          <w:szCs w:val="30"/>
        </w:rPr>
        <w:t>编制人数</w:t>
      </w:r>
      <w:r>
        <w:rPr>
          <w:rFonts w:hint="eastAsia" w:ascii="仿宋" w:hAnsi="仿宋" w:eastAsia="仿宋" w:cs="仿宋_GB2312"/>
          <w:sz w:val="30"/>
          <w:szCs w:val="30"/>
          <w:lang w:val="en-US" w:eastAsia="zh-CN"/>
        </w:rPr>
        <w:t>17</w:t>
      </w:r>
      <w:r>
        <w:rPr>
          <w:rFonts w:hint="eastAsia" w:ascii="仿宋" w:hAnsi="仿宋" w:eastAsia="仿宋" w:cs="仿宋_GB2312"/>
          <w:sz w:val="30"/>
          <w:szCs w:val="30"/>
        </w:rPr>
        <w:t>人，实际人数</w:t>
      </w:r>
      <w:r>
        <w:rPr>
          <w:rFonts w:hint="eastAsia" w:ascii="仿宋" w:hAnsi="仿宋" w:eastAsia="仿宋" w:cs="仿宋_GB2312"/>
          <w:sz w:val="30"/>
          <w:szCs w:val="30"/>
          <w:lang w:val="en-US" w:eastAsia="zh-CN"/>
        </w:rPr>
        <w:t>24</w:t>
      </w:r>
      <w:r>
        <w:rPr>
          <w:rFonts w:hint="eastAsia" w:ascii="仿宋" w:hAnsi="仿宋" w:eastAsia="仿宋" w:cs="仿宋_GB2312"/>
          <w:sz w:val="30"/>
          <w:szCs w:val="30"/>
        </w:rPr>
        <w:t>人（其中，在职</w:t>
      </w:r>
      <w:r>
        <w:rPr>
          <w:rFonts w:hint="eastAsia" w:ascii="仿宋" w:hAnsi="仿宋" w:eastAsia="仿宋" w:cs="仿宋_GB2312"/>
          <w:sz w:val="30"/>
          <w:szCs w:val="30"/>
          <w:lang w:val="en-US" w:eastAsia="zh-CN"/>
        </w:rPr>
        <w:t>18</w:t>
      </w:r>
      <w:r>
        <w:rPr>
          <w:rFonts w:hint="eastAsia" w:ascii="仿宋" w:hAnsi="仿宋" w:eastAsia="仿宋" w:cs="仿宋_GB2312"/>
          <w:sz w:val="30"/>
          <w:szCs w:val="30"/>
        </w:rPr>
        <w:t>人，离退休</w:t>
      </w:r>
      <w:r>
        <w:rPr>
          <w:rFonts w:hint="eastAsia" w:ascii="仿宋" w:hAnsi="仿宋" w:eastAsia="仿宋" w:cs="仿宋_GB2312"/>
          <w:sz w:val="30"/>
          <w:szCs w:val="30"/>
          <w:lang w:val="en-US" w:eastAsia="zh-CN"/>
        </w:rPr>
        <w:t>6</w:t>
      </w:r>
      <w:r>
        <w:rPr>
          <w:rFonts w:hint="eastAsia" w:ascii="仿宋" w:hAnsi="仿宋" w:eastAsia="仿宋" w:cs="仿宋_GB2312"/>
          <w:sz w:val="30"/>
          <w:szCs w:val="30"/>
        </w:rPr>
        <w:t>人），</w:t>
      </w:r>
    </w:p>
    <w:p>
      <w:pPr>
        <w:widowControl/>
        <w:shd w:val="clear" w:color="auto" w:fill="FFFFFF"/>
        <w:spacing w:line="600" w:lineRule="exact"/>
        <w:ind w:firstLine="627" w:firstLineChars="196"/>
        <w:jc w:val="left"/>
        <w:rPr>
          <w:rFonts w:ascii="仿宋" w:hAnsi="仿宋" w:eastAsia="仿宋" w:cs="仿宋"/>
          <w:color w:val="333333"/>
          <w:kern w:val="0"/>
          <w:sz w:val="30"/>
          <w:szCs w:val="30"/>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）主要工作职责。</w:t>
      </w:r>
      <w:r>
        <w:rPr>
          <w:rFonts w:hint="eastAsia" w:ascii="仿宋" w:hAnsi="仿宋" w:eastAsia="仿宋" w:cs="仿宋"/>
          <w:color w:val="333333"/>
          <w:kern w:val="0"/>
          <w:sz w:val="30"/>
          <w:szCs w:val="30"/>
        </w:rPr>
        <w:t>1、拟定全县宣传思想工作规划和措施，统筹协调推进宣传思想文化领域法治建设，按照县委统一部署，协调宣传思想文化系统各部门之间的工作。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2、统筹协调党的意识形态工作，贯彻落实党中央、省委、市委、县委关于意识形态工作决策部署，组织协调意识形态工作责任制落实和日常监督检查工作，结合巡察工作开展专项检查。</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3、负责指导全县理论研究、理论学习、理论宣传宣讲工作，组织推动理论武装工作，组织实施马克思主义理论研究和建设工作。为县委理论学习</w:t>
      </w:r>
      <w:r>
        <w:rPr>
          <w:rFonts w:hint="eastAsia" w:ascii="仿宋" w:hAnsi="仿宋" w:eastAsia="仿宋" w:cs="仿宋"/>
          <w:color w:val="333333"/>
          <w:kern w:val="0"/>
          <w:sz w:val="30"/>
          <w:szCs w:val="30"/>
          <w:lang w:eastAsia="zh-CN"/>
        </w:rPr>
        <w:t>部</w:t>
      </w:r>
      <w:r>
        <w:rPr>
          <w:rFonts w:hint="eastAsia" w:ascii="仿宋" w:hAnsi="仿宋" w:eastAsia="仿宋" w:cs="仿宋"/>
          <w:color w:val="333333"/>
          <w:kern w:val="0"/>
          <w:sz w:val="30"/>
          <w:szCs w:val="30"/>
        </w:rPr>
        <w:t>组理论学习提供有关服务，对各乡镇单位和县直机关单位及大中型企业党组（党委）</w:t>
      </w:r>
      <w:r>
        <w:rPr>
          <w:rFonts w:hint="eastAsia" w:ascii="仿宋" w:hAnsi="仿宋" w:eastAsia="仿宋" w:cs="仿宋"/>
          <w:color w:val="333333"/>
          <w:kern w:val="0"/>
          <w:sz w:val="30"/>
          <w:szCs w:val="30"/>
          <w:lang w:eastAsia="zh-CN"/>
        </w:rPr>
        <w:t>部</w:t>
      </w:r>
      <w:r>
        <w:rPr>
          <w:rFonts w:hint="eastAsia" w:ascii="仿宋" w:hAnsi="仿宋" w:eastAsia="仿宋" w:cs="仿宋"/>
          <w:color w:val="333333"/>
          <w:kern w:val="0"/>
          <w:sz w:val="30"/>
          <w:szCs w:val="30"/>
        </w:rPr>
        <w:t>组理论学习进行指导。</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4、负责规划组织全局性思想工作，配合县委组织部做好党员教育工作，会同有关部门研究和改进群众思想教育工作。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5、统筹分析研判和引导社会舆论，指导协调县直各新闻单位工作，组织全县突发公共事件应急新闻工作。承担县突发公共事件应急新闻</w:t>
      </w:r>
      <w:r>
        <w:rPr>
          <w:rFonts w:hint="eastAsia" w:ascii="仿宋" w:hAnsi="仿宋" w:eastAsia="仿宋" w:cs="仿宋"/>
          <w:color w:val="333333"/>
          <w:kern w:val="0"/>
          <w:sz w:val="30"/>
          <w:szCs w:val="30"/>
          <w:lang w:eastAsia="zh-CN"/>
        </w:rPr>
        <w:t>部</w:t>
      </w:r>
      <w:r>
        <w:rPr>
          <w:rFonts w:hint="eastAsia" w:ascii="仿宋" w:hAnsi="仿宋" w:eastAsia="仿宋" w:cs="仿宋"/>
          <w:color w:val="333333"/>
          <w:kern w:val="0"/>
          <w:sz w:val="30"/>
          <w:szCs w:val="30"/>
        </w:rPr>
        <w:t>办公室日常工作。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6、负责指导全县新闻出版业的管理，督促落实有关政策，管理新闻出版行政事务，组织协调有关行政审批工作，统筹规划和指导新闻出版事业产业发展，监督管理出版物内容和质量，监督管理印刷业，管理著作权等。</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7、从宏观上统筹指导协调全县互联网宣传和信息内容管理工作。统筹协调数字新媒体的建设与管理。</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8、负责指导协调推动全县精神文化产品的创作和生产，协调组织中华优秀传统文化传承发展有关工作，指导协调推动群众文化建设。</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9、负责管理全县电影行政事务，指导监管电影制片、发行、放映工作，组织对电影内容进行审查，指导协调全县重大电影活动，组织开展电影交流与合作。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10、对全县新闻出版、广播影视、文化艺术产业改革发展研究提出政策性建议，统筹协调文化体制改革和文化事业、文化产业及旅游业发展，指导协调国有文化资产监管工作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11、负责协调全县对外宣传工作，指导协调有关部门研究落实对外宣传工作重大方针政策和拟定对外宣传事业发展规划，指导和协调全县对外文化交流工作，协调推动本土文化走出去工作。组织协调涉及港澳新闻宣传工作。协同有关部门开展涉台问题宣传工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12、负责协调组织开展全县新闻发布工作，承担县委新闻发布有关组织协调工作，负责县人民政府新闻发布组织实施工作，指导协调县直各部门、各乡镇的新闻发布工作，推动新闻发言人制度建设，拟定重大问题对外宣传口径。</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13、负责落实中央、省、市、县精神文明建设指导委员会工作部署，拟定全县精神文明建设工作规划并组织实施。</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14、受县委委托，会同县委组织部管理县直宣传文化系统单位的领导干部。对乡镇宣传委员的任免提出意见。按照干部管理权限，管理县直宣传系统各归口单位的有关干部。负责组织开展宣传思想文化系统干部教育培训工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15、对县互联网信息办公室互联网宣传和信息内容管理方面的工作实施方针、政策的指导。</w:t>
      </w:r>
    </w:p>
    <w:p>
      <w:pPr>
        <w:widowControl/>
        <w:shd w:val="clear" w:color="auto" w:fill="FFFFFF"/>
        <w:spacing w:line="600" w:lineRule="exact"/>
        <w:ind w:firstLine="588" w:firstLineChars="196"/>
        <w:jc w:val="left"/>
        <w:rPr>
          <w:rFonts w:ascii="仿宋" w:hAnsi="仿宋" w:eastAsia="仿宋" w:cs="仿宋"/>
          <w:sz w:val="30"/>
          <w:szCs w:val="30"/>
        </w:rPr>
      </w:pPr>
      <w:r>
        <w:rPr>
          <w:rFonts w:hint="eastAsia" w:ascii="仿宋" w:hAnsi="仿宋" w:eastAsia="仿宋" w:cs="仿宋"/>
          <w:color w:val="333333"/>
          <w:kern w:val="0"/>
          <w:sz w:val="30"/>
          <w:szCs w:val="30"/>
        </w:rPr>
        <w:t>16、</w:t>
      </w:r>
      <w:r>
        <w:rPr>
          <w:rFonts w:hint="eastAsia" w:ascii="仿宋" w:hAnsi="仿宋" w:eastAsia="仿宋" w:cs="仿宋"/>
          <w:sz w:val="30"/>
          <w:szCs w:val="30"/>
        </w:rPr>
        <w:t>贯彻党的文艺工作路线、方针、政策，执行县文学艺术界代表大会和县文联委员会的决议、决定。对全县性各文艺家协会进行团结引导、联络协调、服务管理、自律维权工作。团结全县文艺家和文艺工作者，反映和听取文艺界的情况和意见。</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17、发挥党和政府联系广大社科工作者的桥梁纽带作用，指导、联络和协调县社科各学会、研究会工作，促进社科理论研究成果社会化，宣传普及社科知识和研究成果。</w:t>
      </w:r>
    </w:p>
    <w:p>
      <w:pPr>
        <w:widowControl/>
        <w:shd w:val="clear" w:color="auto" w:fill="FFFFFF"/>
        <w:spacing w:line="600" w:lineRule="exact"/>
        <w:ind w:firstLine="588" w:firstLineChars="196"/>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18、推动基层宣传思想文化工作和精神文明建设改革创新，建设以全县域为整体，以乡镇、村（社区）三级为单元的新时代文明实践</w:t>
      </w:r>
      <w:r>
        <w:rPr>
          <w:rFonts w:hint="eastAsia" w:ascii="仿宋" w:hAnsi="仿宋" w:eastAsia="仿宋" w:cs="仿宋"/>
          <w:color w:val="333333"/>
          <w:kern w:val="0"/>
          <w:sz w:val="30"/>
          <w:szCs w:val="30"/>
          <w:lang w:eastAsia="zh-CN"/>
        </w:rPr>
        <w:t>部</w:t>
      </w:r>
      <w:r>
        <w:rPr>
          <w:rFonts w:hint="eastAsia" w:ascii="仿宋" w:hAnsi="仿宋" w:eastAsia="仿宋" w:cs="仿宋"/>
          <w:color w:val="333333"/>
          <w:kern w:val="0"/>
          <w:sz w:val="30"/>
          <w:szCs w:val="30"/>
        </w:rPr>
        <w:t>（所、站），以志愿服务为基本形式，打通城乡公共文化服务体系的运行机制、文化科技卫生“三下乡”的工作机制、群众性精神文明创建活动的引导机制。</w:t>
      </w:r>
    </w:p>
    <w:p>
      <w:pPr>
        <w:adjustRightInd w:val="0"/>
        <w:snapToGrid w:val="0"/>
        <w:spacing w:line="600" w:lineRule="exact"/>
        <w:ind w:left="480" w:hanging="480"/>
        <w:rPr>
          <w:rFonts w:hint="eastAsia" w:ascii="仿宋" w:hAnsi="仿宋" w:eastAsia="仿宋"/>
          <w:b/>
          <w:bCs/>
          <w:sz w:val="32"/>
          <w:szCs w:val="32"/>
        </w:rPr>
      </w:pPr>
      <w:r>
        <w:rPr>
          <w:rFonts w:hint="eastAsia" w:ascii="仿宋" w:hAnsi="仿宋" w:eastAsia="仿宋"/>
          <w:sz w:val="32"/>
          <w:szCs w:val="32"/>
        </w:rPr>
        <w:t>二、部门整体支出规模、使用方向和内容</w:t>
      </w:r>
      <w:r>
        <w:rPr>
          <w:rFonts w:hint="eastAsia" w:ascii="仿宋" w:hAnsi="仿宋" w:eastAsia="仿宋" w:cs="Times New Roman"/>
          <w:sz w:val="32"/>
          <w:szCs w:val="32"/>
        </w:rPr>
        <w:t>（金额：万元）</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（一）预算执行情况</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年部门整体预算收入共</w:t>
      </w:r>
      <w:r>
        <w:rPr>
          <w:rFonts w:hint="eastAsia" w:ascii="仿宋" w:hAnsi="仿宋" w:eastAsia="仿宋"/>
          <w:color w:val="000000"/>
          <w:sz w:val="32"/>
          <w:szCs w:val="32"/>
          <w:lang w:val="en-US" w:eastAsia="zh-CN"/>
        </w:rPr>
        <w:t>783.97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，其中财政拨款</w:t>
      </w:r>
      <w:r>
        <w:rPr>
          <w:rFonts w:hint="eastAsia" w:ascii="仿宋" w:hAnsi="仿宋" w:eastAsia="仿宋"/>
          <w:color w:val="000000"/>
          <w:sz w:val="32"/>
          <w:szCs w:val="32"/>
          <w:lang w:val="en-US" w:eastAsia="zh-CN"/>
        </w:rPr>
        <w:t>783.97万元，</w:t>
      </w:r>
      <w:r>
        <w:rPr>
          <w:rFonts w:hint="eastAsia" w:ascii="仿宋" w:hAnsi="仿宋" w:eastAsia="仿宋"/>
          <w:color w:val="000000"/>
          <w:sz w:val="32"/>
          <w:szCs w:val="32"/>
        </w:rPr>
        <w:t>部门整体</w:t>
      </w:r>
      <w:r>
        <w:rPr>
          <w:rFonts w:hint="eastAsia" w:ascii="仿宋" w:hAnsi="仿宋" w:eastAsia="仿宋"/>
          <w:color w:val="000000"/>
          <w:sz w:val="32"/>
          <w:szCs w:val="32"/>
          <w:lang w:eastAsia="zh-CN"/>
        </w:rPr>
        <w:t>决算</w:t>
      </w:r>
      <w:r>
        <w:rPr>
          <w:rFonts w:hint="eastAsia" w:ascii="仿宋" w:hAnsi="仿宋" w:eastAsia="仿宋"/>
          <w:color w:val="000000"/>
          <w:sz w:val="32"/>
          <w:szCs w:val="32"/>
        </w:rPr>
        <w:t>支出共计</w:t>
      </w:r>
      <w:r>
        <w:rPr>
          <w:rFonts w:hint="eastAsia" w:ascii="仿宋" w:hAnsi="仿宋" w:eastAsia="仿宋"/>
          <w:color w:val="000000"/>
          <w:sz w:val="32"/>
          <w:szCs w:val="32"/>
          <w:lang w:val="en-US" w:eastAsia="zh-CN"/>
        </w:rPr>
        <w:t>815.49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整体支出完成绩效目标。</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（二）基本支出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我部2022年我部基本支出815.49万元，主要用于人员经费及日常公用经费支出，其中人员经费249.35万元，包括人员基本工资83.89万元、津补贴56.02万元、奖金46.52万元、伙食补助10.14万元、绩效工资1.03万元、养老保险费20.93万元、基本医疗保险缴费10.56万元、其他社会保障缴费1.88万元、其他工资福利支出1.18万元；对个人和家庭的补助17.2万元；日常公用经费支出566.14万元，其中资本性支出1.59万元，包括办公设备购置1.59万元；商品服务支出564.55万元，包括办公费19.05万元，印刷费11.31万元，咨询费0.1万元，水费0.33、电费1.53万元，邮电费0.41万元，差旅费36.26万元，维修（护）费3.83万元，会议费2.93万元、培训费1.64万元、公务接待费2.72万元，劳务费24.98万元，工会经费2.46万元，其他交通费用3.24万元，其他商品和服务支出453.76万元；日常公用经费中三公经费支出情况如下:</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1、出国经费：2022年没有预算数，也没有决算数。</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2、公务接待费：2022年预算数5万元，2021年决算数2.72万元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3、公务用车购置和维护费;2022预算数0万元，2022年决算数0万元。</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我部“三公经费”均在预算范围内开支，“三公经费”使用和管理严格遵循市、县相关规定执行。</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根据年初预算批复，与上年比较，基本支出较上年有增加，主要原因是人员的增加和人员工资标准调整。“三公”经费中公务出国费用和公车运行维护费为0，公务接待费2.72万。“三公”经费管理有效。</w:t>
      </w:r>
    </w:p>
    <w:p>
      <w:pPr>
        <w:pStyle w:val="6"/>
        <w:shd w:val="clear" w:color="auto" w:fill="FFFFFF"/>
        <w:spacing w:before="0" w:beforeAutospacing="0" w:after="0" w:afterAutospacing="0" w:line="360" w:lineRule="auto"/>
        <w:ind w:firstLine="640" w:firstLineChars="20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2022年我单位不断改善行政管理、严格经费及资产管理，改进文风会风，精简会议，提高了行政效率，降低了行政成本，我单位的各方面工作都得到社会大众的肯定和好评，在年度绩效考核中考核为优秀。</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（三）专项支出</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1、专项资金支出为零。</w:t>
      </w:r>
    </w:p>
    <w:p>
      <w:pPr>
        <w:pStyle w:val="6"/>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三、资产管理情况</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截止202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年12月31日，</w:t>
      </w:r>
      <w:r>
        <w:rPr>
          <w:rFonts w:hint="eastAsia" w:ascii="仿宋" w:hAnsi="仿宋" w:eastAsia="仿宋" w:cs="仿宋"/>
          <w:sz w:val="32"/>
          <w:szCs w:val="32"/>
        </w:rPr>
        <w:t>，我单位实有固定资产原值合计</w:t>
      </w:r>
      <w:r>
        <w:rPr>
          <w:rFonts w:hint="eastAsia" w:ascii="仿宋" w:hAnsi="仿宋" w:eastAsia="仿宋" w:cs="仿宋"/>
          <w:sz w:val="32"/>
          <w:szCs w:val="32"/>
          <w:lang w:val="en-US" w:eastAsia="zh-CN"/>
        </w:rPr>
        <w:t>68.36</w:t>
      </w:r>
      <w:r>
        <w:rPr>
          <w:rFonts w:hint="eastAsia" w:ascii="仿宋" w:hAnsi="仿宋" w:eastAsia="仿宋" w:cs="仿宋"/>
          <w:sz w:val="32"/>
          <w:szCs w:val="32"/>
        </w:rPr>
        <w:t>万元，累计折旧</w:t>
      </w:r>
      <w:r>
        <w:rPr>
          <w:rFonts w:hint="eastAsia" w:ascii="仿宋" w:hAnsi="仿宋" w:eastAsia="仿宋" w:cs="仿宋"/>
          <w:sz w:val="32"/>
          <w:szCs w:val="32"/>
          <w:lang w:val="en-US" w:eastAsia="zh-CN"/>
        </w:rPr>
        <w:t>37.17</w:t>
      </w:r>
      <w:r>
        <w:rPr>
          <w:rFonts w:hint="eastAsia" w:ascii="仿宋" w:hAnsi="仿宋" w:eastAsia="仿宋" w:cs="仿宋"/>
          <w:sz w:val="32"/>
          <w:szCs w:val="32"/>
        </w:rPr>
        <w:t>万元，固定资产净值</w:t>
      </w:r>
      <w:r>
        <w:rPr>
          <w:rFonts w:hint="eastAsia" w:ascii="仿宋" w:hAnsi="仿宋" w:eastAsia="仿宋" w:cs="仿宋"/>
          <w:sz w:val="32"/>
          <w:szCs w:val="32"/>
          <w:lang w:val="en-US" w:eastAsia="zh-CN"/>
        </w:rPr>
        <w:t>31.19</w:t>
      </w:r>
      <w:r>
        <w:rPr>
          <w:rFonts w:hint="eastAsia" w:ascii="仿宋" w:hAnsi="仿宋" w:eastAsia="仿宋" w:cs="仿宋"/>
          <w:sz w:val="32"/>
          <w:szCs w:val="32"/>
        </w:rPr>
        <w:t>万元。</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为了规范和加强国有资产配置，使用和处置管理，优化资产结构，提高资产使用效益，推进资产管理与预算管理有机结合，本单位严格按照法定程序和权限配置、使用、处置资产制度执行，并根据《行政事业单位国有资产管理办法》制定了固定资产的范围，使用年限，以及管理、核算、购置、验收、保管、使用、清查和追溯等都明确有严格的规定，程序和管理。单位配备了资产管理员，建立了资产台账，并定期更新台账数据。</w:t>
      </w:r>
    </w:p>
    <w:p>
      <w:pPr>
        <w:pStyle w:val="6"/>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四、绩效评价工作情况</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年，我单位以绩效目标实现为导向，进一步加强制度建设，提升自评质量，预算绩效管理取得新成效。</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是抓好绩效目标编制，及时报送绩效目标。二是探索绩效跟踪监控，要求加强过程监控；三是深入开展财政支出绩效评价，对资金实施绩效自评，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pStyle w:val="6"/>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五、综合评价情况及评价结论</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1、预算配置控制较好，预算执行比较到位。</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2、预算效能较理想，制度执行总体较为有效，但仍需进一步强化。</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3、管理制度健全：有内部财务管理制度、内部控制制度、会计核算制度等管理制度，相关管理制度合法、合规、完整，相关管理制度得到有效执行，并有考核制度。</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资金使用合规：本年度支出符合国家财经法规和财务管理制度规定以及有关专项资金管理办法的规定；资金拨付有完整的审批程序和手续；支出符合部门预算批复的用途；资金使用无截留、挤占、挪用、虚列支出等情况。</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5、预决算信息公开：一是按规定在县政府门户网站公开信息；二是基础数据信息和会计信息资料真实、完整、准确。</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6、资产管理合理。202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年我单位在全体干部职工的共同努力下圆满出色完成了各项工作目标和任务。</w:t>
      </w:r>
    </w:p>
    <w:p>
      <w:pPr>
        <w:pStyle w:val="6"/>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六、部门整体支出主要绩效</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1、社会效益：我单位的各方面工作都得到社会大众的肯定和好评。</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2、行政效能：我单位不断改善行政管理、严格经费及资产管理，改进文风会风，精简会议，提高了行政效率，降低了行政成本。</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3、可持续性分析：我单位厉行节约，确保各项支出落地有声，可持续推进。</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4、社会公众满意度：在年度绩效考核中考核为优秀。</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5、部门整体绩效自评:自评为9</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分。</w:t>
      </w:r>
    </w:p>
    <w:p>
      <w:pPr>
        <w:pStyle w:val="6"/>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七、存在的问题</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1、资金使用效益及资金的分项执行率有待进一步提高。</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2、绩效目标设立不够明确、细化和量化。单位虽然设立了项目资金绩效目标，但目标不够明确、细化和量化。</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3、财务人员业务素质有待加强。财务知识更新很快，很多业务都是新业务，不学习，很难把工作做好。</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4、资产管理有待完善。</w:t>
      </w:r>
      <w:bookmarkStart w:id="0" w:name="_GoBack"/>
      <w:bookmarkEnd w:id="0"/>
      <w:r>
        <w:rPr>
          <w:rFonts w:hint="eastAsia" w:ascii="仿宋" w:hAnsi="仿宋" w:eastAsia="仿宋"/>
          <w:color w:val="000000"/>
          <w:sz w:val="32"/>
          <w:szCs w:val="32"/>
        </w:rPr>
        <w:t>我单位虽然对资产进行了清查，并执行了条码管理，但在实际操作过程中还是遇到许多未完善的地方，需进一步完善。</w:t>
      </w:r>
    </w:p>
    <w:p>
      <w:pPr>
        <w:pStyle w:val="6"/>
        <w:shd w:val="clear" w:color="auto" w:fill="FFFFFF"/>
        <w:spacing w:before="0" w:beforeAutospacing="0" w:after="0" w:afterAutospacing="0" w:line="360" w:lineRule="auto"/>
        <w:ind w:firstLine="643" w:firstLineChars="200"/>
        <w:rPr>
          <w:rFonts w:ascii="仿宋" w:hAnsi="仿宋" w:eastAsia="仿宋"/>
          <w:b/>
          <w:color w:val="000000"/>
          <w:sz w:val="32"/>
          <w:szCs w:val="32"/>
        </w:rPr>
      </w:pPr>
      <w:r>
        <w:rPr>
          <w:rFonts w:hint="eastAsia" w:ascii="仿宋" w:hAnsi="仿宋" w:eastAsia="仿宋"/>
          <w:b/>
          <w:color w:val="000000"/>
          <w:sz w:val="32"/>
          <w:szCs w:val="32"/>
        </w:rPr>
        <w:t>八、改进措施和有关建议</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1、加强对财政资金的拨付和使用管理。</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2、进一步加强会计核算，强化预算管理意识，严格执行预算，做到专账核算，确保专款专用</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3、加强对干部职工的业务培训，提高他们的执法水平。</w:t>
      </w:r>
    </w:p>
    <w:p>
      <w:pPr>
        <w:pStyle w:val="6"/>
        <w:shd w:val="clear" w:color="auto" w:fill="FFFFFF"/>
        <w:spacing w:before="0" w:beforeAutospacing="0" w:after="0" w:afterAutospacing="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4、加大宣传力度。对于相关的法律法规和政策要通过各种途径进行宣传，让这些法律法规和政策惠真正落实到千家万户，形成一个良好的社会氛围。</w:t>
      </w:r>
    </w:p>
    <w:p>
      <w:pPr>
        <w:pStyle w:val="6"/>
        <w:shd w:val="clear" w:color="auto" w:fill="FFFFFF"/>
        <w:spacing w:before="0" w:beforeAutospacing="0" w:after="0" w:afterAutospacing="0"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5、加强绩效评价管理制度和流程建设。进一步深化、完善绩效管理体系，建立全过程的预算绩效管理机制，促进绩效管理工作向广度和深度延伸。做好绩效产出的跟踪，进行项目分类统计和成本分析。</w:t>
      </w:r>
    </w:p>
    <w:p>
      <w:pPr>
        <w:widowControl/>
        <w:spacing w:line="600" w:lineRule="exact"/>
        <w:ind w:left="147" w:hanging="147" w:hangingChars="46"/>
        <w:rPr>
          <w:rFonts w:ascii="仿宋" w:hAnsi="仿宋" w:eastAsia="仿宋"/>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YzY3YjZmMjU2YmZiZmM3NDk0NzYyOTJhNDUwZDQifQ=="/>
  </w:docVars>
  <w:rsids>
    <w:rsidRoot w:val="114F32ED"/>
    <w:rsid w:val="036D5A73"/>
    <w:rsid w:val="114F32ED"/>
    <w:rsid w:val="6A670EB5"/>
    <w:rsid w:val="7E0F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150" w:hanging="150" w:hangingChars="15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 w:type="paragraph" w:styleId="7">
    <w:name w:val="Body Text First Indent 2"/>
    <w:basedOn w:val="3"/>
    <w:qFormat/>
    <w:uiPriority w:val="0"/>
    <w:pPr>
      <w:widowControl w:val="0"/>
      <w:spacing w:after="0" w:line="660" w:lineRule="exact"/>
      <w:ind w:left="0" w:leftChars="0" w:firstLine="420" w:firstLineChars="200"/>
      <w:jc w:val="both"/>
    </w:pPr>
    <w:rPr>
      <w:rFonts w:ascii="仿宋_GB2312" w:hAnsi="Calibri" w:eastAsia="仿宋_GB2312" w:cs="Times New Roman"/>
      <w:sz w:val="32"/>
      <w:szCs w:val="24"/>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6119</Words>
  <Characters>6352</Characters>
  <Lines>0</Lines>
  <Paragraphs>0</Paragraphs>
  <TotalTime>5</TotalTime>
  <ScaleCrop>false</ScaleCrop>
  <LinksUpToDate>false</LinksUpToDate>
  <CharactersWithSpaces>6375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2022-06-10T03:42:00Z</dcterms:created>
  <dc:creator>小玲</dc:creator>
  <cp:lastModifiedBy>Administrator</cp:lastModifiedBy>
  <cp:lastPrinted>2022-12-20T05:23:00Z</cp:lastPrinted>
  <dcterms:modified xsi:type="dcterms:W3CDTF">2023-11-22T04:22:23Z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0C9D748788494CDE9D198229898DC0D8_13</vt:lpwstr>
  </property>
</Properties>
</file>