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80" w:lineRule="exact"/>
        <w:ind w:left="0" w:right="641" w:firstLine="0" w:firstLineChars="0"/>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2</w:t>
      </w:r>
    </w:p>
    <w:p>
      <w:pPr>
        <w:adjustRightInd w:val="0"/>
        <w:spacing w:line="580" w:lineRule="exact"/>
        <w:ind w:left="540" w:right="641" w:hanging="540"/>
        <w:jc w:val="center"/>
        <w:rPr>
          <w:rFonts w:hint="eastAsia" w:ascii="黑体" w:hAnsi="黑体" w:eastAsia="黑体" w:cs="黑体"/>
          <w:sz w:val="44"/>
          <w:szCs w:val="44"/>
        </w:rPr>
      </w:pPr>
      <w:r>
        <w:rPr>
          <w:rFonts w:hint="eastAsia" w:ascii="黑体" w:hAnsi="黑体" w:eastAsia="黑体" w:cs="黑体"/>
          <w:sz w:val="44"/>
          <w:szCs w:val="44"/>
        </w:rPr>
        <w:t>部门整体支出绩效自评报告</w:t>
      </w:r>
    </w:p>
    <w:p>
      <w:pPr>
        <w:adjustRightInd w:val="0"/>
        <w:spacing w:line="580" w:lineRule="exact"/>
        <w:ind w:left="480" w:right="641" w:hanging="480"/>
        <w:rPr>
          <w:rFonts w:hint="eastAsia" w:ascii="仿宋" w:hAnsi="仿宋" w:eastAsia="仿宋" w:cs="仿宋"/>
          <w:sz w:val="32"/>
          <w:szCs w:val="32"/>
        </w:rPr>
      </w:pPr>
    </w:p>
    <w:p>
      <w:pPr>
        <w:adjustRightInd w:val="0"/>
        <w:snapToGrid w:val="0"/>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一、部门概况</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（一）部门基本情况</w:t>
      </w:r>
    </w:p>
    <w:p>
      <w:pPr>
        <w:keepNext w:val="0"/>
        <w:keepLines w:val="0"/>
        <w:pageBreakBefore w:val="0"/>
        <w:widowControl/>
        <w:numPr>
          <w:ilvl w:val="0"/>
          <w:numId w:val="0"/>
        </w:numPr>
        <w:shd w:val="clear" w:color="auto" w:fill="FFFFFF"/>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白水洞风景名胜区管理处是公益一类事业单位，成立于2013年9月，2016年5月升格为副处级，定事业全额编制32人，其中副处级1名，正科级4名，副科级5名。内设综合科、监察室、规划建设科、资源保护科、经营安全科，下辖新邵县风景名胜旅游开发有限公司。现有在职人员32人，无离退休人员和编制外人员。</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主要职能为：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b/>
          <w:bCs/>
          <w:color w:val="000000"/>
          <w:kern w:val="0"/>
          <w:sz w:val="32"/>
          <w:szCs w:val="32"/>
          <w:lang w:val="en-US" w:eastAsia="zh-CN"/>
        </w:rPr>
      </w:pPr>
      <w:r>
        <w:rPr>
          <w:rFonts w:hint="eastAsia" w:ascii="仿宋" w:hAnsi="仿宋" w:eastAsia="仿宋" w:cs="仿宋"/>
          <w:kern w:val="2"/>
          <w:sz w:val="32"/>
          <w:szCs w:val="32"/>
          <w:lang w:val="en-US" w:eastAsia="zh-CN" w:bidi="ar-SA"/>
        </w:rPr>
        <w:t>负责宣传贯彻执行国家与地方在风景名胜区方面的法律法规及其他相关法律法规；负责风景名胜区的保护、利用和统一管理工作，依法制定各项管理制度和具体实施办法，会同相关部门对风景名胜区内的镇乡人民政府及相关部门履职情况进行检查考核；负责风景名胜区内建设项目的审核，行使风景名胜区内行政处罚权；负责管理风景名胜区建设秩序与项目建设的监管，会同相关部门做好建设项目的建设工程质量安全监督管理和竣工验收备案等工作；负责风景名胜区旅游服务项目的管理与招商引资工作，办理风景名胜区特许经营项目许可手续及颁证工作；负责管理和维护风景名胜区内基础设施和公共服务设施，加强风景名胜区安全管理，完善安全警示标志，按规划确定游览接待容量，制定档案管理制度，收集保管档案资料；负责风景名胜区的信息宣传、旅游营销、市场开发及特色旅游产品开发的管理工作。完善规范各类标牌标示，加强环境卫生管理与饮食服务卫生管理，会同有关部门做好护林防火和病虫害防治工作；负责风景名胜区门票出售和风景名胜区资源有偿使用费的征收工作，并组织开展稽查执法；负责县委、县政府及上级主管部门交办的其他工作。</w:t>
      </w:r>
    </w:p>
    <w:p>
      <w:pPr>
        <w:keepNext w:val="0"/>
        <w:keepLines w:val="0"/>
        <w:pageBreakBefore w:val="0"/>
        <w:widowControl/>
        <w:shd w:val="clear" w:color="auto" w:fill="FFFFFF"/>
        <w:kinsoku/>
        <w:wordWrap/>
        <w:overflowPunct/>
        <w:topLinePunct w:val="0"/>
        <w:autoSpaceDE/>
        <w:autoSpaceDN/>
        <w:bidi w:val="0"/>
        <w:spacing w:line="560" w:lineRule="exact"/>
        <w:ind w:left="0" w:leftChars="0" w:right="0" w:rightChars="0" w:firstLine="643" w:firstLineChars="200"/>
        <w:jc w:val="both"/>
        <w:textAlignment w:val="auto"/>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rPr>
        <w:t>20</w:t>
      </w:r>
      <w:r>
        <w:rPr>
          <w:rFonts w:hint="eastAsia" w:ascii="仿宋" w:hAnsi="仿宋" w:eastAsia="仿宋" w:cs="仿宋"/>
          <w:b/>
          <w:bCs/>
          <w:color w:val="000000"/>
          <w:kern w:val="0"/>
          <w:sz w:val="32"/>
          <w:szCs w:val="32"/>
          <w:lang w:val="en-US" w:eastAsia="zh-CN"/>
        </w:rPr>
        <w:t>22</w:t>
      </w:r>
      <w:r>
        <w:rPr>
          <w:rFonts w:hint="eastAsia" w:ascii="仿宋" w:hAnsi="仿宋" w:eastAsia="仿宋" w:cs="仿宋"/>
          <w:b/>
          <w:bCs/>
          <w:color w:val="000000"/>
          <w:kern w:val="0"/>
          <w:sz w:val="32"/>
          <w:szCs w:val="32"/>
        </w:rPr>
        <w:t>年度工作计划</w:t>
      </w:r>
      <w:r>
        <w:rPr>
          <w:rFonts w:hint="eastAsia" w:ascii="仿宋" w:hAnsi="仿宋" w:eastAsia="仿宋" w:cs="仿宋"/>
          <w:b/>
          <w:bCs/>
          <w:color w:val="000000"/>
          <w:kern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w:t>
      </w:r>
      <w:r>
        <w:rPr>
          <w:rFonts w:hint="eastAsia" w:ascii="仿宋" w:hAnsi="仿宋" w:eastAsia="仿宋" w:cs="仿宋"/>
          <w:kern w:val="2"/>
          <w:sz w:val="32"/>
          <w:szCs w:val="32"/>
          <w:lang w:val="en-US" w:eastAsia="zh-CN" w:bidi="ar-SA"/>
        </w:rPr>
        <w:t>抓好景区管理、开展宣传工作。一是扎实开展环境卫生整治，提升景区形象；二是推广对外宣传。编制了《白水洞国家级风景名胜区管理手册》、《白水洞国家级风景名胜区游览手册》和《白水洞国家级风景名胜区招商手册》，展示推介我县丰富的旅游资源和人文景观，扩大景区知名度和影响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切实抓好资源保护和行政执法工作。以管理处牵头领导，完善机制加强管理，依法开展行政工作；以白水洞景区、白云岩景区、资江小三峡景区管理办公室为依托，明确工作责任，各司其职，警务室与执法队加大景区执法力度，严厉打击在景区乱搭滥建、破坏景观等违法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切实抓好景区安全生产工作。安全是旅游的生命线。进一步完善各项安全生产管理制度，制定旅游黄金周安全应急方案等。加强对稽查人员、安保人员、讲解员等重要岗位员工的安全知识专业培训。对景区游道、灯光、电缆等基础设施进行定期或不定期的安全排查，在办公楼和游客主要集散地添置消防灭火器等设施，在景区各危险路段制作安全提示牌，景区游客全面落实个人意外伤害险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切实抓好账务管理和预算绩效工作。主要是成立财政预算绩效监督考核领导小组，明确工作目标，强化资金使用责任；进一步完善单位各项财务规章制度，明确各岗位工作职责，严格按照会计制度和财政纪律要求，做好会计核算和报表编制工作；严格财务管理，切实加强财务监督，坚决减少非生产性开支，杜绝违法开支，提高资金使用效率，确保单位工作正常运转，实现财政预算资金使用效益最大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5、切实抓好县委各项中心工作。主要抓好脱贫攻坚、创文、创卫、创森工作，联点村社会管理综合治理工作、信访稳定工作。</w:t>
      </w:r>
    </w:p>
    <w:p>
      <w:pPr>
        <w:adjustRightInd w:val="0"/>
        <w:snapToGrid w:val="0"/>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6、完成县委、县政府门交办的其他工作任务。</w:t>
      </w:r>
    </w:p>
    <w:p>
      <w:pPr>
        <w:adjustRightInd w:val="0"/>
        <w:snapToGrid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（二）部门整体支出</w:t>
      </w:r>
      <w:r>
        <w:rPr>
          <w:rFonts w:hint="eastAsia" w:ascii="仿宋" w:hAnsi="仿宋" w:eastAsia="仿宋" w:cs="仿宋"/>
          <w:sz w:val="32"/>
          <w:szCs w:val="32"/>
          <w:lang w:eastAsia="zh-CN"/>
        </w:rPr>
        <w:t>情况</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白水洞风景名胜区管理处2022年整体支出9860.36万元，其中一般公共预算支出460.36万元，专项债券资金9400万元。</w:t>
      </w:r>
    </w:p>
    <w:p>
      <w:pPr>
        <w:adjustRightInd w:val="0"/>
        <w:snapToGrid w:val="0"/>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一般公共预算支出</w:t>
      </w:r>
      <w:r>
        <w:rPr>
          <w:rFonts w:hint="eastAsia" w:ascii="仿宋" w:hAnsi="仿宋" w:eastAsia="仿宋" w:cs="仿宋"/>
          <w:b/>
          <w:bCs/>
          <w:sz w:val="32"/>
          <w:szCs w:val="32"/>
        </w:rPr>
        <w:t>情况</w:t>
      </w:r>
    </w:p>
    <w:p>
      <w:pPr>
        <w:adjustRightInd w:val="0"/>
        <w:snapToGrid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（一）基本支出</w:t>
      </w:r>
    </w:p>
    <w:p>
      <w:pPr>
        <w:pStyle w:val="6"/>
        <w:keepNext w:val="0"/>
        <w:keepLines w:val="0"/>
        <w:pageBreakBefore w:val="0"/>
        <w:numPr>
          <w:ilvl w:val="0"/>
          <w:numId w:val="0"/>
        </w:numPr>
        <w:kinsoku/>
        <w:wordWrap/>
        <w:overflowPunct/>
        <w:topLinePunct w:val="0"/>
        <w:autoSpaceDN/>
        <w:bidi w:val="0"/>
        <w:spacing w:after="0" w:line="560" w:lineRule="exact"/>
        <w:ind w:right="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我单位2022年全年实际基本支出345.38万元。其中人员经费支出280.6万元，公用经费支出64.78万元。日常公用经费中三公经费支出情况如下：</w:t>
      </w:r>
    </w:p>
    <w:p>
      <w:pPr>
        <w:pStyle w:val="6"/>
        <w:keepNext w:val="0"/>
        <w:keepLines w:val="0"/>
        <w:pageBreakBefore w:val="0"/>
        <w:numPr>
          <w:ilvl w:val="0"/>
          <w:numId w:val="0"/>
        </w:numPr>
        <w:kinsoku/>
        <w:wordWrap/>
        <w:overflowPunct/>
        <w:topLinePunct w:val="0"/>
        <w:autoSpaceDN/>
        <w:bidi w:val="0"/>
        <w:spacing w:after="0" w:line="56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1、因公出国（境）费用：2022年预算数0元，决算数0元。</w:t>
      </w:r>
    </w:p>
    <w:p>
      <w:pPr>
        <w:pStyle w:val="6"/>
        <w:keepNext w:val="0"/>
        <w:keepLines w:val="0"/>
        <w:pageBreakBefore w:val="0"/>
        <w:numPr>
          <w:ilvl w:val="0"/>
          <w:numId w:val="0"/>
        </w:numPr>
        <w:kinsoku/>
        <w:wordWrap/>
        <w:overflowPunct/>
        <w:topLinePunct w:val="0"/>
        <w:autoSpaceDN/>
        <w:bidi w:val="0"/>
        <w:spacing w:after="0" w:line="56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2、公务接待费：2022年预算数1.8万元，决算数0.94万元，较上年相比增加0.94万元。</w:t>
      </w:r>
    </w:p>
    <w:p>
      <w:pPr>
        <w:pStyle w:val="6"/>
        <w:keepNext w:val="0"/>
        <w:keepLines w:val="0"/>
        <w:pageBreakBefore w:val="0"/>
        <w:numPr>
          <w:ilvl w:val="0"/>
          <w:numId w:val="0"/>
        </w:numPr>
        <w:kinsoku/>
        <w:wordWrap/>
        <w:overflowPunct/>
        <w:topLinePunct w:val="0"/>
        <w:autoSpaceDN/>
        <w:bidi w:val="0"/>
        <w:spacing w:after="0" w:line="560" w:lineRule="exact"/>
        <w:ind w:right="0" w:righ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3、公务用车购置和维护经费：我单位公务车辆1辆。2022年预算数3万元，决算数1.53万元，较上年相比减少2.04万元，下降57%。</w:t>
      </w:r>
    </w:p>
    <w:p>
      <w:pPr>
        <w:adjustRightInd w:val="0"/>
        <w:snapToGrid w:val="0"/>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我单位“三公经费”均在预算范围内开支，“三公经费”的使用和管理严格遵循省、市、县相关规定执行。公务接待费都有公函和接待清单，按标准支出。</w:t>
      </w:r>
    </w:p>
    <w:p>
      <w:pPr>
        <w:adjustRightInd w:val="0"/>
        <w:snapToGrid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eastAsia="zh-CN"/>
        </w:rPr>
        <w:t>（二）项目</w:t>
      </w:r>
      <w:r>
        <w:rPr>
          <w:rFonts w:hint="eastAsia" w:ascii="仿宋" w:hAnsi="仿宋" w:eastAsia="仿宋" w:cs="仿宋"/>
          <w:bCs/>
          <w:sz w:val="32"/>
          <w:szCs w:val="32"/>
        </w:rPr>
        <w:t>支出</w:t>
      </w:r>
    </w:p>
    <w:p>
      <w:pPr>
        <w:adjustRightInd w:val="0"/>
        <w:snapToGrid w:val="0"/>
        <w:spacing w:line="58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2022年，我单位项目支出专项资金为9514.98万元，其中专项债券9400万元，业务工作经费支出114.98万元。主要用于景区基础设施建设；强化景区安全生产管理，确保景区旅游平安稳定；强化资源保护执法，严厉打击违法违规行为，确保景区资源保护完好。项目支出总预算180万元，其中业务工作经费123万元用于弥补基本支出；15万元用于景区拆违控违工作经费，27万元用于景区安全生产与执法专项经费，15万元用于景区警务室工作经费，严格按照项目支出要求使用资金，严格遵守财经纪律，支出合理规范。</w:t>
      </w:r>
    </w:p>
    <w:p>
      <w:pPr>
        <w:adjustRightInd w:val="0"/>
        <w:snapToGrid w:val="0"/>
        <w:spacing w:line="580" w:lineRule="exact"/>
        <w:ind w:firstLine="640" w:firstLineChars="200"/>
        <w:rPr>
          <w:rFonts w:hint="eastAsia" w:ascii="仿宋" w:hAnsi="仿宋" w:eastAsia="仿宋" w:cs="仿宋"/>
          <w:sz w:val="32"/>
          <w:szCs w:val="32"/>
        </w:rPr>
      </w:pPr>
    </w:p>
    <w:p>
      <w:pPr>
        <w:adjustRightInd w:val="0"/>
        <w:snapToGrid w:val="0"/>
        <w:spacing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三、资产管理情况</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40"/>
        <w:jc w:val="left"/>
        <w:textAlignment w:val="auto"/>
        <w:rPr>
          <w:rFonts w:hint="eastAsia" w:ascii="宋体" w:hAnsi="宋体" w:eastAsia="宋体" w:cs="宋体"/>
          <w:color w:val="000000"/>
          <w:sz w:val="27"/>
          <w:szCs w:val="27"/>
          <w:shd w:val="clear" w:fill="FFFFFF"/>
        </w:rPr>
      </w:pPr>
      <w:r>
        <w:rPr>
          <w:rFonts w:hint="eastAsia" w:ascii="宋体" w:hAnsi="宋体" w:eastAsia="宋体" w:cs="宋体"/>
          <w:color w:val="000000"/>
          <w:sz w:val="27"/>
          <w:szCs w:val="27"/>
          <w:shd w:val="clear" w:fill="FFFFFF"/>
        </w:rPr>
        <w:t>2022年度，我单位配置固定资产</w:t>
      </w:r>
      <w:r>
        <w:rPr>
          <w:sz w:val="27"/>
          <w:szCs w:val="27"/>
        </w:rPr>
        <w:t>0.39</w:t>
      </w:r>
      <w:r>
        <w:rPr>
          <w:rFonts w:hint="eastAsia" w:ascii="宋体" w:hAnsi="宋体" w:eastAsia="宋体" w:cs="宋体"/>
          <w:color w:val="000000"/>
          <w:sz w:val="27"/>
          <w:szCs w:val="27"/>
          <w:shd w:val="clear" w:fill="FFFFFF"/>
        </w:rPr>
        <w:t>万元。</w:t>
      </w:r>
      <w:r>
        <w:rPr>
          <w:rFonts w:hint="eastAsia" w:ascii="宋体" w:hAnsi="宋体" w:cs="宋体"/>
          <w:color w:val="000000"/>
          <w:sz w:val="27"/>
          <w:szCs w:val="27"/>
          <w:shd w:val="clear" w:fill="FFFFFF"/>
          <w:lang w:val="en-US" w:eastAsia="zh-CN"/>
        </w:rPr>
        <w:t>其中通用</w:t>
      </w:r>
      <w:r>
        <w:rPr>
          <w:rFonts w:hint="eastAsia" w:ascii="宋体" w:hAnsi="宋体" w:eastAsia="宋体" w:cs="宋体"/>
          <w:color w:val="000000"/>
          <w:sz w:val="27"/>
          <w:szCs w:val="27"/>
          <w:shd w:val="clear" w:fill="FFFFFF"/>
        </w:rPr>
        <w:t>设备</w:t>
      </w:r>
      <w:r>
        <w:rPr>
          <w:sz w:val="27"/>
          <w:szCs w:val="27"/>
        </w:rPr>
        <w:t>0.39</w:t>
      </w:r>
      <w:r>
        <w:rPr>
          <w:rFonts w:hint="eastAsia" w:ascii="宋体" w:hAnsi="宋体" w:eastAsia="宋体" w:cs="宋体"/>
          <w:color w:val="000000"/>
          <w:sz w:val="27"/>
          <w:szCs w:val="27"/>
          <w:shd w:val="clear" w:fill="FFFFFF"/>
        </w:rPr>
        <w:t>万元，占</w:t>
      </w:r>
      <w:r>
        <w:rPr>
          <w:sz w:val="27"/>
          <w:szCs w:val="27"/>
        </w:rPr>
        <w:t>100.00</w:t>
      </w:r>
      <w:r>
        <w:rPr>
          <w:rFonts w:hint="eastAsia" w:ascii="宋体" w:hAnsi="宋体" w:eastAsia="宋体" w:cs="宋体"/>
          <w:color w:val="000000"/>
          <w:sz w:val="27"/>
          <w:szCs w:val="27"/>
          <w:shd w:val="clear" w:fill="FFFFFF"/>
        </w:rPr>
        <w:t>%；截至2022年12月31日，我单位自用固定资产</w:t>
      </w:r>
      <w:r>
        <w:rPr>
          <w:sz w:val="27"/>
          <w:szCs w:val="27"/>
        </w:rPr>
        <w:t>56.45</w:t>
      </w:r>
      <w:r>
        <w:rPr>
          <w:rFonts w:hint="eastAsia" w:ascii="宋体" w:hAnsi="宋体" w:eastAsia="宋体" w:cs="宋体"/>
          <w:color w:val="000000"/>
          <w:sz w:val="27"/>
          <w:szCs w:val="27"/>
          <w:shd w:val="clear" w:fill="FFFFFF"/>
        </w:rPr>
        <w:t>万元，占账面固定资产总额的</w:t>
      </w:r>
      <w:r>
        <w:rPr>
          <w:sz w:val="27"/>
          <w:szCs w:val="27"/>
        </w:rPr>
        <w:t>100.00</w:t>
      </w:r>
      <w:r>
        <w:rPr>
          <w:rFonts w:hint="eastAsia" w:ascii="宋体" w:hAnsi="宋体" w:eastAsia="宋体" w:cs="宋体"/>
          <w:color w:val="000000"/>
          <w:sz w:val="27"/>
          <w:szCs w:val="27"/>
          <w:shd w:val="clear" w:fill="FFFFFF"/>
        </w:rPr>
        <w:t>%，其中:</w:t>
      </w:r>
      <w:r>
        <w:rPr>
          <w:rFonts w:hint="eastAsia" w:ascii="宋体" w:hAnsi="宋体" w:eastAsia="宋体" w:cs="宋体"/>
          <w:sz w:val="27"/>
          <w:szCs w:val="27"/>
          <w:shd w:val="clear" w:fill="FFFFFF"/>
        </w:rPr>
        <w:t>在用</w:t>
      </w:r>
      <w:r>
        <w:rPr>
          <w:rFonts w:hint="eastAsia" w:ascii="宋体" w:hAnsi="宋体" w:eastAsia="宋体" w:cs="宋体"/>
          <w:color w:val="000000"/>
          <w:sz w:val="27"/>
          <w:szCs w:val="27"/>
          <w:shd w:val="clear" w:fill="FFFFFF"/>
        </w:rPr>
        <w:t>56.45万元，占账面固定资产总额的</w:t>
      </w:r>
      <w:r>
        <w:rPr>
          <w:sz w:val="27"/>
          <w:szCs w:val="27"/>
        </w:rPr>
        <w:t>100.00</w:t>
      </w:r>
      <w:r>
        <w:rPr>
          <w:rFonts w:hint="eastAsia" w:ascii="宋体" w:hAnsi="宋体" w:eastAsia="宋体" w:cs="宋体"/>
          <w:color w:val="000000"/>
          <w:sz w:val="27"/>
          <w:szCs w:val="27"/>
          <w:shd w:val="clear"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4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2022年本单位按财政局相关部门的要求，进行了全面资产清查及上报工作，确保资产账实相符。各项资产统一录入资产管理系统，谁使用谁管理，责任到人。</w:t>
      </w:r>
    </w:p>
    <w:p>
      <w:pPr>
        <w:numPr>
          <w:ilvl w:val="0"/>
          <w:numId w:val="1"/>
        </w:numPr>
        <w:adjustRightInd w:val="0"/>
        <w:snapToGrid w:val="0"/>
        <w:spacing w:line="58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政府性基金预算支出情况</w:t>
      </w:r>
    </w:p>
    <w:p>
      <w:pPr>
        <w:pStyle w:val="2"/>
        <w:numPr>
          <w:ilvl w:val="0"/>
          <w:numId w:val="0"/>
        </w:numPr>
        <w:ind w:leftChars="200"/>
        <w:rPr>
          <w:rFonts w:hint="default"/>
          <w:lang w:val="en-US" w:eastAsia="zh-CN"/>
        </w:rPr>
      </w:pPr>
      <w:r>
        <w:rPr>
          <w:rFonts w:hint="eastAsia"/>
          <w:lang w:val="en-US" w:eastAsia="zh-CN"/>
        </w:rPr>
        <w:t xml:space="preserve">   </w:t>
      </w:r>
      <w:r>
        <w:rPr>
          <w:rFonts w:hint="eastAsia" w:ascii="仿宋" w:hAnsi="仿宋" w:eastAsia="仿宋" w:cs="仿宋"/>
          <w:color w:val="auto"/>
          <w:kern w:val="0"/>
          <w:sz w:val="32"/>
          <w:szCs w:val="32"/>
          <w:lang w:val="en-US" w:eastAsia="zh-CN" w:bidi="ar-SA"/>
        </w:rPr>
        <w:t xml:space="preserve"> 2022年，单位政府性基金预算财政拨款支出9400万元，主要用于景区基础设施建设。</w:t>
      </w:r>
    </w:p>
    <w:p>
      <w:pPr>
        <w:numPr>
          <w:ilvl w:val="0"/>
          <w:numId w:val="1"/>
        </w:numPr>
        <w:adjustRightInd w:val="0"/>
        <w:snapToGrid w:val="0"/>
        <w:spacing w:line="580" w:lineRule="exact"/>
        <w:ind w:left="15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国有资本经营预算支出情况</w:t>
      </w:r>
    </w:p>
    <w:p>
      <w:pPr>
        <w:pStyle w:val="2"/>
        <w:rPr>
          <w:rFonts w:hint="default"/>
          <w:lang w:val="en-US" w:eastAsia="zh-CN"/>
        </w:rPr>
      </w:pPr>
      <w:r>
        <w:rPr>
          <w:rFonts w:hint="eastAsia" w:ascii="仿宋" w:hAnsi="仿宋" w:eastAsia="仿宋" w:cs="仿宋"/>
          <w:b/>
          <w:bCs/>
          <w:sz w:val="32"/>
          <w:szCs w:val="32"/>
          <w:lang w:val="en-US" w:eastAsia="zh-CN"/>
        </w:rPr>
        <w:t xml:space="preserve">  无</w:t>
      </w:r>
    </w:p>
    <w:p>
      <w:pPr>
        <w:numPr>
          <w:ilvl w:val="0"/>
          <w:numId w:val="1"/>
        </w:numPr>
        <w:adjustRightInd w:val="0"/>
        <w:snapToGrid w:val="0"/>
        <w:spacing w:line="580" w:lineRule="exact"/>
        <w:ind w:left="15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社会保险基金预算支出情况</w:t>
      </w:r>
    </w:p>
    <w:p>
      <w:pPr>
        <w:pStyle w:val="2"/>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无</w:t>
      </w:r>
    </w:p>
    <w:p>
      <w:pPr>
        <w:adjustRightInd w:val="0"/>
        <w:snapToGrid w:val="0"/>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、部门整体支出主要绩效</w:t>
      </w:r>
    </w:p>
    <w:p>
      <w:pPr>
        <w:adjustRightInd w:val="0"/>
        <w:snapToGrid w:val="0"/>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在白水洞管理处党组的领导下，2022年本单位基本完成年初既定绩效目标：</w:t>
      </w:r>
    </w:p>
    <w:p>
      <w:pPr>
        <w:pStyle w:val="2"/>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安全生产工作扎实有效。全年在景区范围内新增防溺水、森林防火、地质灾害等安全标识40余处，新增安全设施30余处，处理安全隐患30余处。实现全年安全事故零发生，确保景区安全有序发展。</w:t>
      </w:r>
    </w:p>
    <w:p>
      <w:pPr>
        <w:pStyle w:val="2"/>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执法工作成效显著。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一是认真落实整改长江经济带生态环境警示片涉及白水洞景区三郎庙铅锌锑问题整改，现已完成种植草皮3500平方米，栽种树木500株。</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是认真核查、整改、落实中央环保督查6处卫片执法图斑、省自然资源厅卫片执法图斑4处、省林业局自然保护地第一批问题线索执法图班21处、国家林草局自然保护地第一批问题线索图斑8处以及省审计厅资环审查整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三是加大景区执法力度。全年共办理执法案件7起，其中违规建房2起，破坏生态资源5起；防止游客私自下水1200人次。开展村庄环境集中整治2次。拆除乱搭乱建12处。</w:t>
      </w:r>
    </w:p>
    <w:p>
      <w:pPr>
        <w:numPr>
          <w:ilvl w:val="0"/>
          <w:numId w:val="0"/>
        </w:numPr>
        <w:ind w:firstLine="640" w:firstLineChars="200"/>
        <w:jc w:val="both"/>
        <w:rPr>
          <w:rFonts w:hint="default" w:ascii="仿宋" w:hAnsi="仿宋" w:eastAsia="仿宋" w:cs="仿宋"/>
          <w:kern w:val="2"/>
          <w:sz w:val="32"/>
          <w:szCs w:val="32"/>
          <w:lang w:val="en-US" w:eastAsia="zh-CN" w:bidi="ar-SA"/>
        </w:rPr>
      </w:pPr>
    </w:p>
    <w:p>
      <w:pPr>
        <w:pStyle w:val="2"/>
        <w:numPr>
          <w:ilvl w:val="0"/>
          <w:numId w:val="2"/>
        </w:numPr>
        <w:rPr>
          <w:rFonts w:hint="default" w:ascii="仿宋" w:hAnsi="仿宋" w:eastAsia="仿宋" w:cs="仿宋"/>
          <w:sz w:val="32"/>
          <w:szCs w:val="32"/>
          <w:lang w:val="en-US" w:eastAsia="zh-CN"/>
        </w:rPr>
      </w:pPr>
      <w:r>
        <w:rPr>
          <w:rFonts w:hint="eastAsia" w:ascii="仿宋" w:hAnsi="仿宋" w:eastAsia="仿宋" w:cs="仿宋"/>
          <w:b w:val="0"/>
          <w:bCs w:val="0"/>
          <w:kern w:val="2"/>
          <w:sz w:val="32"/>
          <w:szCs w:val="32"/>
          <w:lang w:val="en-US" w:eastAsia="zh-CN" w:bidi="ar-SA"/>
        </w:rPr>
        <w:t>《白水洞国家级风景名胜区总体规划》省级主管部门评审通过，待审批后报国务院。</w:t>
      </w:r>
    </w:p>
    <w:p>
      <w:pPr>
        <w:pStyle w:val="2"/>
        <w:numPr>
          <w:ilvl w:val="0"/>
          <w:numId w:val="2"/>
        </w:numPr>
        <w:rPr>
          <w:rFonts w:hint="default" w:ascii="仿宋" w:hAnsi="仿宋" w:eastAsia="仿宋" w:cs="仿宋"/>
          <w:sz w:val="32"/>
          <w:szCs w:val="32"/>
          <w:lang w:val="en-US" w:eastAsia="zh-CN"/>
        </w:rPr>
      </w:pPr>
      <w:r>
        <w:rPr>
          <w:rFonts w:hint="eastAsia" w:ascii="仿宋" w:hAnsi="仿宋" w:eastAsia="仿宋" w:cs="仿宋"/>
          <w:b w:val="0"/>
          <w:bCs w:val="0"/>
          <w:kern w:val="2"/>
          <w:sz w:val="32"/>
          <w:szCs w:val="32"/>
          <w:lang w:val="en-US" w:eastAsia="zh-CN" w:bidi="ar-SA"/>
        </w:rPr>
        <w:t>成功发行专项债券10000万元，景区基础建设得到了进一步的提升。</w:t>
      </w:r>
    </w:p>
    <w:p>
      <w:pPr>
        <w:adjustRightInd w:val="0"/>
        <w:snapToGrid w:val="0"/>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八</w:t>
      </w:r>
      <w:r>
        <w:rPr>
          <w:rFonts w:hint="eastAsia" w:ascii="仿宋" w:hAnsi="仿宋" w:eastAsia="仿宋" w:cs="仿宋"/>
          <w:b/>
          <w:bCs/>
          <w:sz w:val="32"/>
          <w:szCs w:val="32"/>
        </w:rPr>
        <w:t>、存在的问题</w:t>
      </w:r>
    </w:p>
    <w:p>
      <w:pPr>
        <w:adjustRightInd w:val="0"/>
        <w:snapToGrid w:val="0"/>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1、预算绩效目标编制不够细致具体。</w:t>
      </w:r>
    </w:p>
    <w:p>
      <w:pPr>
        <w:adjustRightInd w:val="0"/>
        <w:snapToGrid w:val="0"/>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2、白水洞景区占地面积宽，涉及村镇广，因征地拆迁、工程建设等遗留问题较多，存在较多矛盾点，执法工作开展有一定困难。</w:t>
      </w:r>
    </w:p>
    <w:p>
      <w:pPr>
        <w:pStyle w:val="2"/>
        <w:rPr>
          <w:rFonts w:hint="default"/>
          <w:lang w:val="en-US" w:eastAsia="zh-CN"/>
        </w:rPr>
      </w:pPr>
      <w:r>
        <w:rPr>
          <w:rFonts w:hint="eastAsia" w:ascii="仿宋" w:hAnsi="仿宋" w:eastAsia="仿宋" w:cs="仿宋"/>
          <w:sz w:val="32"/>
          <w:szCs w:val="32"/>
          <w:lang w:val="en-US" w:eastAsia="zh-CN"/>
        </w:rPr>
        <w:t>3、资产管理不够规范。主要表现是新增资产报备手续不完善不及时。</w:t>
      </w:r>
    </w:p>
    <w:p>
      <w:pPr>
        <w:adjustRightInd w:val="0"/>
        <w:snapToGrid w:val="0"/>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九</w:t>
      </w:r>
      <w:r>
        <w:rPr>
          <w:rFonts w:hint="eastAsia" w:ascii="仿宋" w:hAnsi="仿宋" w:eastAsia="仿宋" w:cs="仿宋"/>
          <w:b/>
          <w:bCs/>
          <w:sz w:val="32"/>
          <w:szCs w:val="32"/>
        </w:rPr>
        <w:t>、改进措施和有关建议</w:t>
      </w:r>
    </w:p>
    <w:p>
      <w:pPr>
        <w:adjustRightInd w:val="0"/>
        <w:snapToGrid w:val="0"/>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1、根据单位实际情况，合理编制预算绩效目标</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480" w:firstLineChars="15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2、加强预算管理，完善相关制度，提高预算执行效率。</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480" w:firstLineChars="15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3、认真研读资产管理条例，严格按资产管理要求落实资产管理工作，确保资产管理工作有序推进。</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480" w:firstLineChars="150"/>
        <w:textAlignment w:val="auto"/>
      </w:pPr>
      <w:r>
        <w:rPr>
          <w:rFonts w:hint="eastAsia" w:ascii="仿宋" w:hAnsi="仿宋" w:eastAsia="仿宋" w:cs="仿宋"/>
          <w:b w:val="0"/>
          <w:bCs w:val="0"/>
          <w:sz w:val="32"/>
          <w:szCs w:val="32"/>
          <w:lang w:val="en-US" w:eastAsia="zh-CN"/>
        </w:rPr>
        <w:t>4、加强对</w:t>
      </w:r>
      <w:r>
        <w:rPr>
          <w:rFonts w:hint="eastAsia" w:ascii="仿宋" w:hAnsi="仿宋" w:eastAsia="仿宋" w:cs="仿宋"/>
          <w:b w:val="0"/>
          <w:bCs w:val="0"/>
          <w:sz w:val="32"/>
          <w:szCs w:val="32"/>
          <w:lang w:eastAsia="zh-CN"/>
        </w:rPr>
        <w:t>财务人员的学习培训，不断提高财务人员业务水平及能力素质。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315"/>
      </w:pPr>
      <w:r>
        <w:separator/>
      </w:r>
    </w:p>
  </w:endnote>
  <w:endnote w:type="continuationSeparator" w:id="1">
    <w:p>
      <w:pPr>
        <w:spacing w:line="240" w:lineRule="auto"/>
        <w:ind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315"/>
      </w:pPr>
      <w:r>
        <w:separator/>
      </w:r>
    </w:p>
  </w:footnote>
  <w:footnote w:type="continuationSeparator" w:id="1">
    <w:p>
      <w:pPr>
        <w:spacing w:line="240" w:lineRule="auto"/>
        <w:ind w:hanging="31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B5525"/>
    <w:multiLevelType w:val="singleLevel"/>
    <w:tmpl w:val="8BBB5525"/>
    <w:lvl w:ilvl="0" w:tentative="0">
      <w:start w:val="1"/>
      <w:numFmt w:val="decimal"/>
      <w:suff w:val="nothing"/>
      <w:lvlText w:val="%1、"/>
      <w:lvlJc w:val="left"/>
    </w:lvl>
  </w:abstractNum>
  <w:abstractNum w:abstractNumId="1">
    <w:nsid w:val="6CBCE23D"/>
    <w:multiLevelType w:val="singleLevel"/>
    <w:tmpl w:val="6CBCE23D"/>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NWY2NjQ1N2JkNTU2Yzk0MzFhNTNlMmMxOTkzYmIifQ=="/>
  </w:docVars>
  <w:rsids>
    <w:rsidRoot w:val="00000000"/>
    <w:rsid w:val="07647E58"/>
    <w:rsid w:val="116D2310"/>
    <w:rsid w:val="22BF6FD8"/>
    <w:rsid w:val="3C2D683B"/>
    <w:rsid w:val="410C725C"/>
    <w:rsid w:val="5DEA077F"/>
    <w:rsid w:val="61F5191A"/>
    <w:rsid w:val="79E92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0" w:lineRule="exact"/>
      <w:ind w:left="150" w:hanging="150" w:hangingChars="15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99"/>
    <w:pPr>
      <w:spacing w:line="300" w:lineRule="auto"/>
      <w:ind w:firstLine="420" w:firstLineChars="200"/>
    </w:pPr>
    <w:rPr>
      <w:rFonts w:eastAsia="方正书宋简体"/>
    </w:rPr>
  </w:style>
  <w:style w:type="paragraph" w:styleId="3">
    <w:name w:val="Body Text"/>
    <w:basedOn w:val="1"/>
    <w:qFormat/>
    <w:uiPriority w:val="99"/>
    <w:pPr>
      <w:spacing w:after="120"/>
    </w:pPr>
  </w:style>
  <w:style w:type="paragraph" w:styleId="4">
    <w:name w:val="Body Text Indent"/>
    <w:basedOn w:val="1"/>
    <w:qFormat/>
    <w:uiPriority w:val="0"/>
    <w:pPr>
      <w:spacing w:after="120"/>
      <w:ind w:left="420" w:leftChars="200"/>
    </w:pPr>
  </w:style>
  <w:style w:type="paragraph" w:styleId="5">
    <w:name w:val="Normal (Web)"/>
    <w:basedOn w:val="1"/>
    <w:qFormat/>
    <w:uiPriority w:val="0"/>
    <w:pPr>
      <w:spacing w:before="100" w:beforeAutospacing="1" w:after="100" w:afterAutospacing="1" w:line="240" w:lineRule="auto"/>
      <w:ind w:left="0" w:firstLine="0" w:firstLineChars="0"/>
      <w:jc w:val="left"/>
    </w:pPr>
    <w:rPr>
      <w:rFonts w:ascii="Times New Roman" w:hAnsi="Times New Roman"/>
      <w:kern w:val="0"/>
      <w:sz w:val="24"/>
      <w:szCs w:val="24"/>
    </w:rPr>
  </w:style>
  <w:style w:type="paragraph" w:styleId="6">
    <w:name w:val="Body Text First Indent"/>
    <w:basedOn w:val="3"/>
    <w:qFormat/>
    <w:uiPriority w:val="99"/>
    <w:pPr>
      <w:ind w:firstLine="420" w:firstLineChars="100"/>
    </w:pPr>
  </w:style>
  <w:style w:type="paragraph" w:styleId="7">
    <w:name w:val="Body Text First Indent 2"/>
    <w:basedOn w:val="4"/>
    <w:qFormat/>
    <w:uiPriority w:val="0"/>
    <w:pPr>
      <w:spacing w:after="0"/>
      <w:ind w:firstLine="420" w:firstLineChars="200"/>
    </w:pPr>
  </w:style>
  <w:style w:type="paragraph" w:customStyle="1" w:styleId="10">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2462</Words>
  <Characters>2613</Characters>
  <Lines>0</Lines>
  <Paragraphs>0</Paragraphs>
  <TotalTime>1</TotalTime>
  <ScaleCrop>false</ScaleCrop>
  <LinksUpToDate>false</LinksUpToDate>
  <CharactersWithSpaces>2623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2021-05-19T08:46:00Z</dcterms:created>
  <dc:creator>kz</dc:creator>
  <cp:lastModifiedBy>放</cp:lastModifiedBy>
  <cp:lastPrinted>2023-11-16T03:07:35Z</cp:lastPrinted>
  <dcterms:modified xsi:type="dcterms:W3CDTF">2023-11-16T03:07:57Z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28CB24EA841A4FF7814255823E4EB2ED</vt:lpwstr>
  </property>
</Properties>
</file>