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left="0" w:firstLine="0" w:firstLineChars="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附件</w:t>
      </w:r>
      <w:r>
        <w:rPr>
          <w:rFonts w:hAnsi="仿宋" w:eastAsia="仿宋"/>
          <w:sz w:val="32"/>
          <w:szCs w:val="32"/>
        </w:rPr>
        <w:t>1</w:t>
      </w:r>
    </w:p>
    <w:p>
      <w:pPr>
        <w:widowControl/>
        <w:adjustRightInd w:val="0"/>
        <w:snapToGrid w:val="0"/>
        <w:spacing w:afterLines="100" w:line="240" w:lineRule="auto"/>
        <w:ind w:left="542" w:hanging="542" w:firstLineChars="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年度部门整体支出绩效评价基础数据表</w:t>
      </w:r>
    </w:p>
    <w:tbl>
      <w:tblPr>
        <w:tblStyle w:val="7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939"/>
        <w:gridCol w:w="939"/>
        <w:gridCol w:w="928"/>
        <w:gridCol w:w="1009"/>
        <w:gridCol w:w="1009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财政供养人员情况（人）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编制数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2023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年实际在职人数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85.04%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经费控制情况（万元）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2022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年决算数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2023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年预算数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2023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三公经费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9.49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9.17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1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、公务用车购置和维护经费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7.24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其中：公车购置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公车运行维护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7.24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2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、出国经费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、公务接待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2.91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项目支出：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1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、业务工作经费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2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、运行维护经费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、专项资金</w:t>
            </w:r>
            <w:r>
              <w:rPr>
                <w:rFonts w:eastAsia="仿宋"/>
                <w:color w:val="000000"/>
                <w:kern w:val="0"/>
                <w:sz w:val="22"/>
              </w:rPr>
              <w:t>(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一个专项一行</w:t>
            </w:r>
            <w:r>
              <w:rPr>
                <w:rFonts w:eastAsia="仿宋"/>
                <w:color w:val="000000"/>
                <w:kern w:val="0"/>
                <w:sz w:val="22"/>
              </w:rPr>
              <w:t>)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服装产业园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157.94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1028.79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1909.04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kern w:val="0"/>
              </w:rPr>
              <w:t>1479.27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其中：办公经费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84.43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112.04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98.47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水费、电费、差旅费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179.61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196.67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会议费、培训费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18.55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政府采购金额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</w:pPr>
            <w:r>
              <w:rPr>
                <w:rFonts w:eastAsia="仿宋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部门基本支出预算调整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3023.18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3225.47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楼堂馆所控制情况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/>
                <w:color w:val="000000"/>
                <w:kern w:val="0"/>
                <w:sz w:val="22"/>
              </w:rPr>
              <w:t>2023</w:t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年完工项目）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批复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规模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实际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规模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规模控制率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预算投资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实际投资</w:t>
            </w:r>
            <w:r>
              <w:rPr>
                <w:rFonts w:eastAsia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</w:rPr>
              <w:t>厉行节约保障措施</w:t>
            </w:r>
          </w:p>
        </w:tc>
        <w:tc>
          <w:tcPr>
            <w:tcW w:w="5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beforeLines="25" w:line="360" w:lineRule="auto"/>
        <w:ind w:left="315" w:hanging="315"/>
        <w:rPr>
          <w:rFonts w:eastAsia="仿宋"/>
        </w:rPr>
      </w:pPr>
      <w:r>
        <w:rPr>
          <w:rFonts w:hint="eastAsia" w:hAnsi="仿宋" w:eastAsia="仿宋"/>
        </w:rPr>
        <w:t>说明：</w:t>
      </w:r>
      <w:r>
        <w:rPr>
          <w:rFonts w:eastAsia="仿宋"/>
        </w:rPr>
        <w:t>“</w:t>
      </w:r>
      <w:r>
        <w:rPr>
          <w:rFonts w:hint="eastAsia" w:hAnsi="仿宋" w:eastAsia="仿宋"/>
        </w:rPr>
        <w:t>项目支出</w:t>
      </w:r>
      <w:r>
        <w:rPr>
          <w:rFonts w:eastAsia="仿宋"/>
        </w:rPr>
        <w:t>”</w:t>
      </w:r>
      <w:r>
        <w:rPr>
          <w:rFonts w:hint="eastAsia" w:hAnsi="仿宋" w:eastAsia="仿宋"/>
        </w:rPr>
        <w:t>需要填报基本支出以外的所有项目支出情况，</w:t>
      </w:r>
      <w:r>
        <w:rPr>
          <w:rFonts w:eastAsia="仿宋"/>
        </w:rPr>
        <w:t>“</w:t>
      </w:r>
      <w:r>
        <w:rPr>
          <w:rFonts w:hint="eastAsia" w:hAnsi="仿宋" w:eastAsia="仿宋"/>
        </w:rPr>
        <w:t>公用经费</w:t>
      </w:r>
      <w:r>
        <w:rPr>
          <w:rFonts w:eastAsia="仿宋"/>
        </w:rPr>
        <w:t>”</w:t>
      </w:r>
      <w:r>
        <w:rPr>
          <w:rFonts w:hint="eastAsia" w:hAnsi="仿宋" w:eastAsia="仿宋"/>
        </w:rPr>
        <w:t>填报基本支出中的一般商品和服务支出。</w:t>
      </w:r>
    </w:p>
    <w:p>
      <w:pPr>
        <w:adjustRightInd w:val="0"/>
        <w:snapToGrid w:val="0"/>
        <w:spacing w:line="360" w:lineRule="auto"/>
        <w:ind w:left="0" w:firstLine="0" w:firstLineChars="0"/>
        <w:rPr>
          <w:rFonts w:eastAsia="仿宋"/>
        </w:rPr>
      </w:pPr>
      <w:r>
        <w:rPr>
          <w:rFonts w:hint="eastAsia" w:hAnsi="仿宋" w:eastAsia="仿宋"/>
        </w:rPr>
        <w:t>填表人：黄炜杰</w:t>
      </w:r>
      <w:r>
        <w:rPr>
          <w:rFonts w:eastAsia="仿宋"/>
        </w:rPr>
        <w:t xml:space="preserve">          </w:t>
      </w:r>
      <w:r>
        <w:rPr>
          <w:rFonts w:hint="eastAsia" w:hAnsi="仿宋" w:eastAsia="仿宋"/>
        </w:rPr>
        <w:t>填报日期：</w:t>
      </w:r>
      <w:r>
        <w:rPr>
          <w:rFonts w:hAnsi="仿宋" w:eastAsia="仿宋"/>
        </w:rPr>
        <w:t>2024.6.18</w:t>
      </w:r>
      <w:r>
        <w:rPr>
          <w:rFonts w:eastAsia="仿宋"/>
        </w:rPr>
        <w:t xml:space="preserve">         </w:t>
      </w:r>
      <w:r>
        <w:rPr>
          <w:rFonts w:hint="eastAsia" w:hAnsi="仿宋" w:eastAsia="仿宋"/>
        </w:rPr>
        <w:t>联系电话：</w:t>
      </w:r>
      <w:r>
        <w:rPr>
          <w:rFonts w:hAnsi="仿宋" w:eastAsia="仿宋"/>
        </w:rPr>
        <w:t xml:space="preserve">17673804277 </w:t>
      </w:r>
      <w:r>
        <w:rPr>
          <w:rFonts w:eastAsia="仿宋"/>
        </w:rPr>
        <w:t xml:space="preserve">             </w:t>
      </w:r>
    </w:p>
    <w:p>
      <w:pPr>
        <w:adjustRightInd w:val="0"/>
        <w:snapToGrid w:val="0"/>
        <w:spacing w:line="360" w:lineRule="auto"/>
        <w:ind w:left="0" w:firstLine="0" w:firstLineChars="0"/>
        <w:rPr>
          <w:rFonts w:eastAsia="仿宋"/>
        </w:rPr>
      </w:pPr>
    </w:p>
    <w:p>
      <w:pPr>
        <w:adjustRightInd w:val="0"/>
        <w:snapToGrid w:val="0"/>
        <w:spacing w:line="360" w:lineRule="auto"/>
        <w:ind w:left="0" w:firstLine="0" w:firstLineChars="0"/>
        <w:rPr>
          <w:rFonts w:eastAsia="仿宋"/>
          <w:sz w:val="32"/>
          <w:szCs w:val="32"/>
        </w:rPr>
      </w:pPr>
      <w:r>
        <w:rPr>
          <w:rFonts w:hint="eastAsia" w:hAnsi="仿宋" w:eastAsia="仿宋"/>
        </w:rPr>
        <w:t>单位负责人签字：</w:t>
      </w:r>
    </w:p>
    <w:p>
      <w:pPr>
        <w:adjustRightInd w:val="0"/>
        <w:snapToGrid w:val="0"/>
        <w:spacing w:line="240" w:lineRule="auto"/>
        <w:ind w:left="0" w:firstLine="0" w:firstLineChars="0"/>
        <w:rPr>
          <w:rFonts w:eastAsia="仿宋"/>
          <w:b/>
          <w:bCs/>
          <w:sz w:val="32"/>
          <w:szCs w:val="32"/>
        </w:rPr>
      </w:pPr>
      <w:r>
        <w:rPr>
          <w:rFonts w:ascii="宋体"/>
          <w:b/>
          <w:sz w:val="44"/>
          <w:szCs w:val="44"/>
        </w:rPr>
        <w:br w:type="page"/>
      </w:r>
      <w:r>
        <w:rPr>
          <w:rFonts w:hint="eastAsia" w:hAnsi="仿宋"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2-1</w:t>
      </w:r>
    </w:p>
    <w:p>
      <w:pPr>
        <w:widowControl/>
        <w:adjustRightInd w:val="0"/>
        <w:snapToGrid w:val="0"/>
        <w:spacing w:line="240" w:lineRule="auto"/>
        <w:ind w:left="542" w:hanging="542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adjustRightInd w:val="0"/>
        <w:snapToGrid w:val="0"/>
        <w:spacing w:afterLines="50" w:line="240" w:lineRule="auto"/>
        <w:ind w:left="360" w:hanging="360"/>
        <w:jc w:val="center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2023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年度）</w:t>
      </w:r>
    </w:p>
    <w:tbl>
      <w:tblPr>
        <w:tblStyle w:val="7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90"/>
        <w:gridCol w:w="872"/>
        <w:gridCol w:w="1118"/>
        <w:gridCol w:w="54"/>
        <w:gridCol w:w="1266"/>
        <w:gridCol w:w="1400"/>
        <w:gridCol w:w="799"/>
        <w:gridCol w:w="95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预算部门名称</w:t>
            </w:r>
          </w:p>
        </w:tc>
        <w:tc>
          <w:tcPr>
            <w:tcW w:w="8317" w:type="dxa"/>
            <w:gridSpan w:val="9"/>
            <w:vAlign w:val="center"/>
          </w:tcPr>
          <w:p>
            <w:pPr>
              <w:widowControl/>
              <w:ind w:left="480" w:hanging="48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陈家坊镇人民政府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年初</w:t>
            </w:r>
          </w:p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预算数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全年预算数</w:t>
            </w:r>
          </w:p>
        </w:tc>
        <w:tc>
          <w:tcPr>
            <w:tcW w:w="1214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</w:t>
            </w:r>
          </w:p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执行数</w:t>
            </w:r>
          </w:p>
        </w:tc>
        <w:tc>
          <w:tcPr>
            <w:tcW w:w="741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892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994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8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3116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3225.47</w:t>
            </w:r>
          </w:p>
        </w:tc>
        <w:tc>
          <w:tcPr>
            <w:tcW w:w="1214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3225.47</w:t>
            </w:r>
          </w:p>
        </w:tc>
        <w:tc>
          <w:tcPr>
            <w:tcW w:w="741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2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103.51</w:t>
            </w:r>
          </w:p>
        </w:tc>
        <w:tc>
          <w:tcPr>
            <w:tcW w:w="994" w:type="dxa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一般公共预算：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3225.47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2779.92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445.55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严格落实过“紧日子”精神，确保陈家坊镇整体正常运转，保障在职干部的正常办公、生活秩序</w:t>
            </w:r>
          </w:p>
          <w:p>
            <w:pPr>
              <w:widowControl/>
              <w:numPr>
                <w:ilvl w:val="0"/>
                <w:numId w:val="1"/>
              </w:num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三公经费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2023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年比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2022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年压减</w:t>
            </w:r>
            <w:r>
              <w:rPr>
                <w:rFonts w:eastAsia="仿宋_GB2312"/>
                <w:color w:val="000000"/>
                <w:kern w:val="0"/>
                <w:szCs w:val="21"/>
              </w:rPr>
              <w:t>1%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、完成县委、县政府交办的乡村振兴、综合治理和环境卫生整治等各项工作　　　　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、严格落实过“紧日子”精神，确保陈家坊镇整体正常运转，保障在职干部的正常办公、生活秩序</w:t>
            </w:r>
          </w:p>
          <w:p>
            <w:pPr>
              <w:widowControl/>
              <w:ind w:left="315" w:hanging="315"/>
              <w:jc w:val="left"/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、完成县委、县政府交办的乡村振兴、综合治理和环境卫生整治等各项工作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94" w:type="dxa"/>
          </w:tcPr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环境卫生志愿服务队开展活动数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党建活动开展次数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发展党员数量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文明村镇创建覆盖率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评选星级平安家庭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走访电话用户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3800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开展矛盾纠纷排查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工作绩效考核次数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就业现场招聘会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巡逻队员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环境卫生检查次数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宣传政策文件次数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农村生活垃圾无害化处理率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公共文化设施建设达标率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年生活垃圾定点存放清运率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走访收集意见建议解决率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矛盾纠纷调处率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信访突出问题办结率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违法用地整治率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发放民生资金合规率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矛盾纠纷调处及时率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发放民生资金及时率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验收工作及时率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103.51%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1450.1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2779.92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445.52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产业发展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促进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促进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城乡基础设施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改善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改善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社会保险参保率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95%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农村生活垃圾污染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减少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减少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乡村沿路环境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改善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改善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地方特色文化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弘扬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弘扬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环境整治工作治理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社区（村）网格化管理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巡逻常态化管理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河长制工作常态化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长期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长期　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本镇群众满意率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≥</w:t>
            </w:r>
            <w:r>
              <w:rPr>
                <w:rFonts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3" w:type="dxa"/>
            <w:gridSpan w:val="7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ind w:left="315" w:hanging="31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ind w:left="315" w:hanging="31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adjustRightInd w:val="0"/>
        <w:snapToGrid w:val="0"/>
        <w:spacing w:beforeLines="50" w:line="240" w:lineRule="auto"/>
        <w:ind w:left="0" w:firstLine="0" w:firstLineChars="0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填表人：黄炜杰</w:t>
      </w:r>
      <w:r>
        <w:rPr>
          <w:rFonts w:eastAsia="仿宋_GB2312"/>
          <w:color w:val="000000"/>
          <w:kern w:val="0"/>
          <w:szCs w:val="21"/>
        </w:rPr>
        <w:t xml:space="preserve">          </w:t>
      </w:r>
      <w:r>
        <w:rPr>
          <w:rFonts w:hint="eastAsia" w:eastAsia="仿宋_GB2312"/>
          <w:color w:val="000000"/>
          <w:kern w:val="0"/>
          <w:szCs w:val="21"/>
        </w:rPr>
        <w:t>填报日期：</w:t>
      </w:r>
      <w:r>
        <w:rPr>
          <w:rFonts w:eastAsia="仿宋_GB2312"/>
          <w:color w:val="000000"/>
          <w:kern w:val="0"/>
          <w:szCs w:val="21"/>
        </w:rPr>
        <w:t xml:space="preserve">2024.6.18           </w:t>
      </w:r>
      <w:r>
        <w:rPr>
          <w:rFonts w:hint="eastAsia" w:eastAsia="仿宋_GB2312"/>
          <w:color w:val="000000"/>
          <w:kern w:val="0"/>
          <w:szCs w:val="21"/>
        </w:rPr>
        <w:t>联系电话：</w:t>
      </w:r>
      <w:r>
        <w:rPr>
          <w:rFonts w:eastAsia="仿宋_GB2312"/>
          <w:color w:val="000000"/>
          <w:kern w:val="0"/>
          <w:szCs w:val="21"/>
        </w:rPr>
        <w:t xml:space="preserve">17673804277             </w:t>
      </w:r>
    </w:p>
    <w:p>
      <w:pPr>
        <w:widowControl/>
        <w:adjustRightInd w:val="0"/>
        <w:snapToGrid w:val="0"/>
        <w:spacing w:beforeLines="50" w:line="240" w:lineRule="auto"/>
        <w:ind w:left="0" w:firstLine="0" w:firstLineChars="0"/>
        <w:rPr>
          <w:rFonts w:eastAsia="仿宋_GB2312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beforeLines="50" w:line="240" w:lineRule="auto"/>
        <w:ind w:left="0" w:firstLine="0" w:firstLineChars="0"/>
      </w:pPr>
      <w:r>
        <w:rPr>
          <w:rFonts w:hint="eastAsia" w:eastAsia="仿宋_GB2312"/>
          <w:color w:val="000000"/>
          <w:kern w:val="0"/>
          <w:szCs w:val="21"/>
        </w:rPr>
        <w:t>单位负责人签字：</w:t>
      </w:r>
    </w:p>
    <w:p>
      <w:pPr>
        <w:pStyle w:val="6"/>
        <w:adjustRightInd w:val="0"/>
        <w:snapToGrid w:val="0"/>
        <w:spacing w:line="240" w:lineRule="auto"/>
        <w:ind w:left="0" w:leftChars="0" w:firstLine="0" w:firstLineChars="0"/>
      </w:pPr>
    </w:p>
    <w:p>
      <w:pPr>
        <w:spacing w:line="240" w:lineRule="auto"/>
        <w:ind w:left="147" w:hanging="147" w:hangingChars="46"/>
        <w:rPr>
          <w:rFonts w:ascii="仿宋" w:hAnsi="仿宋" w:eastAsia="仿宋" w:cs="仿宋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0" w:right="1531" w:bottom="851" w:left="1531" w:header="851" w:footer="992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pacing w:line="580" w:lineRule="exact"/>
        <w:ind w:left="0" w:right="641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adjustRightInd w:val="0"/>
        <w:spacing w:line="580" w:lineRule="exact"/>
        <w:ind w:left="660" w:right="641" w:hanging="660"/>
        <w:jc w:val="center"/>
        <w:rPr>
          <w:rFonts w:ascii="黑体" w:hAnsi="黑体" w:eastAsia="黑体" w:cs="黑体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sz w:val="44"/>
          <w:szCs w:val="44"/>
        </w:rPr>
        <w:t>陈家坊镇人民政府部门整体支出绩效自评报告</w:t>
      </w:r>
    </w:p>
    <w:bookmarkEnd w:id="1"/>
    <w:p>
      <w:pPr>
        <w:adjustRightInd w:val="0"/>
        <w:spacing w:line="580" w:lineRule="exact"/>
        <w:ind w:left="480" w:right="641" w:hanging="48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我镇共有编制</w:t>
      </w:r>
      <w:r>
        <w:rPr>
          <w:rFonts w:ascii="仿宋" w:hAnsi="仿宋" w:eastAsia="仿宋" w:cs="仿宋"/>
          <w:sz w:val="32"/>
          <w:szCs w:val="32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人，事业编人员</w:t>
      </w:r>
      <w:r>
        <w:rPr>
          <w:rFonts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人，实际人数</w:t>
      </w:r>
      <w:r>
        <w:rPr>
          <w:rFonts w:ascii="仿宋" w:hAnsi="仿宋" w:eastAsia="仿宋" w:cs="仿宋"/>
          <w:sz w:val="32"/>
          <w:szCs w:val="32"/>
        </w:rPr>
        <w:t>162</w:t>
      </w:r>
      <w:r>
        <w:rPr>
          <w:rFonts w:hint="eastAsia" w:ascii="仿宋" w:hAnsi="仿宋" w:eastAsia="仿宋" w:cs="仿宋"/>
          <w:sz w:val="32"/>
          <w:szCs w:val="32"/>
        </w:rPr>
        <w:t>人（其中，在职</w:t>
      </w:r>
      <w:r>
        <w:rPr>
          <w:rFonts w:ascii="仿宋" w:hAnsi="仿宋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人，离退休</w:t>
      </w:r>
      <w:r>
        <w:rPr>
          <w:rFonts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人），遗属补助人数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人，小车编制数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台，实际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台。根据编委核定，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我镇内设政务服务中心、社会事务综合服务中心、农业综合服务中心三大中心，下设党政综合办公室、社会事务办公室、社会治安和应急管理办公室、基层党建办公室、经济发展办公室、自然资源和生态环境办公室、财政所七个办公室和一个综合行政执法大队及退役军人服务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主要职能：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贯彻执行党的路线、方针、政策和国家法律法规，贯彻执行上级行政机关的决议、命令及镇党委的决定，执行镇人民代表大会的决议。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对镇人民代表大会及其主席团和上级行政机关负责并报告工作。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编制和执行本镇国民经济和社会发展计划，编制并执行财政预算。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管理本镇经济和各项社会事业的行政工作。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负责辖区内行政执法工作，维护社会秩序，保护公民人身、民主、财产等合法权利，保护各种经济组织合法权益。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指导、支持和帮助村民委员会工作。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法律规定的其他职责。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工作目标：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、保障陈家坊镇在职干部的正常办公、生活秩序。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、三公经费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年不超过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、提升全镇人居环境，环境卫生检查</w:t>
      </w:r>
      <w:r>
        <w:rPr>
          <w:rFonts w:ascii="仿宋" w:hAnsi="仿宋" w:eastAsia="仿宋" w:cs="仿宋"/>
          <w:sz w:val="32"/>
          <w:szCs w:val="32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达标，</w:t>
      </w:r>
      <w:r>
        <w:rPr>
          <w:rFonts w:ascii="仿宋" w:hAnsi="仿宋" w:eastAsia="仿宋" w:cs="仿宋"/>
          <w:sz w:val="32"/>
          <w:szCs w:val="32"/>
        </w:rPr>
        <w:t>90%</w:t>
      </w:r>
      <w:r>
        <w:rPr>
          <w:rFonts w:hint="eastAsia" w:ascii="仿宋" w:hAnsi="仿宋" w:eastAsia="仿宋" w:cs="仿宋"/>
          <w:sz w:val="32"/>
          <w:szCs w:val="32"/>
        </w:rPr>
        <w:t>优秀，提高全镇环境保护意识。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、加强基层党组织建设，学习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党的二十大精神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（二）部门整体支出情况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年收入包括经费拨款，支出包括单位基本运行的经费。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年初预算安排数</w:t>
      </w:r>
      <w:r>
        <w:rPr>
          <w:rFonts w:ascii="仿宋" w:hAnsi="仿宋" w:eastAsia="仿宋" w:cs="仿宋"/>
          <w:sz w:val="32"/>
          <w:szCs w:val="32"/>
        </w:rPr>
        <w:t>3116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年预算执行数</w:t>
      </w:r>
      <w:r>
        <w:rPr>
          <w:rFonts w:ascii="仿宋" w:hAnsi="仿宋" w:eastAsia="仿宋" w:cs="仿宋"/>
          <w:sz w:val="32"/>
          <w:szCs w:val="32"/>
        </w:rPr>
        <w:t>3225.47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预算支出包括一般公共服务支出</w:t>
      </w:r>
      <w:r>
        <w:rPr>
          <w:rFonts w:ascii="仿宋" w:hAnsi="仿宋" w:eastAsia="仿宋" w:cs="仿宋"/>
          <w:sz w:val="32"/>
          <w:szCs w:val="32"/>
        </w:rPr>
        <w:t>1773.33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社会保障和就业支出</w:t>
      </w:r>
      <w:r>
        <w:rPr>
          <w:rFonts w:ascii="仿宋" w:hAnsi="仿宋" w:eastAsia="仿宋" w:cs="仿宋"/>
          <w:sz w:val="32"/>
          <w:szCs w:val="32"/>
        </w:rPr>
        <w:t>133.38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卫生健康支出</w:t>
      </w:r>
      <w:r>
        <w:rPr>
          <w:rFonts w:ascii="仿宋" w:hAnsi="仿宋" w:eastAsia="仿宋" w:cs="仿宋"/>
          <w:sz w:val="32"/>
          <w:szCs w:val="32"/>
        </w:rPr>
        <w:t>22.79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城乡社区支出</w:t>
      </w:r>
      <w:r>
        <w:rPr>
          <w:rFonts w:ascii="仿宋" w:hAnsi="仿宋" w:eastAsia="仿宋" w:cs="仿宋"/>
          <w:sz w:val="32"/>
          <w:szCs w:val="32"/>
        </w:rPr>
        <w:t>958.72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农林水支出</w:t>
      </w:r>
      <w:r>
        <w:rPr>
          <w:rFonts w:ascii="仿宋" w:hAnsi="仿宋" w:eastAsia="仿宋" w:cs="仿宋"/>
          <w:sz w:val="32"/>
          <w:szCs w:val="32"/>
        </w:rPr>
        <w:t>329.5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自然资源海洋气象等支出</w:t>
      </w:r>
      <w:r>
        <w:rPr>
          <w:rFonts w:ascii="仿宋" w:hAnsi="仿宋" w:eastAsia="仿宋" w:cs="仿宋"/>
          <w:sz w:val="32"/>
          <w:szCs w:val="32"/>
        </w:rPr>
        <w:t>0.03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灾害防治及应急管理支出</w:t>
      </w:r>
      <w:r>
        <w:rPr>
          <w:rFonts w:ascii="仿宋" w:hAnsi="仿宋" w:eastAsia="仿宋" w:cs="仿宋"/>
          <w:sz w:val="32"/>
          <w:szCs w:val="32"/>
        </w:rPr>
        <w:t>3.72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其他支出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二、一般公共预算支出情况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（一）基本支出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年基本支出为</w:t>
      </w:r>
      <w:r>
        <w:rPr>
          <w:rFonts w:ascii="仿宋" w:hAnsi="仿宋" w:eastAsia="仿宋" w:cs="仿宋"/>
          <w:sz w:val="32"/>
          <w:szCs w:val="32"/>
        </w:rPr>
        <w:t>2779.92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万元，是指为保障单位机构正常运转、完成日常工作任务而发生的各项支出，包括用于基本工资、津贴补贴等人员经费以及办公费、印刷费、水电费办公设备购置等日常公用经费。其中工资福利支出</w:t>
      </w:r>
      <w:r>
        <w:rPr>
          <w:rFonts w:ascii="仿宋" w:hAnsi="仿宋" w:eastAsia="仿宋" w:cs="仿宋"/>
          <w:sz w:val="32"/>
          <w:szCs w:val="32"/>
        </w:rPr>
        <w:t>1218.47</w:t>
      </w:r>
      <w:r>
        <w:rPr>
          <w:rFonts w:hint="eastAsia" w:ascii="仿宋" w:hAnsi="仿宋" w:eastAsia="仿宋" w:cs="仿宋"/>
          <w:sz w:val="32"/>
          <w:szCs w:val="32"/>
        </w:rPr>
        <w:t>万元，商品和服务支出</w:t>
      </w:r>
      <w:r>
        <w:rPr>
          <w:rFonts w:ascii="仿宋" w:hAnsi="仿宋" w:eastAsia="仿宋" w:cs="仿宋"/>
          <w:sz w:val="32"/>
          <w:szCs w:val="32"/>
        </w:rPr>
        <w:t>1479.27</w:t>
      </w:r>
      <w:r>
        <w:rPr>
          <w:rFonts w:hint="eastAsia" w:ascii="仿宋" w:hAnsi="仿宋" w:eastAsia="仿宋" w:cs="仿宋"/>
          <w:sz w:val="32"/>
          <w:szCs w:val="32"/>
        </w:rPr>
        <w:t>万元，对个人和家庭的补助</w:t>
      </w:r>
      <w:r>
        <w:rPr>
          <w:rFonts w:ascii="仿宋" w:hAnsi="仿宋" w:eastAsia="仿宋" w:cs="仿宋"/>
          <w:sz w:val="32"/>
          <w:szCs w:val="32"/>
        </w:rPr>
        <w:t>82.18</w:t>
      </w:r>
      <w:r>
        <w:rPr>
          <w:rFonts w:hint="eastAsia" w:ascii="仿宋" w:hAnsi="仿宋" w:eastAsia="仿宋" w:cs="仿宋"/>
          <w:sz w:val="32"/>
          <w:szCs w:val="32"/>
        </w:rPr>
        <w:t>万元。日常公用经费中三公经费支出如下：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、因公出国（境）费用：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、公务接待费：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ascii="仿宋" w:hAnsi="仿宋" w:eastAsia="仿宋" w:cs="仿宋"/>
          <w:sz w:val="32"/>
          <w:szCs w:val="32"/>
        </w:rPr>
        <w:t>2.91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2.91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、公务用车购置和运行维护费：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ascii="仿宋" w:hAnsi="仿宋" w:eastAsia="仿宋" w:cs="仿宋"/>
          <w:sz w:val="32"/>
          <w:szCs w:val="32"/>
        </w:rPr>
        <w:t>6.26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6.26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（二）项目支出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年我镇的项目支出为</w:t>
      </w:r>
      <w:r>
        <w:rPr>
          <w:rFonts w:ascii="仿宋" w:hAnsi="仿宋" w:eastAsia="仿宋" w:cs="仿宋"/>
          <w:sz w:val="32"/>
          <w:szCs w:val="32"/>
        </w:rPr>
        <w:t>445.56</w:t>
      </w:r>
      <w:r>
        <w:rPr>
          <w:rFonts w:hint="eastAsia" w:ascii="仿宋" w:hAnsi="仿宋" w:eastAsia="仿宋" w:cs="仿宋"/>
          <w:sz w:val="32"/>
          <w:szCs w:val="32"/>
        </w:rPr>
        <w:t>万元，主要用于对村（社区）基础设施建设的补助以及服装产业园的建设，其中，服装产业园建设</w:t>
      </w:r>
      <w:r>
        <w:rPr>
          <w:rFonts w:ascii="仿宋" w:hAnsi="仿宋" w:eastAsia="仿宋" w:cs="仿宋"/>
          <w:sz w:val="32"/>
          <w:szCs w:val="32"/>
        </w:rPr>
        <w:t>201.3</w:t>
      </w:r>
      <w:r>
        <w:rPr>
          <w:rFonts w:hint="eastAsia" w:ascii="仿宋" w:hAnsi="仿宋" w:eastAsia="仿宋" w:cs="仿宋"/>
          <w:sz w:val="32"/>
          <w:szCs w:val="32"/>
        </w:rPr>
        <w:t>万元，公共基础设施建设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农林水支出</w:t>
      </w:r>
      <w:r>
        <w:rPr>
          <w:rFonts w:ascii="仿宋" w:hAnsi="仿宋" w:eastAsia="仿宋" w:cs="仿宋"/>
          <w:sz w:val="32"/>
          <w:szCs w:val="32"/>
        </w:rPr>
        <w:t>237.51</w:t>
      </w:r>
      <w:r>
        <w:rPr>
          <w:rFonts w:hint="eastAsia" w:ascii="仿宋" w:hAnsi="仿宋" w:eastAsia="仿宋" w:cs="仿宋"/>
          <w:sz w:val="32"/>
          <w:szCs w:val="32"/>
        </w:rPr>
        <w:t>万元，自然资源海洋气象等支出</w:t>
      </w:r>
      <w:r>
        <w:rPr>
          <w:rFonts w:ascii="仿宋" w:hAnsi="仿宋" w:eastAsia="仿宋" w:cs="仿宋"/>
          <w:sz w:val="32"/>
          <w:szCs w:val="32"/>
        </w:rPr>
        <w:t>0.03</w:t>
      </w:r>
      <w:r>
        <w:rPr>
          <w:rFonts w:hint="eastAsia" w:ascii="仿宋" w:hAnsi="仿宋" w:eastAsia="仿宋" w:cs="仿宋"/>
          <w:sz w:val="32"/>
          <w:szCs w:val="32"/>
        </w:rPr>
        <w:t>万元，灾害防治及应急管理支出</w:t>
      </w:r>
      <w:r>
        <w:rPr>
          <w:rFonts w:ascii="仿宋" w:hAnsi="仿宋" w:eastAsia="仿宋" w:cs="仿宋"/>
          <w:sz w:val="32"/>
          <w:szCs w:val="32"/>
        </w:rPr>
        <w:t>3.72</w:t>
      </w:r>
      <w:r>
        <w:rPr>
          <w:rFonts w:hint="eastAsia" w:ascii="仿宋" w:hAnsi="仿宋" w:eastAsia="仿宋" w:cs="仿宋"/>
          <w:sz w:val="32"/>
          <w:szCs w:val="32"/>
        </w:rPr>
        <w:t>万元。各村各项基础设施如期推进。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三、资产管理情况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我镇制定了《固定资产管理制度》，制度包括：固定资产的配置报批程序、采购、审批、验收；固定资产的管理和使用、处置程序、处置范围；固定资产清查程序、方法等。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年我镇对国有资产进行了全面的清理，摸清家底，并录入了行政事业单位资产管理系统。截至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日，我镇固定资产原值为</w:t>
      </w:r>
      <w:r>
        <w:rPr>
          <w:rFonts w:ascii="仿宋" w:hAnsi="仿宋" w:eastAsia="仿宋" w:cs="仿宋"/>
          <w:sz w:val="32"/>
          <w:szCs w:val="32"/>
        </w:rPr>
        <w:t>1058.19</w:t>
      </w:r>
      <w:r>
        <w:rPr>
          <w:rFonts w:hint="eastAsia" w:ascii="仿宋" w:hAnsi="仿宋" w:eastAsia="仿宋" w:cs="仿宋"/>
          <w:sz w:val="32"/>
          <w:szCs w:val="32"/>
        </w:rPr>
        <w:t>万元。为加强对固定资产购置、使用、处置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个重要环节的管理，我镇出台了固定资产管理制度，建立了资产台账，并定期更新。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四、政府性基金预算支出情况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年无政府性基金预算。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五、国有资本经营预算支出情况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年无国有资本经营预算。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六、社会保险基金预算支出情况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年无社会保险基金预算。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七、部门整体支出主要绩效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，我镇在各级领导的关怀下，在县委、县政府的领导下，认真履职，创新工作机制，各项工作圆满完成。工作中严格执行财政预算绩效目标管理要求，强化费用管理和监督，严格控制非必须开支，部门整体支出合理、合法、高效、安全。本次绩效评价的目的是为了全面分析和综合评价本部门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年财政预算资金的使用管理情况，强化财政支出绩效理念和责任意识，提高财政资金使用效益，为以后年度财政资金的管理和预算安排提供参考。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严格预算支出管理。在支出预算编制上，人员经费按照配置定额，逐人核定编制，公用经费分类分档，按定额编制；根据“总量控制、计划管理”的要求从严控制行政经费，压缩公务费开支，严格控制“三公”经费，资产的配置严格政府采购，按照预算科目和项目资金的规定使用财政资金，保障部门整体支出的规范化、制度化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、财务管理上，按照国家相关法律法规，制定了机关财务、公务购置使用、接待、会务、车辆使用等管理制度，并严格按照制度管理和执行，防范风险，保证财政资金的安全和高效运行。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通过对部门整体支出情况的概述和实际支出情况的分析，部门整体支出绩效目标管理情况评价如下：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Toc419142222"/>
      <w:r>
        <w:rPr>
          <w:rFonts w:hint="eastAsia" w:ascii="仿宋" w:hAnsi="仿宋" w:eastAsia="仿宋" w:cs="仿宋"/>
          <w:sz w:val="32"/>
          <w:szCs w:val="32"/>
        </w:rPr>
        <w:t>（一）经济性评价</w:t>
      </w:r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按照厉行节俭的要求，严格控制各项开支，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年三公经费预算总额较上年有所降低，在预算执行方面，三公经费支出总额严格控制在预算总额内。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（二）行政效能评价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组织保障全。成立了专项工作领导小组，建立动态管理机制。成立了财政预算绩效管理、财务会审、内部控制等工作领导小组，每月召开专题会议，实行定期汇报制，定期向党委汇报财政预算执行情况，进行动态调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度完善落实处。制定了财务管理制度，完善监督管理机制。制定了各项财务管理制度和管理办法，对机关经费管理、收入支出管理、票据管理、政府采购管理、预算管理、公务接待管理、固定资产管理、财务保密管理等方面明确了规定，进行了详细说明，在原有基础上更进一步强化了内部管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行政管理效能高。严格按照年初预算，有序执行预算，充分保障了单位正常运转，提高了行政运行效率，有效控制了行政运行成本。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八、存在的问题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目前，我镇存在以下主要问题：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、是预算支出与实际支出存在部分差异，预算编制有待更完整科学。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、是支出结构需进一步优化，改善民生的财政保障机制还有待完善。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、部门项目在预算编制中欠缺分析和认证，未对财务报表及预算完成情况做分析，使存在于预算管理的问题无法及时被发现。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九、改进措施和有关建议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细化预算编制工作。进一步加强预算管理意识，严格按照预算编制的相关制度和要求，日常公用经费根据年度工作重点合理规划，本着“勤俭节约、保障运转”的原则进行预算编制，编制范围更加全面，提高预算编制的完整性、科学性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优化费用支出结构。在收支矛盾突出，支出缺口较大的情况下，切实加强资金的使用，以保工资、保稳定、保政府正常运转为前提，坚持量力而行，量入为出，坚决反铺张浪费，勤俭办事，严格控制“三公经费”，打造节约型政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坚持深化改革，规范财政监督管理，提高资金使用效益。一是强化财政收入进度管理。按照收入进度和预算计划合理调度资金，加快资金流转，防止资金滞留、挪用等问题。二是加强对专项资金的跟踪检查，促使专款及时足额落实到项目，专款专用。三是切实加强对村（社区）财务的管理与监督，进一步规范村（社区）财务行为。</w:t>
      </w:r>
    </w:p>
    <w:p>
      <w:pPr>
        <w:ind w:left="0" w:firstLine="0" w:firstLineChars="0"/>
      </w:pPr>
      <w:r>
        <w:rPr>
          <w:rFonts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70"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70" w:hanging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270" w:hanging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0F757"/>
    <w:multiLevelType w:val="singleLevel"/>
    <w:tmpl w:val="C8C0F75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3F65F63"/>
    <w:multiLevelType w:val="singleLevel"/>
    <w:tmpl w:val="33F65F63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wNDk3MGRkMTEzOTI3MDA5OGYxNzNkMWE1MTZmMjIifQ=="/>
  </w:docVars>
  <w:rsids>
    <w:rsidRoot w:val="0CAA72FA"/>
    <w:rsid w:val="000B0800"/>
    <w:rsid w:val="00133A01"/>
    <w:rsid w:val="002B460E"/>
    <w:rsid w:val="00346BB8"/>
    <w:rsid w:val="00454163"/>
    <w:rsid w:val="0047020D"/>
    <w:rsid w:val="0052620F"/>
    <w:rsid w:val="0053737B"/>
    <w:rsid w:val="005E5F47"/>
    <w:rsid w:val="005F369C"/>
    <w:rsid w:val="0063196F"/>
    <w:rsid w:val="00635D45"/>
    <w:rsid w:val="008A5A4B"/>
    <w:rsid w:val="00912907"/>
    <w:rsid w:val="00920505"/>
    <w:rsid w:val="009434EB"/>
    <w:rsid w:val="00A72D13"/>
    <w:rsid w:val="00B003F6"/>
    <w:rsid w:val="00B522C3"/>
    <w:rsid w:val="00C339D8"/>
    <w:rsid w:val="00C818C0"/>
    <w:rsid w:val="00CA758E"/>
    <w:rsid w:val="00D01BDF"/>
    <w:rsid w:val="00D67264"/>
    <w:rsid w:val="00D70240"/>
    <w:rsid w:val="00DA0357"/>
    <w:rsid w:val="00DC1E31"/>
    <w:rsid w:val="00DE68C5"/>
    <w:rsid w:val="00E1243B"/>
    <w:rsid w:val="00F05F31"/>
    <w:rsid w:val="00F11821"/>
    <w:rsid w:val="00FA46AD"/>
    <w:rsid w:val="0CAA72FA"/>
    <w:rsid w:val="13E7676D"/>
    <w:rsid w:val="26436CB8"/>
    <w:rsid w:val="5B9D6507"/>
    <w:rsid w:val="5BD0263B"/>
    <w:rsid w:val="7B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link w:val="12"/>
    <w:qFormat/>
    <w:uiPriority w:val="99"/>
    <w:pPr>
      <w:spacing w:after="0"/>
      <w:ind w:firstLine="420" w:firstLineChars="200"/>
    </w:pPr>
  </w:style>
  <w:style w:type="character" w:customStyle="1" w:styleId="9">
    <w:name w:val="Body Text Indent Char"/>
    <w:basedOn w:val="8"/>
    <w:link w:val="3"/>
    <w:semiHidden/>
    <w:qFormat/>
    <w:locked/>
    <w:uiPriority w:val="99"/>
    <w:rPr>
      <w:rFonts w:ascii="Times New Roman" w:hAnsi="Times New Roman" w:cs="Times New Roman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Body Text First Indent 2 Char"/>
    <w:basedOn w:val="9"/>
    <w:link w:val="6"/>
    <w:semiHidden/>
    <w:qFormat/>
    <w:locked/>
    <w:uiPriority w:val="99"/>
  </w:style>
  <w:style w:type="paragraph" w:customStyle="1" w:styleId="13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814</Words>
  <Characters>4643</Characters>
  <Lines>0</Lines>
  <Paragraphs>0</Paragraphs>
  <TotalTime>81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2024-06-18T16:11:00Z</dcterms:created>
  <dc:creator>姚超</dc:creator>
  <cp:lastModifiedBy>huang</cp:lastModifiedBy>
  <dcterms:modified xsi:type="dcterms:W3CDTF">2024-12-11T09:24:37Z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AF76D79342784550B9F87DE13E6B4DAB_11</vt:lpwstr>
  </property>
</Properties>
</file>