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235"/>
        <w:gridCol w:w="2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河道打捞专项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用于开展水上交通应急救援工作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新邵县地方海事处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唐国盛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经常性□       一次性□        新增□         延续□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2019年年初预算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万元）。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认真履行海事职责，做好河道打捞工作，确保全县水上交通安全。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开展河道打捞工作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用于开展河道打捞工作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lang w:eastAsia="zh-CN"/>
              </w:rPr>
              <w:t>完成河道打捞工作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2019年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5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73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 xml:space="preserve"> 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2019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185438B7"/>
    <w:rsid w:val="23C738EC"/>
    <w:rsid w:val="47013FD8"/>
    <w:rsid w:val="63495D6F"/>
    <w:rsid w:val="66504D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Administrator</cp:lastModifiedBy>
  <cp:lastPrinted>2019-05-15T06:32:54Z</cp:lastPrinted>
  <dcterms:modified xsi:type="dcterms:W3CDTF">2019-05-15T06:33:13Z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