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科技情报工作经费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科技情报所有关业务工作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万元。其中本年专项（项目）资金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万元（1.中央财政     万元，2.省级财政    万元，3.市级财政    万元，4.其它资金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制定全县科技情报信息事业发展的中长期规划，开展市场调查。承担全县成果转移转化交易中心工作及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12396工作。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完成科技成果转化平台目标任务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完成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12396专家团队咨询等技术服务工作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平台建设达到省科技厅验收标准，星火科技12396服务及时、准确。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eastAsia="zh-CN"/>
              </w:rPr>
              <w:t>成果转移转化及平台建设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按时完成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2020年度目标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  <w:t>星火科技</w:t>
            </w: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12396工作服务及时、准确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eastAsia="zh-CN"/>
              </w:rPr>
              <w:t>完成所有指标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促进农户增收增产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指导农户生产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创造良好的科技致富氛围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111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郑湘南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13973941249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175D4CD7"/>
    <w:rsid w:val="1E4D7EF2"/>
    <w:rsid w:val="216367F4"/>
    <w:rsid w:val="24CC03C6"/>
    <w:rsid w:val="25C10268"/>
    <w:rsid w:val="2BA337CE"/>
    <w:rsid w:val="2FC17F17"/>
    <w:rsid w:val="435F2F7F"/>
    <w:rsid w:val="4C1F2B6E"/>
    <w:rsid w:val="6F94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2020-05-20T01:37:31Z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