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两免一补工作经费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29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 xml:space="preserve"> 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numPr>
                <w:ilvl w:val="0"/>
                <w:numId w:val="0"/>
              </w:numPr>
              <w:suppressLineNumbers w:val="0"/>
              <w:spacing w:before="100" w:beforeAutospacing="1" w:after="100" w:afterAutospacing="1"/>
              <w:ind w:left="0" w:leftChars="0" w:right="0" w:rightChars="0" w:firstLine="360" w:firstLineChars="200"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结合实际情况，制订科学合理的享受“两免一补”政策，合理确定资助对象。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结合实际情况，制订科学合理的享受“两免一补”政策，合理确定资助对象。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结合实际情况，制订科学合理的享受“两免一补”政策，合理确定资助对象。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结合实际情况，制订科学合理的享受“两免一补”政策，合理确定资助对象。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结合实际情况，制订科学合理的享受“两免一补”政策，合理确定资助对象。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12月30日前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所有支出不超预算安排。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≦</w:t>
            </w:r>
            <w:r>
              <w:rPr>
                <w:rFonts w:hint="eastAsia" w:ascii="Arial" w:hAnsi="Arial" w:cs="Arial"/>
                <w:color w:val="000000"/>
                <w:sz w:val="22"/>
                <w:lang w:val="en-US" w:eastAsia="zh-CN"/>
              </w:rPr>
              <w:t>29</w:t>
            </w:r>
            <w:r>
              <w:rPr>
                <w:rFonts w:hint="eastAsia" w:ascii="Arial" w:hAnsi="Arial" w:cs="Arial"/>
                <w:color w:val="000000"/>
                <w:sz w:val="22"/>
              </w:rPr>
              <w:t>万元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/>
                <w:color w:val="000000"/>
                <w:sz w:val="22"/>
              </w:rPr>
              <w:t>提升政府执行力和公信力。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15"/>
                <w:szCs w:val="15"/>
                <w:shd w:val="clear" w:color="auto" w:fill="FFFFFF"/>
              </w:rPr>
              <w:t>结合实际情况，制订科学合理的享受“两免一补”政策，合理确定资助对象。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1"/>
                <w:szCs w:val="21"/>
                <w:lang w:eastAsia="zh-CN"/>
              </w:rPr>
              <w:t>所有学校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</w:rPr>
              <w:t>群众对政府服务职能更加满意。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1"/>
                <w:szCs w:val="21"/>
              </w:rPr>
              <w:t>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bookmarkStart w:id="0" w:name="_GoBack"/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bookmarkEnd w:id="0"/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F7572A6"/>
    <w:rsid w:val="49675750"/>
    <w:rsid w:val="4F6F6B28"/>
    <w:rsid w:val="6B2673DA"/>
    <w:rsid w:val="755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3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2021-01-23T03:23:02Z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