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540" w:hanging="540"/>
        <w:jc w:val="center"/>
        <w:rPr>
          <w:rFonts w:hint="eastAsia" w:eastAsia="方正小标宋_GBK"/>
          <w:spacing w:val="-8"/>
          <w:sz w:val="28"/>
          <w:szCs w:val="28"/>
        </w:rPr>
      </w:pPr>
      <w:r>
        <w:rPr>
          <w:rFonts w:eastAsia="方正小标宋_GBK"/>
          <w:sz w:val="36"/>
          <w:szCs w:val="36"/>
        </w:rPr>
        <w:t>20</w:t>
      </w:r>
      <w:r>
        <w:rPr>
          <w:rFonts w:hint="eastAsia" w:eastAsia="方正小标宋_GBK"/>
          <w:sz w:val="36"/>
          <w:szCs w:val="36"/>
          <w:lang w:val="en-US" w:eastAsia="zh-CN"/>
        </w:rPr>
        <w:t>20</w:t>
      </w:r>
      <w:r>
        <w:rPr>
          <w:rFonts w:hint="eastAsia" w:eastAsia="方正小标宋_GBK"/>
          <w:sz w:val="36"/>
          <w:szCs w:val="36"/>
        </w:rPr>
        <w:t>年度部门整体支出</w:t>
      </w:r>
      <w:r>
        <w:rPr>
          <w:rFonts w:eastAsia="方正小标宋_GBK"/>
          <w:spacing w:val="-8"/>
          <w:sz w:val="36"/>
          <w:szCs w:val="36"/>
        </w:rPr>
        <w:t>绩效评价指标评分表</w:t>
      </w:r>
    </w:p>
    <w:p>
      <w:pPr>
        <w:spacing w:line="600" w:lineRule="exact"/>
        <w:ind w:left="396" w:hanging="396"/>
        <w:rPr>
          <w:rFonts w:hint="eastAsia" w:ascii="楷体_GB2312" w:eastAsia="楷体_GB2312"/>
          <w:spacing w:val="-8"/>
          <w:sz w:val="28"/>
          <w:szCs w:val="28"/>
        </w:rPr>
      </w:pPr>
      <w:r>
        <w:rPr>
          <w:rFonts w:hint="eastAsia" w:ascii="楷体_GB2312" w:eastAsia="楷体_GB2312"/>
          <w:spacing w:val="-8"/>
          <w:sz w:val="28"/>
          <w:szCs w:val="28"/>
        </w:rPr>
        <w:t>填报单位（盖章）：</w:t>
      </w:r>
    </w:p>
    <w:tbl>
      <w:tblPr>
        <w:tblStyle w:val="5"/>
        <w:tblW w:w="14287" w:type="dxa"/>
        <w:jc w:val="center"/>
        <w:tblLayout w:type="fixed"/>
        <w:tblCellMar>
          <w:top w:w="0" w:type="dxa"/>
          <w:left w:w="0" w:type="dxa"/>
          <w:bottom w:w="0" w:type="dxa"/>
          <w:right w:w="0" w:type="dxa"/>
        </w:tblCellMar>
      </w:tblPr>
      <w:tblGrid>
        <w:gridCol w:w="690"/>
        <w:gridCol w:w="704"/>
        <w:gridCol w:w="960"/>
        <w:gridCol w:w="5340"/>
        <w:gridCol w:w="5825"/>
        <w:gridCol w:w="768"/>
      </w:tblGrid>
      <w:tr>
        <w:tblPrEx>
          <w:tblCellMar>
            <w:top w:w="0" w:type="dxa"/>
            <w:left w:w="0" w:type="dxa"/>
            <w:bottom w:w="0" w:type="dxa"/>
            <w:right w:w="0" w:type="dxa"/>
          </w:tblCellMar>
        </w:tblPrEx>
        <w:trPr>
          <w:trHeight w:val="644" w:hRule="atLeast"/>
          <w:tblHeader/>
          <w:jc w:val="center"/>
        </w:trPr>
        <w:tc>
          <w:tcPr>
            <w:tcW w:w="690" w:type="dxa"/>
            <w:tcBorders>
              <w:top w:val="single" w:color="auto" w:sz="4" w:space="0"/>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一级</w:t>
            </w:r>
            <w:r>
              <w:rPr>
                <w:rFonts w:hint="eastAsia" w:ascii="宋体" w:hAnsi="宋体" w:cs="宋体"/>
                <w:color w:val="000000"/>
                <w:sz w:val="21"/>
                <w:szCs w:val="21"/>
              </w:rPr>
              <w:br w:type="textWrapping"/>
            </w:r>
            <w:r>
              <w:rPr>
                <w:rFonts w:hint="eastAsia" w:ascii="宋体" w:hAnsi="宋体" w:cs="宋体"/>
                <w:color w:val="000000"/>
                <w:sz w:val="21"/>
                <w:szCs w:val="21"/>
              </w:rPr>
              <w:t>指标</w:t>
            </w:r>
          </w:p>
        </w:tc>
        <w:tc>
          <w:tcPr>
            <w:tcW w:w="704"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二级指标</w:t>
            </w:r>
          </w:p>
        </w:tc>
        <w:tc>
          <w:tcPr>
            <w:tcW w:w="96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三级指标</w:t>
            </w:r>
          </w:p>
        </w:tc>
        <w:tc>
          <w:tcPr>
            <w:tcW w:w="5340"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指标解释</w:t>
            </w:r>
          </w:p>
        </w:tc>
        <w:tc>
          <w:tcPr>
            <w:tcW w:w="582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指标说明</w:t>
            </w:r>
          </w:p>
        </w:tc>
        <w:tc>
          <w:tcPr>
            <w:tcW w:w="768" w:type="dxa"/>
            <w:tcBorders>
              <w:top w:val="single" w:color="auto" w:sz="4" w:space="0"/>
              <w:left w:val="nil"/>
              <w:bottom w:val="single" w:color="auto" w:sz="8" w:space="0"/>
              <w:right w:val="single" w:color="auto" w:sz="8" w:space="0"/>
            </w:tcBorders>
            <w:vAlign w:val="center"/>
          </w:tcPr>
          <w:p>
            <w:pPr>
              <w:pStyle w:val="4"/>
              <w:widowControl/>
              <w:spacing w:before="0" w:beforeAutospacing="0" w:after="0" w:afterAutospacing="0" w:line="600" w:lineRule="exact"/>
              <w:jc w:val="center"/>
            </w:pPr>
            <w:r>
              <w:rPr>
                <w:rFonts w:hint="eastAsia" w:ascii="宋体" w:hAnsi="宋体" w:cs="宋体"/>
                <w:color w:val="000000"/>
                <w:sz w:val="21"/>
                <w:szCs w:val="21"/>
              </w:rPr>
              <w:t>自评分</w:t>
            </w:r>
          </w:p>
        </w:tc>
      </w:tr>
      <w:tr>
        <w:tblPrEx>
          <w:tblCellMar>
            <w:top w:w="0" w:type="dxa"/>
            <w:left w:w="0" w:type="dxa"/>
            <w:bottom w:w="0" w:type="dxa"/>
            <w:right w:w="0" w:type="dxa"/>
          </w:tblCellMar>
        </w:tblPrEx>
        <w:trPr>
          <w:trHeight w:val="100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投入(20分)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目标</w:t>
            </w:r>
            <w:r>
              <w:rPr>
                <w:rFonts w:hint="eastAsia" w:ascii="宋体" w:hAnsi="宋体" w:cs="宋体"/>
                <w:color w:val="000000"/>
                <w:sz w:val="21"/>
                <w:szCs w:val="21"/>
              </w:rPr>
              <w:br w:type="textWrapping"/>
            </w:r>
            <w:r>
              <w:rPr>
                <w:rFonts w:hint="eastAsia" w:ascii="宋体" w:hAnsi="宋体" w:cs="宋体"/>
                <w:color w:val="000000"/>
                <w:sz w:val="21"/>
                <w:szCs w:val="21"/>
              </w:rPr>
              <w:t>设定</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绩效目标合理性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部门所设立的整体绩效目标依据是否充分，是否符合客观实际，用以反映和考核部门整体绩效目标与部门履职、年度工作任务的相符性情况。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①符合国家法律法规、国民经济和社会发展总体规划计1分；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②符合部门“三定”方案确定的职责计0.5分；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③是否符合部门制定的中长期实施规划计0.5分。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109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绩效指标明确性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部门依据整体绩效目标所设定的绩效指标是否清晰、细化、可衡量，用以反映和考核部门整体绩效目标的明细化情况。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①将部门整体的绩效目标细化分解为具体的工作任务计1分；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②通过清晰、可衡量的指标值予以体现计0.5分；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③与部门年度的任务数或计划数相对应计0.5分；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④与本年度部门预算资金相匹配计1分。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3</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配置（15分）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在职人员控制率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部门本年度实际在职人员数与编制数的比率，用以反映和考核部门对人员成本的控制程度。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3</w:t>
            </w:r>
          </w:p>
        </w:tc>
      </w:tr>
      <w:tr>
        <w:tblPrEx>
          <w:tblCellMar>
            <w:top w:w="0" w:type="dxa"/>
            <w:left w:w="0" w:type="dxa"/>
            <w:bottom w:w="0" w:type="dxa"/>
            <w:right w:w="0" w:type="dxa"/>
          </w:tblCellMar>
        </w:tblPrEx>
        <w:trPr>
          <w:trHeight w:val="123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“三公经费”变动率（5分）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部门本年度“三公经费”预算数与上年度“三公经费”预算数的变动比率，用以反映和考核部门对控制重点行政成本的努力程度。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155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重点支出安排率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部门本年度预算安排的重点项目支出与部门项目总支出的比率，用以反映和考核部门对履行主要职责或完成重点任务的保障程度。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976"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过程</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r>
              <w:rPr>
                <w:rFonts w:hint="eastAsia" w:ascii="宋体" w:hAnsi="宋体" w:cs="宋体"/>
                <w:color w:val="000000"/>
                <w:sz w:val="21"/>
                <w:szCs w:val="21"/>
              </w:rPr>
              <w:br w:type="textWrapping"/>
            </w:r>
            <w:r>
              <w:rPr>
                <w:rFonts w:hint="eastAsia" w:ascii="宋体" w:hAnsi="宋体" w:cs="宋体"/>
                <w:color w:val="000000"/>
                <w:sz w:val="21"/>
                <w:szCs w:val="21"/>
              </w:rPr>
              <w:t>执行</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(23分)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完成率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部门本年度预算完成数与预算数的比率，用以反映和考核部门预算完成程度。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预算完成率=（预算完成数/预算数）×100%。完成年初预算计4分，未完成年初预算按比例扣减，预算完成数：部门本年度实际完成的预算数。预算数：财政部门批复的本年度部门预算数。</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150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调整率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部门本年度预算调整数与预算数的比率，用以反映和考核部门预算的调整程度。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default" w:eastAsia="宋体"/>
                <w:lang w:val="en-US" w:eastAsia="zh-CN"/>
              </w:rPr>
            </w:pPr>
            <w:r>
              <w:rPr>
                <w:rFonts w:hint="eastAsia"/>
                <w:lang w:val="en-US" w:eastAsia="zh-CN"/>
              </w:rPr>
              <w:t>1.5</w:t>
            </w:r>
          </w:p>
        </w:tc>
      </w:tr>
      <w:tr>
        <w:tblPrEx>
          <w:tblCellMar>
            <w:top w:w="0" w:type="dxa"/>
            <w:left w:w="0" w:type="dxa"/>
            <w:bottom w:w="0" w:type="dxa"/>
            <w:right w:w="0" w:type="dxa"/>
          </w:tblCellMar>
        </w:tblPrEx>
        <w:trPr>
          <w:trHeight w:val="1770"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支付</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进度率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部门实际支付进度与既定支付进度的比率，用以反映和考核部门预算执行的及时性和均衡性程度。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1231"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结转结余控制率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部门本年度结转结余总额与上年结转结余总额增减比例，用以反映和考核部门对存量资金的实际控制程度。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93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公用经费</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控制率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部门本年度实际支出的公用经费总额与预算安排的公用经费总额的比率，用以反映和考核部门对机构运转成本的实际控制程度。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公用经费控制率=（实际支出公用经费总额/预算安排公用经费总额）×100%。为100%的计4分，每超过1个百分点扣0.1分，扣完为止。</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87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“三公经费”控制率（3分）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部门本年度“三公经费”实际支出数与预算安排数的比率，用以反映和考核部门对“三公经费”的实际控制程度。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“三公经费”控制率=（“三公经费”实际支出数/“三公经费”预算安排数）×100%。为100%的计3分，每超过1个百分点扣0.5分，扣完为止。</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3</w:t>
            </w:r>
          </w:p>
        </w:tc>
      </w:tr>
      <w:tr>
        <w:tblPrEx>
          <w:tblCellMar>
            <w:top w:w="0" w:type="dxa"/>
            <w:left w:w="0" w:type="dxa"/>
            <w:bottom w:w="0" w:type="dxa"/>
            <w:right w:w="0" w:type="dxa"/>
          </w:tblCellMar>
        </w:tblPrEx>
        <w:trPr>
          <w:trHeight w:val="1283"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政府采购</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执行率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部门本年度实际政府采购金额与年初政府采购预算的比率，用以反映和考核部门政府采购预算执行情况。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政府采购执行率=（实际政府采购金额/政府采购预算数）×100%，为100%的计</w:t>
            </w:r>
            <w:r>
              <w:rPr>
                <w:rFonts w:hint="eastAsia" w:ascii="宋体" w:hAnsi="宋体" w:cs="宋体"/>
                <w:color w:val="000000"/>
                <w:sz w:val="21"/>
                <w:szCs w:val="21"/>
                <w:lang w:val="en-US" w:eastAsia="zh-CN"/>
              </w:rPr>
              <w:t>4</w:t>
            </w:r>
            <w:r>
              <w:rPr>
                <w:rFonts w:hint="eastAsia" w:ascii="宋体" w:hAnsi="宋体" w:cs="宋体"/>
                <w:color w:val="000000"/>
                <w:sz w:val="21"/>
                <w:szCs w:val="21"/>
              </w:rPr>
              <w:t>分，每低于1个百分点扣0.5分，扣完为止；政府采购预算：采购机关根据事业发展计划和行政任务编制的、并经过规定程序批准的年度政府采购计划。</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952"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(12分)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部门为加强预算管理、规范财务行为而制定的管理制度是否健全完整，用以反映和考核部门预算管理制度对完成主要职责或促进事业发展的保障情况。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已制定或具有预算资金管理办法、内部财务管理制度、会计核算制度等管理制度计1分；相关管理制度合法、合规、完整计0.5分；相关管理制度得到有效执行计0.5分。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1605"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资金使用</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合规性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部门使用预算资金是否符合相关的预算财务管理制度的规定，用以反映和考核部门预算资金的规范运行情况。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①符合国家财经法规和财务管理制度规定以及有关专项资金管理办法的规定计1分；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②资金的拨付有完整的审批程序和手续计1分；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③项目的重大开支经过评估论证计1分；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④符合部门预算批复的用途计1分；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⑤不存在截留、挤占、挪用、虚列支出等情况计1分。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预决算信</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息公开性（2分）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部门是否按照政府信息公开有关规定公开相关预决算信息，用以反映和考核部门预决算管理的公开透明情况。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①按规定内容公开预决算信息计1分；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②按规定时限公开预决算信息计1分。预决算信息是指与部门预算、执行、决算、监督、绩效等管理相关的信息。</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93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基础信息</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完善性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（3分）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部门基础信息是否完善，用以反映和考核基础信息对预算管理工作的支撑情况。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①基础数据信息和会计信息资料真实计1分；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②基础数据信息和会计信息资料完整计1分；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③基础数据信息和会计信息资料准确计1分。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3</w:t>
            </w:r>
          </w:p>
        </w:tc>
      </w:tr>
      <w:tr>
        <w:tblPrEx>
          <w:tblCellMar>
            <w:top w:w="0" w:type="dxa"/>
            <w:left w:w="0" w:type="dxa"/>
            <w:bottom w:w="0" w:type="dxa"/>
            <w:right w:w="0" w:type="dxa"/>
          </w:tblCellMar>
        </w:tblPrEx>
        <w:trPr>
          <w:trHeight w:val="968"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资产</w:t>
            </w:r>
            <w:r>
              <w:rPr>
                <w:rFonts w:hint="eastAsia" w:ascii="宋体" w:hAnsi="宋体" w:cs="宋体"/>
                <w:color w:val="000000"/>
                <w:sz w:val="21"/>
                <w:szCs w:val="21"/>
              </w:rPr>
              <w:br w:type="textWrapping"/>
            </w:r>
            <w:r>
              <w:rPr>
                <w:rFonts w:hint="eastAsia" w:ascii="宋体" w:hAnsi="宋体" w:cs="宋体"/>
                <w:color w:val="000000"/>
                <w:sz w:val="21"/>
                <w:szCs w:val="21"/>
              </w:rPr>
              <w:t>管理</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（5分）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管理制度</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健全性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部门为加强资产管理、规范资产管理行为而制定的管理制度是否健全完整，用以反映和考核部门资产管理制度对完成主要职责或促进社会发展的保障情况。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①制定或具有资产管理制度计1分；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②相关资金管理制度合法、合规、完整计0.5分；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③相关资产管理制度得到有效执行计0.5分。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1566"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资产管理</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安全性</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761"/>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部门的资产是否保存完整、使用合规、配置合理、处置规范、收入及时足额上缴，用以反映和考核部门资产安全运行情况。</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①资产保存完整计0.4分；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②资产配置合理计0.4分；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③资产处置规范计0.4分；</w:t>
            </w:r>
          </w:p>
          <w:p>
            <w:pPr>
              <w:pStyle w:val="4"/>
              <w:widowControl/>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④资产账务管理合规、</w:t>
            </w:r>
            <w:r>
              <w:rPr>
                <w:rFonts w:hint="eastAsia" w:ascii="宋体" w:hAnsi="宋体" w:cs="宋体"/>
                <w:color w:val="000000"/>
                <w:sz w:val="21"/>
                <w:szCs w:val="21"/>
                <w:lang w:eastAsia="zh-CN"/>
              </w:rPr>
              <w:t>账实相符</w:t>
            </w:r>
            <w:bookmarkStart w:id="0" w:name="_GoBack"/>
            <w:bookmarkEnd w:id="0"/>
            <w:r>
              <w:rPr>
                <w:rFonts w:hint="eastAsia" w:ascii="宋体" w:hAnsi="宋体" w:cs="宋体"/>
                <w:color w:val="000000"/>
                <w:sz w:val="21"/>
                <w:szCs w:val="21"/>
              </w:rPr>
              <w:t>计0.4分；</w:t>
            </w:r>
          </w:p>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⑤资产有偿使用及处置收入及时足额上缴计0.4分。</w:t>
            </w:r>
          </w:p>
        </w:tc>
        <w:tc>
          <w:tcPr>
            <w:tcW w:w="768" w:type="dxa"/>
            <w:tcBorders>
              <w:top w:val="nil"/>
              <w:left w:val="nil"/>
              <w:bottom w:val="single" w:color="auto" w:sz="8" w:space="0"/>
              <w:right w:val="single" w:color="auto" w:sz="8" w:space="0"/>
            </w:tcBorders>
            <w:vAlign w:val="center"/>
          </w:tcPr>
          <w:p>
            <w:pPr>
              <w:pStyle w:val="4"/>
              <w:widowControl/>
              <w:tabs>
                <w:tab w:val="left" w:pos="761"/>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2</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固定资产</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利用率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部门实际在用固定资产总额与所有固定资产总额的比率，用以反映和考核部门固定资产使用效率程度。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固定资产利用率=（实际在用固定资产总额/所有固定资产总额）×100%。利用率为100%的计1分，每降1个百分点扣0.1分，扣完为止。</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89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产出</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职责</w:t>
            </w:r>
            <w:r>
              <w:rPr>
                <w:rFonts w:hint="eastAsia" w:ascii="宋体" w:hAnsi="宋体" w:cs="宋体"/>
                <w:color w:val="000000"/>
                <w:sz w:val="21"/>
                <w:szCs w:val="21"/>
              </w:rPr>
              <w:br w:type="textWrapping"/>
            </w:r>
            <w:r>
              <w:rPr>
                <w:rFonts w:hint="eastAsia" w:ascii="宋体" w:hAnsi="宋体" w:cs="宋体"/>
                <w:color w:val="000000"/>
                <w:sz w:val="21"/>
                <w:szCs w:val="21"/>
              </w:rPr>
              <w:t>履行</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实际完成率（5分）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部门履行职责而实际完成工作数与计划工作数的比率，用以反映和考核部门履职工作任务目标的实现程度。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实际完成率得分=完成县委县政府绩效考核得分或上级主管部门考核指标得分/指标分值*5分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86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完成及时率（4分）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部门在规定时限内及时完成的实际工作数与计划工作数的比率,用以反映和考核部门履职时效目标的实现程度。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210" w:afterAutospacing="0" w:line="600" w:lineRule="exact"/>
              <w:jc w:val="both"/>
              <w:rPr>
                <w:rFonts w:hint="eastAsia" w:ascii="宋体" w:hAnsi="宋体" w:cs="宋体"/>
                <w:sz w:val="21"/>
                <w:szCs w:val="21"/>
              </w:rPr>
            </w:pPr>
            <w:r>
              <w:rPr>
                <w:rFonts w:hint="eastAsia" w:ascii="宋体" w:hAnsi="宋体" w:cs="宋体"/>
                <w:color w:val="000000"/>
                <w:sz w:val="21"/>
                <w:szCs w:val="21"/>
              </w:rPr>
              <w:t>完成及时率=（及时完成实际工作数/计划工作数）×100%。1-4季度各得1分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80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质量达标率（5分）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达到质量标准（绩效标准值）的实际工作数与计划工作数的比率,用以反映和考核部门履职质量目标的实现程度。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质量达标率=（质量达标实际工作数/计划工作数）×100%。实际得分=达标率*5分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10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重点工作</w:t>
            </w:r>
          </w:p>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办结率</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（6分）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部门年度重点工作实际完成数与交办或下达数的比率，用以反映部门对重点工作的办理落实程度。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重点工作办结率=（重点工作实际完成数/交办或下达数）×100%。实际得分=办结率*6分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eastAsia"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644" w:hRule="atLeast"/>
          <w:jc w:val="center"/>
        </w:trPr>
        <w:tc>
          <w:tcPr>
            <w:tcW w:w="690" w:type="dxa"/>
            <w:vMerge w:val="restart"/>
            <w:tcBorders>
              <w:top w:val="nil"/>
              <w:left w:val="single" w:color="auto" w:sz="8" w:space="0"/>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r>
              <w:rPr>
                <w:rFonts w:hint="eastAsia" w:ascii="宋体" w:hAnsi="宋体" w:cs="宋体"/>
                <w:color w:val="000000"/>
                <w:sz w:val="21"/>
                <w:szCs w:val="21"/>
              </w:rPr>
              <w:t>效果</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(20分)</w:t>
            </w:r>
          </w:p>
        </w:tc>
        <w:tc>
          <w:tcPr>
            <w:tcW w:w="704" w:type="dxa"/>
            <w:vMerge w:val="restart"/>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履职</w:t>
            </w:r>
            <w:r>
              <w:rPr>
                <w:rFonts w:hint="eastAsia" w:ascii="宋体" w:hAnsi="宋体" w:cs="宋体"/>
                <w:color w:val="000000"/>
                <w:sz w:val="21"/>
                <w:szCs w:val="21"/>
              </w:rPr>
              <w:br w:type="textWrapping"/>
            </w:r>
            <w:r>
              <w:rPr>
                <w:rFonts w:hint="eastAsia" w:ascii="宋体" w:hAnsi="宋体" w:cs="宋体"/>
                <w:color w:val="000000"/>
                <w:sz w:val="21"/>
                <w:szCs w:val="21"/>
              </w:rPr>
              <w:t>效益(20分)</w:t>
            </w: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经济效益（5分）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部门履行职责对经济发展所带来的直接或间接影响。</w:t>
            </w:r>
          </w:p>
        </w:tc>
        <w:tc>
          <w:tcPr>
            <w:tcW w:w="5825" w:type="dxa"/>
            <w:tcBorders>
              <w:top w:val="nil"/>
              <w:left w:val="nil"/>
              <w:bottom w:val="single" w:color="auto" w:sz="4"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按经济效益实现程度计算得分（5分）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default"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社会效益（5分）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部门履行职责对社会发展所带来的直接或间接影响。</w:t>
            </w:r>
          </w:p>
        </w:tc>
        <w:tc>
          <w:tcPr>
            <w:tcW w:w="5825" w:type="dxa"/>
            <w:tcBorders>
              <w:top w:val="single" w:color="auto" w:sz="4" w:space="0"/>
              <w:left w:val="nil"/>
              <w:bottom w:val="single" w:color="auto" w:sz="4" w:space="0"/>
              <w:right w:val="single" w:color="auto" w:sz="8" w:space="0"/>
            </w:tcBorders>
            <w:tcMar>
              <w:top w:w="10" w:type="dxa"/>
              <w:left w:w="10" w:type="dxa"/>
              <w:right w:w="10" w:type="dxa"/>
            </w:tcMar>
            <w:vAlign w:val="center"/>
          </w:tcPr>
          <w:p>
            <w:pPr>
              <w:spacing w:line="600" w:lineRule="exact"/>
              <w:ind w:left="315" w:hanging="315"/>
              <w:rPr>
                <w:rFonts w:hint="eastAsia" w:ascii="宋体" w:hAnsi="宋体" w:cs="宋体"/>
                <w:color w:val="000000"/>
                <w:sz w:val="15"/>
                <w:szCs w:val="15"/>
              </w:rPr>
            </w:pPr>
            <w:r>
              <w:rPr>
                <w:rFonts w:hint="eastAsia" w:ascii="宋体" w:hAnsi="宋体" w:cs="宋体"/>
                <w:color w:val="000000"/>
                <w:szCs w:val="21"/>
              </w:rPr>
              <w:t>按社会效益实现程度计算得分（5分）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default"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644"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315" w:hanging="315"/>
              <w:jc w:val="center"/>
              <w:rPr>
                <w:rFonts w:hint="eastAsia" w:ascii="宋体" w:hAnsi="宋体" w:cs="宋体"/>
                <w:color w:val="000000"/>
                <w:kern w:val="0"/>
                <w:szCs w:val="21"/>
                <w:lang w:bidi="ar"/>
              </w:rPr>
            </w:pPr>
            <w:r>
              <w:rPr>
                <w:rFonts w:hint="eastAsia" w:ascii="宋体" w:hAnsi="宋体" w:cs="宋体"/>
                <w:color w:val="000000"/>
                <w:kern w:val="0"/>
                <w:szCs w:val="21"/>
                <w:lang w:bidi="ar"/>
              </w:rPr>
              <w:t>行政效能</w:t>
            </w:r>
          </w:p>
          <w:p>
            <w:pPr>
              <w:spacing w:line="600" w:lineRule="exact"/>
              <w:ind w:left="315" w:hanging="315"/>
              <w:jc w:val="center"/>
              <w:rPr>
                <w:rFonts w:hint="eastAsia" w:ascii="宋体" w:hAnsi="宋体" w:cs="宋体"/>
                <w:color w:val="000000"/>
                <w:kern w:val="0"/>
                <w:szCs w:val="21"/>
                <w:lang w:bidi="ar"/>
              </w:rPr>
            </w:pPr>
            <w:r>
              <w:rPr>
                <w:rFonts w:hint="eastAsia" w:ascii="宋体" w:hAnsi="宋体" w:cs="宋体"/>
                <w:color w:val="000000"/>
                <w:kern w:val="0"/>
                <w:szCs w:val="21"/>
                <w:lang w:bidi="ar"/>
              </w:rPr>
              <w:t>（5分）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促进部门改进文风会风，加强经费及资产管理，推动网上办事，提高行政效率。</w:t>
            </w:r>
          </w:p>
        </w:tc>
        <w:tc>
          <w:tcPr>
            <w:tcW w:w="5825" w:type="dxa"/>
            <w:tcBorders>
              <w:top w:val="single" w:color="auto" w:sz="4" w:space="0"/>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r>
              <w:rPr>
                <w:rFonts w:hint="eastAsia" w:ascii="宋体" w:hAnsi="宋体" w:cs="宋体"/>
                <w:color w:val="000000"/>
                <w:sz w:val="21"/>
                <w:szCs w:val="21"/>
              </w:rPr>
              <w:t>降低行政成本效果较好的计6分；一般3分；无效果或者效果不明显0分。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default" w:eastAsia="宋体"/>
                <w:lang w:val="en-US" w:eastAsia="zh-CN"/>
              </w:rPr>
            </w:pPr>
            <w:r>
              <w:rPr>
                <w:rFonts w:hint="eastAsia"/>
                <w:lang w:val="en-US" w:eastAsia="zh-CN"/>
              </w:rPr>
              <w:t>4</w:t>
            </w:r>
          </w:p>
        </w:tc>
      </w:tr>
      <w:tr>
        <w:tblPrEx>
          <w:tblCellMar>
            <w:top w:w="0" w:type="dxa"/>
            <w:left w:w="0" w:type="dxa"/>
            <w:bottom w:w="0" w:type="dxa"/>
            <w:right w:w="0" w:type="dxa"/>
          </w:tblCellMar>
        </w:tblPrEx>
        <w:trPr>
          <w:trHeight w:val="1259" w:hRule="atLeast"/>
          <w:jc w:val="center"/>
        </w:trPr>
        <w:tc>
          <w:tcPr>
            <w:tcW w:w="690" w:type="dxa"/>
            <w:vMerge w:val="continue"/>
            <w:tcBorders>
              <w:top w:val="nil"/>
              <w:left w:val="single" w:color="auto" w:sz="8" w:space="0"/>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704" w:type="dxa"/>
            <w:vMerge w:val="continue"/>
            <w:tcBorders>
              <w:top w:val="nil"/>
              <w:left w:val="nil"/>
              <w:bottom w:val="single" w:color="auto" w:sz="8" w:space="0"/>
              <w:right w:val="single" w:color="auto" w:sz="8" w:space="0"/>
            </w:tcBorders>
            <w:tcMar>
              <w:top w:w="10" w:type="dxa"/>
              <w:left w:w="10" w:type="dxa"/>
              <w:right w:w="10" w:type="dxa"/>
            </w:tcMar>
            <w:vAlign w:val="center"/>
          </w:tcPr>
          <w:p>
            <w:pPr>
              <w:spacing w:line="600" w:lineRule="exact"/>
              <w:ind w:left="225" w:hanging="225"/>
              <w:rPr>
                <w:rFonts w:hint="eastAsia" w:ascii="宋体" w:hAnsi="宋体" w:cs="宋体"/>
                <w:color w:val="000000"/>
                <w:sz w:val="15"/>
                <w:szCs w:val="15"/>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社会公众</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或服务对</w:t>
            </w:r>
          </w:p>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象满意度（5分）</w:t>
            </w: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社会公众或部门的服务对象对部门履职效果的满意程度。</w:t>
            </w: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sz w:val="18"/>
                <w:szCs w:val="18"/>
              </w:rPr>
              <w:t>90%</w:t>
            </w:r>
            <w:r>
              <w:rPr>
                <w:rFonts w:hint="eastAsia" w:ascii="宋体" w:hAnsi="宋体" w:cs="宋体"/>
                <w:color w:val="000000"/>
                <w:sz w:val="21"/>
                <w:szCs w:val="21"/>
              </w:rPr>
              <w:t>（含）以上计5分；80%（含）-90%，计4分；70%（含）-80%，计3分；60%（含）-70%，计2分；低于60%计0分。</w:t>
            </w: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rPr>
                <w:rFonts w:hint="default" w:eastAsia="宋体"/>
                <w:lang w:val="en-US" w:eastAsia="zh-CN"/>
              </w:rPr>
            </w:pPr>
            <w:r>
              <w:rPr>
                <w:rFonts w:hint="eastAsia"/>
                <w:lang w:val="en-US" w:eastAsia="zh-CN"/>
              </w:rPr>
              <w:t>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nil"/>
              <w:right w:val="single" w:color="auto" w:sz="8" w:space="0"/>
            </w:tcBorders>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总分</w:t>
            </w:r>
          </w:p>
        </w:tc>
        <w:tc>
          <w:tcPr>
            <w:tcW w:w="704" w:type="dxa"/>
            <w:tcBorders>
              <w:top w:val="nil"/>
              <w:left w:val="nil"/>
              <w:bottom w:val="nil"/>
              <w:right w:val="single" w:color="auto" w:sz="8" w:space="0"/>
            </w:tcBorders>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100</w:t>
            </w:r>
          </w:p>
        </w:tc>
        <w:tc>
          <w:tcPr>
            <w:tcW w:w="960" w:type="dxa"/>
            <w:tcBorders>
              <w:top w:val="nil"/>
              <w:left w:val="nil"/>
              <w:bottom w:val="nil"/>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sz w:val="21"/>
                <w:szCs w:val="21"/>
              </w:rPr>
            </w:pPr>
            <w:r>
              <w:rPr>
                <w:rFonts w:hint="eastAsia" w:ascii="宋体" w:hAnsi="宋体" w:cs="宋体"/>
                <w:color w:val="000000"/>
                <w:sz w:val="21"/>
                <w:szCs w:val="21"/>
              </w:rPr>
              <w:t>100　</w:t>
            </w:r>
          </w:p>
        </w:tc>
        <w:tc>
          <w:tcPr>
            <w:tcW w:w="5340" w:type="dxa"/>
            <w:tcBorders>
              <w:top w:val="nil"/>
              <w:left w:val="nil"/>
              <w:bottom w:val="nil"/>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 </w:t>
            </w:r>
          </w:p>
        </w:tc>
        <w:tc>
          <w:tcPr>
            <w:tcW w:w="5825" w:type="dxa"/>
            <w:tcBorders>
              <w:top w:val="nil"/>
              <w:left w:val="nil"/>
              <w:bottom w:val="nil"/>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both"/>
              <w:rPr>
                <w:rFonts w:hint="eastAsia" w:ascii="宋体" w:hAnsi="宋体" w:cs="宋体"/>
                <w:sz w:val="21"/>
                <w:szCs w:val="21"/>
              </w:rPr>
            </w:pPr>
            <w:r>
              <w:rPr>
                <w:rFonts w:hint="eastAsia" w:ascii="宋体" w:hAnsi="宋体" w:cs="宋体"/>
                <w:color w:val="000000"/>
                <w:sz w:val="21"/>
                <w:szCs w:val="21"/>
              </w:rPr>
              <w:t> </w:t>
            </w:r>
          </w:p>
        </w:tc>
        <w:tc>
          <w:tcPr>
            <w:tcW w:w="768" w:type="dxa"/>
            <w:tcBorders>
              <w:top w:val="nil"/>
              <w:left w:val="nil"/>
              <w:bottom w:val="nil"/>
              <w:right w:val="single" w:color="auto" w:sz="8" w:space="0"/>
            </w:tcBorders>
            <w:vAlign w:val="center"/>
          </w:tcPr>
          <w:p>
            <w:pPr>
              <w:pStyle w:val="4"/>
              <w:widowControl/>
              <w:numPr>
                <w:ilvl w:val="0"/>
                <w:numId w:val="0"/>
              </w:numPr>
              <w:spacing w:before="0" w:beforeAutospacing="0" w:after="0" w:afterAutospacing="0" w:line="600" w:lineRule="exact"/>
              <w:ind w:left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93.5</w:t>
            </w:r>
          </w:p>
        </w:tc>
      </w:tr>
      <w:tr>
        <w:tblPrEx>
          <w:tblCellMar>
            <w:top w:w="0" w:type="dxa"/>
            <w:left w:w="0" w:type="dxa"/>
            <w:bottom w:w="0" w:type="dxa"/>
            <w:right w:w="0" w:type="dxa"/>
          </w:tblCellMar>
        </w:tblPrEx>
        <w:trPr>
          <w:trHeight w:val="608" w:hRule="atLeast"/>
          <w:jc w:val="center"/>
        </w:trPr>
        <w:tc>
          <w:tcPr>
            <w:tcW w:w="690" w:type="dxa"/>
            <w:tcBorders>
              <w:top w:val="nil"/>
              <w:left w:val="single" w:color="auto" w:sz="8" w:space="0"/>
              <w:bottom w:val="single" w:color="auto" w:sz="8" w:space="0"/>
              <w:right w:val="single" w:color="auto" w:sz="8" w:space="0"/>
            </w:tcBorders>
            <w:vAlign w:val="center"/>
          </w:tcPr>
          <w:p>
            <w:pPr>
              <w:pStyle w:val="4"/>
              <w:widowControl/>
              <w:spacing w:before="0" w:beforeAutospacing="0" w:after="0" w:afterAutospacing="0" w:line="600" w:lineRule="exact"/>
              <w:rPr>
                <w:rFonts w:hint="eastAsia" w:ascii="宋体" w:hAnsi="宋体" w:cs="宋体"/>
                <w:color w:val="000000"/>
                <w:sz w:val="21"/>
                <w:szCs w:val="21"/>
              </w:rPr>
            </w:pPr>
          </w:p>
        </w:tc>
        <w:tc>
          <w:tcPr>
            <w:tcW w:w="704" w:type="dxa"/>
            <w:tcBorders>
              <w:top w:val="nil"/>
              <w:left w:val="nil"/>
              <w:bottom w:val="single" w:color="auto" w:sz="8" w:space="0"/>
              <w:right w:val="single" w:color="auto" w:sz="8" w:space="0"/>
            </w:tcBorders>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96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5340"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tabs>
                <w:tab w:val="left" w:pos="2604"/>
              </w:tabs>
              <w:spacing w:before="0" w:beforeAutospacing="0" w:after="0" w:afterAutospacing="0" w:line="600" w:lineRule="exact"/>
              <w:jc w:val="both"/>
              <w:rPr>
                <w:rFonts w:hint="eastAsia" w:ascii="宋体" w:hAnsi="宋体" w:cs="宋体"/>
                <w:color w:val="000000"/>
                <w:sz w:val="21"/>
                <w:szCs w:val="21"/>
              </w:rPr>
            </w:pPr>
          </w:p>
        </w:tc>
        <w:tc>
          <w:tcPr>
            <w:tcW w:w="5825" w:type="dxa"/>
            <w:tcBorders>
              <w:top w:val="nil"/>
              <w:left w:val="nil"/>
              <w:bottom w:val="single" w:color="auto" w:sz="8" w:space="0"/>
              <w:right w:val="single" w:color="auto" w:sz="8" w:space="0"/>
            </w:tcBorders>
            <w:tcMar>
              <w:top w:w="10" w:type="dxa"/>
              <w:left w:w="10" w:type="dxa"/>
              <w:right w:w="10" w:type="dxa"/>
            </w:tcMar>
            <w:vAlign w:val="center"/>
          </w:tcPr>
          <w:p>
            <w:pPr>
              <w:pStyle w:val="4"/>
              <w:widowControl/>
              <w:spacing w:before="0" w:beforeAutospacing="0" w:after="0" w:afterAutospacing="0" w:line="600" w:lineRule="exact"/>
              <w:jc w:val="center"/>
              <w:rPr>
                <w:rFonts w:hint="eastAsia" w:ascii="宋体" w:hAnsi="宋体" w:cs="宋体"/>
                <w:color w:val="000000"/>
                <w:sz w:val="21"/>
                <w:szCs w:val="21"/>
              </w:rPr>
            </w:pPr>
          </w:p>
        </w:tc>
        <w:tc>
          <w:tcPr>
            <w:tcW w:w="768" w:type="dxa"/>
            <w:tcBorders>
              <w:top w:val="nil"/>
              <w:left w:val="nil"/>
              <w:bottom w:val="single" w:color="auto" w:sz="8" w:space="0"/>
              <w:right w:val="single" w:color="auto" w:sz="8" w:space="0"/>
            </w:tcBorders>
            <w:vAlign w:val="center"/>
          </w:tcPr>
          <w:p>
            <w:pPr>
              <w:pStyle w:val="4"/>
              <w:widowControl/>
              <w:tabs>
                <w:tab w:val="left" w:pos="2604"/>
              </w:tabs>
              <w:spacing w:before="0" w:beforeAutospacing="0" w:after="0" w:afterAutospacing="0" w:line="600" w:lineRule="exact"/>
              <w:jc w:val="center"/>
            </w:pPr>
          </w:p>
        </w:tc>
      </w:tr>
    </w:tbl>
    <w:p>
      <w:pPr>
        <w:widowControl/>
        <w:spacing w:line="600" w:lineRule="exact"/>
        <w:ind w:left="147" w:hanging="147" w:hangingChars="46"/>
        <w:rPr>
          <w:rFonts w:ascii="仿宋" w:hAnsi="仿宋" w:eastAsia="仿宋"/>
          <w:sz w:val="32"/>
          <w:szCs w:val="32"/>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40" w:bottom="1701"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315"/>
      </w:pPr>
      <w:r>
        <w:separator/>
      </w:r>
    </w:p>
  </w:endnote>
  <w:endnote w:type="continuationSeparator" w:id="1">
    <w:p>
      <w:pPr>
        <w:spacing w:line="240" w:lineRule="auto"/>
        <w:ind w:hanging="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70" w:hanging="2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hanging="315"/>
      </w:pPr>
      <w:r>
        <w:separator/>
      </w:r>
    </w:p>
  </w:footnote>
  <w:footnote w:type="continuationSeparator" w:id="1">
    <w:p>
      <w:pPr>
        <w:spacing w:line="240" w:lineRule="auto"/>
        <w:ind w:hanging="31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270"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70" w:hanging="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7631442E"/>
    <w:rsid w:val="11D76BB8"/>
    <w:rsid w:val="356078A0"/>
    <w:rsid w:val="360B3337"/>
    <w:rsid w:val="41212090"/>
    <w:rsid w:val="43EB7C8E"/>
    <w:rsid w:val="48691E8A"/>
    <w:rsid w:val="49AA16AF"/>
    <w:rsid w:val="525924E8"/>
    <w:rsid w:val="5EE21088"/>
    <w:rsid w:val="7631442E"/>
    <w:rsid w:val="7AA73D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ind w:left="150" w:hanging="150" w:hangingChars="15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100" w:beforeAutospacing="1" w:after="100" w:afterAutospacing="1" w:line="240" w:lineRule="auto"/>
      <w:ind w:left="0" w:firstLine="0" w:firstLineChars="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3600</Words>
  <Characters>3743</Characters>
  <Lines>0</Lines>
  <Paragraphs>0</Paragraphs>
  <TotalTime>2</TotalTime>
  <ScaleCrop>false</ScaleCrop>
  <LinksUpToDate>false</LinksUpToDate>
  <CharactersWithSpaces>3746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2020-11-12T14:34:00Z</dcterms:created>
  <dc:creator>Tiboagen</dc:creator>
  <cp:lastModifiedBy>Administrator</cp:lastModifiedBy>
  <dcterms:modified xsi:type="dcterms:W3CDTF">2022-10-13T06:08:19Z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B6D1279B5F0C4B74A79D61B9D11C8E62</vt:lpwstr>
  </property>
</Properties>
</file>