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eastAsia="方正小标宋_GBK"/>
          <w:bCs/>
          <w:kern w:val="0"/>
          <w:sz w:val="36"/>
          <w:szCs w:val="36"/>
        </w:rPr>
      </w:pPr>
      <w:r>
        <w:rPr>
          <w:rFonts w:eastAsia="方正小标宋_GBK"/>
          <w:bCs/>
          <w:kern w:val="0"/>
          <w:sz w:val="36"/>
          <w:szCs w:val="36"/>
        </w:rPr>
        <w:t>第</w:t>
      </w:r>
      <w:r>
        <w:rPr>
          <w:rFonts w:hint="eastAsia" w:eastAsia="方正小标宋_GBK"/>
          <w:bCs/>
          <w:kern w:val="0"/>
          <w:sz w:val="36"/>
          <w:szCs w:val="36"/>
        </w:rPr>
        <w:t>三</w:t>
      </w:r>
      <w:r>
        <w:rPr>
          <w:rFonts w:eastAsia="方正小标宋_GBK"/>
          <w:bCs/>
          <w:kern w:val="0"/>
          <w:sz w:val="36"/>
          <w:szCs w:val="36"/>
        </w:rPr>
        <w:t xml:space="preserve">部分 </w:t>
      </w:r>
      <w:r>
        <w:rPr>
          <w:rFonts w:hint="eastAsia" w:eastAsia="方正小标宋_GBK"/>
          <w:bCs/>
          <w:kern w:val="0"/>
          <w:sz w:val="36"/>
          <w:szCs w:val="36"/>
        </w:rPr>
        <w:t>相关</w:t>
      </w:r>
      <w:r>
        <w:rPr>
          <w:rFonts w:eastAsia="方正小标宋_GBK"/>
          <w:bCs/>
          <w:kern w:val="0"/>
          <w:sz w:val="36"/>
          <w:szCs w:val="36"/>
        </w:rPr>
        <w:t>说明</w:t>
      </w:r>
    </w:p>
    <w:p>
      <w:pPr>
        <w:widowControl/>
        <w:spacing w:line="600" w:lineRule="exact"/>
        <w:jc w:val="left"/>
        <w:rPr>
          <w:rFonts w:eastAsia="仿宋_GB2312"/>
          <w:b/>
          <w:bCs/>
          <w:kern w:val="0"/>
          <w:sz w:val="32"/>
          <w:szCs w:val="32"/>
        </w:rPr>
      </w:pPr>
    </w:p>
    <w:p>
      <w:pPr>
        <w:widowControl/>
        <w:spacing w:line="600" w:lineRule="exact"/>
        <w:ind w:firstLine="627" w:firstLineChars="196"/>
        <w:jc w:val="left"/>
        <w:rPr>
          <w:rFonts w:eastAsia="黑体"/>
          <w:bCs/>
          <w:kern w:val="0"/>
          <w:sz w:val="32"/>
          <w:szCs w:val="32"/>
        </w:rPr>
      </w:pPr>
      <w:r>
        <w:rPr>
          <w:rFonts w:eastAsia="黑体"/>
          <w:bCs/>
          <w:kern w:val="0"/>
          <w:sz w:val="32"/>
          <w:szCs w:val="32"/>
        </w:rPr>
        <w:t>一、税收返还和转移支付情况</w:t>
      </w:r>
    </w:p>
    <w:p>
      <w:pPr>
        <w:spacing w:line="600" w:lineRule="exact"/>
        <w:ind w:firstLine="640" w:firstLineChars="200"/>
        <w:rPr>
          <w:rFonts w:eastAsia="仿宋_GB2312"/>
          <w:color w:val="000000"/>
          <w:sz w:val="32"/>
          <w:szCs w:val="32"/>
        </w:rPr>
      </w:pPr>
      <w:r>
        <w:rPr>
          <w:rFonts w:hint="eastAsia" w:eastAsia="仿宋_GB2312"/>
          <w:color w:val="000000"/>
          <w:sz w:val="32"/>
          <w:szCs w:val="32"/>
        </w:rPr>
        <w:t>2019</w:t>
      </w:r>
      <w:r>
        <w:rPr>
          <w:rFonts w:eastAsia="仿宋_GB2312"/>
          <w:color w:val="000000"/>
          <w:sz w:val="32"/>
          <w:szCs w:val="32"/>
        </w:rPr>
        <w:t>年，</w:t>
      </w:r>
      <w:r>
        <w:rPr>
          <w:rFonts w:hint="eastAsia" w:eastAsia="仿宋_GB2312"/>
          <w:color w:val="000000"/>
          <w:sz w:val="32"/>
          <w:szCs w:val="32"/>
        </w:rPr>
        <w:t>新邵县</w:t>
      </w:r>
      <w:r>
        <w:rPr>
          <w:rFonts w:eastAsia="仿宋_GB2312"/>
          <w:color w:val="000000"/>
          <w:sz w:val="32"/>
          <w:szCs w:val="32"/>
        </w:rPr>
        <w:t>对下税收返还和转移支付预算</w:t>
      </w:r>
      <w:r>
        <w:rPr>
          <w:rFonts w:hint="eastAsia" w:eastAsia="仿宋_GB2312"/>
          <w:color w:val="000000"/>
          <w:sz w:val="32"/>
          <w:szCs w:val="32"/>
        </w:rPr>
        <w:t>241090万元</w:t>
      </w:r>
      <w:r>
        <w:rPr>
          <w:rFonts w:eastAsia="仿宋_GB2312"/>
          <w:color w:val="000000"/>
          <w:sz w:val="32"/>
          <w:szCs w:val="32"/>
        </w:rPr>
        <w:t>，比上年</w:t>
      </w:r>
      <w:r>
        <w:rPr>
          <w:rFonts w:hint="eastAsia" w:eastAsia="仿宋_GB2312"/>
          <w:color w:val="000000"/>
          <w:sz w:val="32"/>
          <w:szCs w:val="32"/>
        </w:rPr>
        <w:t>减少102790万元</w:t>
      </w:r>
      <w:r>
        <w:rPr>
          <w:rFonts w:eastAsia="仿宋_GB2312"/>
          <w:color w:val="000000"/>
          <w:sz w:val="32"/>
          <w:szCs w:val="32"/>
        </w:rPr>
        <w:t>，</w:t>
      </w:r>
      <w:r>
        <w:rPr>
          <w:rFonts w:hint="eastAsia" w:eastAsia="仿宋_GB2312"/>
          <w:color w:val="000000"/>
          <w:sz w:val="32"/>
          <w:szCs w:val="32"/>
        </w:rPr>
        <w:t>下降29.89%</w:t>
      </w:r>
      <w:r>
        <w:rPr>
          <w:rFonts w:eastAsia="仿宋_GB2312"/>
          <w:color w:val="000000"/>
          <w:sz w:val="32"/>
          <w:szCs w:val="32"/>
        </w:rPr>
        <w:t>。其中：</w:t>
      </w:r>
    </w:p>
    <w:p>
      <w:pPr>
        <w:spacing w:line="600" w:lineRule="exact"/>
        <w:ind w:firstLine="643" w:firstLineChars="200"/>
        <w:rPr>
          <w:rFonts w:eastAsia="楷体_GB2312"/>
          <w:b/>
          <w:color w:val="000000"/>
          <w:sz w:val="32"/>
          <w:szCs w:val="32"/>
        </w:rPr>
      </w:pPr>
      <w:r>
        <w:rPr>
          <w:rFonts w:eastAsia="楷体_GB2312"/>
          <w:b/>
          <w:color w:val="000000"/>
          <w:sz w:val="32"/>
          <w:szCs w:val="32"/>
        </w:rPr>
        <w:t>（一）税收返还</w:t>
      </w:r>
    </w:p>
    <w:p>
      <w:pPr>
        <w:spacing w:line="600" w:lineRule="exact"/>
        <w:ind w:firstLine="640" w:firstLineChars="200"/>
        <w:rPr>
          <w:rFonts w:eastAsia="仿宋_GB2312"/>
          <w:color w:val="000000"/>
          <w:sz w:val="32"/>
          <w:szCs w:val="32"/>
        </w:rPr>
      </w:pPr>
      <w:r>
        <w:rPr>
          <w:rFonts w:eastAsia="仿宋_GB2312"/>
          <w:color w:val="000000"/>
          <w:sz w:val="32"/>
          <w:szCs w:val="32"/>
        </w:rPr>
        <w:t>税收返还</w:t>
      </w:r>
      <w:r>
        <w:rPr>
          <w:rFonts w:hint="eastAsia" w:eastAsia="仿宋_GB2312"/>
          <w:color w:val="000000"/>
          <w:sz w:val="32"/>
          <w:szCs w:val="32"/>
        </w:rPr>
        <w:t>5600万元</w:t>
      </w:r>
      <w:r>
        <w:rPr>
          <w:rFonts w:eastAsia="仿宋_GB2312"/>
          <w:color w:val="000000"/>
          <w:sz w:val="32"/>
          <w:szCs w:val="32"/>
        </w:rPr>
        <w:t>，与上年</w:t>
      </w:r>
      <w:r>
        <w:rPr>
          <w:rFonts w:hint="eastAsia" w:eastAsia="仿宋_GB2312"/>
          <w:color w:val="000000"/>
          <w:sz w:val="32"/>
          <w:szCs w:val="32"/>
        </w:rPr>
        <w:t>持平</w:t>
      </w:r>
      <w:r>
        <w:rPr>
          <w:rFonts w:eastAsia="仿宋_GB2312"/>
          <w:color w:val="000000"/>
          <w:sz w:val="32"/>
          <w:szCs w:val="32"/>
        </w:rPr>
        <w:t>。其中：</w:t>
      </w:r>
    </w:p>
    <w:p>
      <w:pPr>
        <w:spacing w:line="600" w:lineRule="exact"/>
        <w:ind w:firstLine="640" w:firstLineChars="200"/>
        <w:rPr>
          <w:rFonts w:eastAsia="仿宋_GB2312"/>
          <w:color w:val="000000"/>
          <w:sz w:val="32"/>
          <w:szCs w:val="32"/>
        </w:rPr>
      </w:pPr>
      <w:r>
        <w:rPr>
          <w:rFonts w:eastAsia="仿宋_GB2312"/>
          <w:color w:val="000000"/>
          <w:sz w:val="32"/>
          <w:szCs w:val="32"/>
        </w:rPr>
        <w:t>增值税</w:t>
      </w:r>
      <w:r>
        <w:rPr>
          <w:rFonts w:hint="eastAsia" w:eastAsia="仿宋_GB2312"/>
          <w:color w:val="000000"/>
          <w:sz w:val="32"/>
          <w:szCs w:val="32"/>
        </w:rPr>
        <w:t>和消费</w:t>
      </w:r>
      <w:r>
        <w:rPr>
          <w:rFonts w:eastAsia="仿宋_GB2312"/>
          <w:color w:val="000000"/>
          <w:sz w:val="32"/>
          <w:szCs w:val="32"/>
        </w:rPr>
        <w:t>税收返还</w:t>
      </w:r>
      <w:r>
        <w:rPr>
          <w:rFonts w:hint="eastAsia" w:eastAsia="仿宋_GB2312"/>
          <w:color w:val="000000"/>
          <w:sz w:val="32"/>
          <w:szCs w:val="32"/>
        </w:rPr>
        <w:t>3222万元</w:t>
      </w:r>
      <w:r>
        <w:rPr>
          <w:rFonts w:eastAsia="仿宋_GB2312"/>
          <w:color w:val="000000"/>
          <w:sz w:val="32"/>
          <w:szCs w:val="32"/>
        </w:rPr>
        <w:t>;</w:t>
      </w:r>
    </w:p>
    <w:p>
      <w:pPr>
        <w:spacing w:line="600" w:lineRule="exact"/>
        <w:ind w:firstLine="640" w:firstLineChars="200"/>
        <w:rPr>
          <w:rFonts w:eastAsia="仿宋_GB2312"/>
          <w:color w:val="000000"/>
          <w:sz w:val="32"/>
          <w:szCs w:val="32"/>
        </w:rPr>
      </w:pPr>
      <w:r>
        <w:rPr>
          <w:rFonts w:eastAsia="仿宋_GB2312"/>
          <w:color w:val="000000"/>
          <w:sz w:val="32"/>
          <w:szCs w:val="32"/>
        </w:rPr>
        <w:t>消费税税收返还</w:t>
      </w:r>
      <w:r>
        <w:rPr>
          <w:rFonts w:hint="eastAsia" w:eastAsia="仿宋_GB2312"/>
          <w:color w:val="000000"/>
          <w:sz w:val="32"/>
          <w:szCs w:val="32"/>
        </w:rPr>
        <w:t>5万元</w:t>
      </w:r>
      <w:r>
        <w:rPr>
          <w:rFonts w:eastAsia="仿宋_GB2312"/>
          <w:color w:val="000000"/>
          <w:sz w:val="32"/>
          <w:szCs w:val="32"/>
        </w:rPr>
        <w:t>;</w:t>
      </w:r>
    </w:p>
    <w:p>
      <w:pPr>
        <w:spacing w:line="600" w:lineRule="exact"/>
        <w:ind w:firstLine="640" w:firstLineChars="200"/>
        <w:rPr>
          <w:rFonts w:eastAsia="仿宋_GB2312"/>
          <w:color w:val="000000"/>
          <w:sz w:val="32"/>
          <w:szCs w:val="32"/>
        </w:rPr>
      </w:pPr>
      <w:r>
        <w:rPr>
          <w:rFonts w:eastAsia="仿宋_GB2312"/>
          <w:color w:val="000000"/>
          <w:sz w:val="32"/>
          <w:szCs w:val="32"/>
        </w:rPr>
        <w:t>所得税基数返还</w:t>
      </w:r>
      <w:r>
        <w:rPr>
          <w:rFonts w:hint="eastAsia" w:eastAsia="仿宋_GB2312"/>
          <w:color w:val="000000"/>
          <w:sz w:val="32"/>
          <w:szCs w:val="32"/>
        </w:rPr>
        <w:t>420万元</w:t>
      </w:r>
      <w:r>
        <w:rPr>
          <w:rFonts w:eastAsia="仿宋_GB2312"/>
          <w:color w:val="000000"/>
          <w:sz w:val="32"/>
          <w:szCs w:val="32"/>
        </w:rPr>
        <w:t>;</w:t>
      </w:r>
    </w:p>
    <w:p>
      <w:pPr>
        <w:spacing w:line="600" w:lineRule="exact"/>
        <w:ind w:firstLine="640" w:firstLineChars="200"/>
        <w:rPr>
          <w:rFonts w:eastAsia="仿宋_GB2312"/>
          <w:color w:val="000000"/>
          <w:sz w:val="32"/>
          <w:szCs w:val="32"/>
        </w:rPr>
      </w:pPr>
      <w:r>
        <w:rPr>
          <w:rFonts w:eastAsia="仿宋_GB2312"/>
          <w:color w:val="000000"/>
          <w:sz w:val="32"/>
          <w:szCs w:val="32"/>
        </w:rPr>
        <w:t>成品油税费改革税收返还</w:t>
      </w:r>
      <w:r>
        <w:rPr>
          <w:rFonts w:hint="eastAsia" w:eastAsia="仿宋_GB2312"/>
          <w:color w:val="000000"/>
          <w:sz w:val="32"/>
          <w:szCs w:val="32"/>
        </w:rPr>
        <w:t>807万元</w:t>
      </w:r>
      <w:r>
        <w:rPr>
          <w:rFonts w:eastAsia="仿宋_GB2312"/>
          <w:color w:val="000000"/>
          <w:sz w:val="32"/>
          <w:szCs w:val="32"/>
        </w:rPr>
        <w:t>;</w:t>
      </w:r>
    </w:p>
    <w:p>
      <w:pPr>
        <w:spacing w:line="600" w:lineRule="exact"/>
        <w:ind w:firstLine="640" w:firstLineChars="200"/>
        <w:rPr>
          <w:rFonts w:eastAsia="仿宋_GB2312"/>
          <w:color w:val="000000"/>
          <w:sz w:val="32"/>
          <w:szCs w:val="32"/>
        </w:rPr>
      </w:pPr>
      <w:r>
        <w:rPr>
          <w:rFonts w:eastAsia="仿宋_GB2312"/>
          <w:color w:val="000000"/>
          <w:sz w:val="32"/>
          <w:szCs w:val="32"/>
        </w:rPr>
        <w:t>其他税收返还</w:t>
      </w:r>
      <w:r>
        <w:rPr>
          <w:rFonts w:hint="eastAsia" w:eastAsia="仿宋_GB2312"/>
          <w:color w:val="000000"/>
          <w:sz w:val="32"/>
          <w:szCs w:val="32"/>
        </w:rPr>
        <w:t>1146万元</w:t>
      </w:r>
      <w:r>
        <w:rPr>
          <w:rFonts w:eastAsia="仿宋_GB2312"/>
          <w:color w:val="000000"/>
          <w:sz w:val="32"/>
          <w:szCs w:val="32"/>
        </w:rPr>
        <w:t>;</w:t>
      </w:r>
    </w:p>
    <w:p>
      <w:pPr>
        <w:spacing w:line="600" w:lineRule="exact"/>
        <w:ind w:firstLine="643" w:firstLineChars="200"/>
        <w:rPr>
          <w:rFonts w:eastAsia="楷体_GB2312"/>
          <w:b/>
          <w:color w:val="000000"/>
          <w:sz w:val="32"/>
          <w:szCs w:val="32"/>
        </w:rPr>
      </w:pPr>
      <w:r>
        <w:rPr>
          <w:rFonts w:eastAsia="楷体_GB2312"/>
          <w:b/>
          <w:color w:val="000000"/>
          <w:sz w:val="32"/>
          <w:szCs w:val="32"/>
        </w:rPr>
        <w:t>（二）一般性转移支付</w:t>
      </w:r>
    </w:p>
    <w:p>
      <w:pPr>
        <w:spacing w:line="600" w:lineRule="exact"/>
        <w:ind w:firstLine="640" w:firstLineChars="200"/>
        <w:rPr>
          <w:rFonts w:eastAsia="仿宋_GB2312"/>
          <w:color w:val="000000"/>
          <w:sz w:val="32"/>
          <w:szCs w:val="32"/>
        </w:rPr>
      </w:pPr>
      <w:r>
        <w:rPr>
          <w:rFonts w:eastAsia="仿宋_GB2312"/>
          <w:color w:val="000000"/>
          <w:sz w:val="32"/>
          <w:szCs w:val="32"/>
        </w:rPr>
        <w:t>一般性转移支付</w:t>
      </w:r>
      <w:r>
        <w:rPr>
          <w:rFonts w:hint="eastAsia" w:eastAsia="仿宋_GB2312"/>
          <w:color w:val="000000"/>
          <w:sz w:val="32"/>
          <w:szCs w:val="32"/>
        </w:rPr>
        <w:t>202347万元</w:t>
      </w:r>
      <w:r>
        <w:rPr>
          <w:rFonts w:eastAsia="仿宋_GB2312"/>
          <w:color w:val="000000"/>
          <w:sz w:val="32"/>
          <w:szCs w:val="32"/>
        </w:rPr>
        <w:t>，比上年</w:t>
      </w:r>
      <w:r>
        <w:rPr>
          <w:rFonts w:hint="eastAsia" w:eastAsia="仿宋_GB2312"/>
          <w:color w:val="000000"/>
          <w:sz w:val="32"/>
          <w:szCs w:val="32"/>
        </w:rPr>
        <w:t>减少53613万元</w:t>
      </w:r>
      <w:r>
        <w:rPr>
          <w:rFonts w:eastAsia="仿宋_GB2312"/>
          <w:color w:val="000000"/>
          <w:sz w:val="32"/>
          <w:szCs w:val="32"/>
        </w:rPr>
        <w:t>，降低</w:t>
      </w:r>
      <w:r>
        <w:rPr>
          <w:rFonts w:hint="eastAsia" w:eastAsia="仿宋_GB2312"/>
          <w:color w:val="000000"/>
          <w:sz w:val="32"/>
          <w:szCs w:val="32"/>
        </w:rPr>
        <w:t>20.95%</w:t>
      </w:r>
      <w:r>
        <w:rPr>
          <w:rFonts w:eastAsia="仿宋_GB2312"/>
          <w:color w:val="000000"/>
          <w:sz w:val="32"/>
          <w:szCs w:val="32"/>
        </w:rPr>
        <w:t>，主要是</w:t>
      </w:r>
      <w:r>
        <w:rPr>
          <w:rFonts w:hint="eastAsia" w:eastAsia="仿宋_GB2312"/>
          <w:color w:val="000000"/>
          <w:sz w:val="32"/>
          <w:szCs w:val="32"/>
        </w:rPr>
        <w:t>贫困地区转移支付、其他一般性转移支付、基本养老保险和低保等转移支付预算时较上年减少</w:t>
      </w:r>
      <w:r>
        <w:rPr>
          <w:rFonts w:eastAsia="仿宋_GB2312"/>
          <w:color w:val="000000"/>
          <w:sz w:val="32"/>
          <w:szCs w:val="32"/>
        </w:rPr>
        <w:t xml:space="preserve">。其中： </w:t>
      </w:r>
    </w:p>
    <w:p>
      <w:pPr>
        <w:spacing w:line="600" w:lineRule="exact"/>
        <w:ind w:firstLine="640" w:firstLineChars="200"/>
        <w:rPr>
          <w:rFonts w:eastAsia="仿宋_GB2312"/>
          <w:color w:val="000000"/>
          <w:sz w:val="32"/>
          <w:szCs w:val="32"/>
        </w:rPr>
      </w:pPr>
      <w:r>
        <w:rPr>
          <w:rFonts w:hint="eastAsia" w:eastAsia="仿宋_GB2312"/>
          <w:color w:val="000000"/>
          <w:sz w:val="32"/>
          <w:szCs w:val="32"/>
        </w:rPr>
        <w:t>1</w:t>
      </w:r>
      <w:r>
        <w:rPr>
          <w:rFonts w:eastAsia="仿宋_GB2312"/>
          <w:color w:val="000000"/>
          <w:sz w:val="32"/>
          <w:szCs w:val="32"/>
        </w:rPr>
        <w:t>.</w:t>
      </w:r>
      <w:r>
        <w:rPr>
          <w:rFonts w:hint="eastAsia" w:eastAsia="仿宋_GB2312"/>
          <w:color w:val="000000"/>
          <w:sz w:val="32"/>
          <w:szCs w:val="32"/>
        </w:rPr>
        <w:t>体制补助收入1618万元，与上年增长持平；</w:t>
      </w:r>
    </w:p>
    <w:p>
      <w:pPr>
        <w:pStyle w:val="8"/>
        <w:spacing w:line="600" w:lineRule="exact"/>
        <w:ind w:left="420" w:firstLine="0" w:firstLineChars="0"/>
        <w:rPr>
          <w:rFonts w:eastAsia="仿宋_GB2312"/>
          <w:color w:val="000000"/>
          <w:sz w:val="32"/>
          <w:szCs w:val="32"/>
        </w:rPr>
      </w:pPr>
      <w:r>
        <w:rPr>
          <w:rFonts w:hint="eastAsia" w:eastAsia="仿宋_GB2312"/>
          <w:color w:val="000000"/>
          <w:sz w:val="32"/>
          <w:szCs w:val="32"/>
        </w:rPr>
        <w:t xml:space="preserve"> 2.</w:t>
      </w:r>
      <w:r>
        <w:rPr>
          <w:rFonts w:eastAsia="仿宋_GB2312"/>
          <w:color w:val="000000"/>
          <w:sz w:val="32"/>
          <w:szCs w:val="32"/>
        </w:rPr>
        <w:t>均衡性转移支付</w:t>
      </w:r>
      <w:r>
        <w:rPr>
          <w:rFonts w:hint="eastAsia" w:eastAsia="仿宋_GB2312"/>
          <w:color w:val="000000"/>
          <w:sz w:val="32"/>
          <w:szCs w:val="32"/>
        </w:rPr>
        <w:t>65047万元</w:t>
      </w:r>
      <w:r>
        <w:rPr>
          <w:rFonts w:eastAsia="仿宋_GB2312"/>
          <w:color w:val="000000"/>
          <w:sz w:val="32"/>
          <w:szCs w:val="32"/>
        </w:rPr>
        <w:t xml:space="preserve"> 比上年增加</w:t>
      </w:r>
      <w:r>
        <w:rPr>
          <w:rFonts w:hint="eastAsia" w:eastAsia="仿宋_GB2312"/>
          <w:color w:val="000000"/>
          <w:sz w:val="32"/>
          <w:szCs w:val="32"/>
        </w:rPr>
        <w:t>1381万元</w:t>
      </w:r>
      <w:r>
        <w:rPr>
          <w:rFonts w:eastAsia="仿宋_GB2312"/>
          <w:color w:val="000000"/>
          <w:sz w:val="32"/>
          <w:szCs w:val="32"/>
        </w:rPr>
        <w:t>，增长</w:t>
      </w:r>
      <w:r>
        <w:rPr>
          <w:rFonts w:hint="eastAsia" w:eastAsia="仿宋_GB2312"/>
          <w:color w:val="000000"/>
          <w:sz w:val="32"/>
          <w:szCs w:val="32"/>
        </w:rPr>
        <w:t>2.17%</w:t>
      </w:r>
      <w:r>
        <w:rPr>
          <w:rFonts w:eastAsia="仿宋_GB2312"/>
          <w:color w:val="000000"/>
          <w:sz w:val="32"/>
          <w:szCs w:val="32"/>
        </w:rPr>
        <w:t>，</w:t>
      </w:r>
      <w:r>
        <w:rPr>
          <w:rFonts w:hint="eastAsia" w:eastAsia="仿宋_GB2312"/>
          <w:color w:val="000000"/>
          <w:sz w:val="32"/>
          <w:szCs w:val="32"/>
        </w:rPr>
        <w:t>增加</w:t>
      </w:r>
      <w:r>
        <w:rPr>
          <w:rFonts w:eastAsia="仿宋_GB2312"/>
          <w:color w:val="000000"/>
          <w:sz w:val="32"/>
          <w:szCs w:val="32"/>
        </w:rPr>
        <w:t>主要</w:t>
      </w:r>
      <w:r>
        <w:rPr>
          <w:rFonts w:hint="eastAsia" w:eastAsia="仿宋_GB2312"/>
          <w:color w:val="000000"/>
          <w:sz w:val="32"/>
          <w:szCs w:val="32"/>
        </w:rPr>
        <w:t>原因</w:t>
      </w:r>
      <w:r>
        <w:rPr>
          <w:rFonts w:eastAsia="仿宋_GB2312"/>
          <w:color w:val="000000"/>
          <w:sz w:val="32"/>
          <w:szCs w:val="32"/>
        </w:rPr>
        <w:t>是</w:t>
      </w:r>
      <w:r>
        <w:rPr>
          <w:rFonts w:hint="eastAsia" w:eastAsia="仿宋_GB2312"/>
          <w:color w:val="000000"/>
          <w:sz w:val="32"/>
          <w:szCs w:val="32"/>
        </w:rPr>
        <w:t>人员增资等因素</w:t>
      </w:r>
      <w:r>
        <w:rPr>
          <w:rFonts w:eastAsia="仿宋_GB2312"/>
          <w:color w:val="000000"/>
          <w:sz w:val="32"/>
          <w:szCs w:val="32"/>
        </w:rPr>
        <w:t>;</w:t>
      </w:r>
    </w:p>
    <w:p>
      <w:pPr>
        <w:pStyle w:val="8"/>
        <w:spacing w:line="600" w:lineRule="exact"/>
        <w:ind w:left="420" w:firstLine="0" w:firstLineChars="0"/>
        <w:rPr>
          <w:rFonts w:eastAsia="仿宋_GB2312"/>
          <w:color w:val="000000"/>
          <w:sz w:val="32"/>
          <w:szCs w:val="32"/>
        </w:rPr>
      </w:pPr>
      <w:r>
        <w:rPr>
          <w:rFonts w:hint="eastAsia" w:eastAsia="仿宋_GB2312"/>
          <w:color w:val="000000"/>
          <w:sz w:val="32"/>
          <w:szCs w:val="32"/>
        </w:rPr>
        <w:t xml:space="preserve">  3.县级基本财力保障机制奖补资金收入22156万元，比上年减少2770万元，降低11%，减少主要原因是上年部分一次性补助未纳入当年预算；</w:t>
      </w:r>
    </w:p>
    <w:p>
      <w:pPr>
        <w:pStyle w:val="8"/>
        <w:spacing w:line="600" w:lineRule="exact"/>
        <w:ind w:left="420" w:firstLine="0" w:firstLineChars="0"/>
        <w:rPr>
          <w:rFonts w:eastAsia="仿宋_GB2312"/>
          <w:color w:val="000000"/>
          <w:sz w:val="32"/>
          <w:szCs w:val="32"/>
        </w:rPr>
      </w:pPr>
      <w:r>
        <w:rPr>
          <w:rFonts w:hint="eastAsia" w:eastAsia="仿宋_GB2312"/>
          <w:color w:val="000000"/>
          <w:sz w:val="32"/>
          <w:szCs w:val="32"/>
        </w:rPr>
        <w:t>4、</w:t>
      </w:r>
      <w:r>
        <w:rPr>
          <w:rFonts w:eastAsia="仿宋_GB2312"/>
          <w:color w:val="000000"/>
          <w:sz w:val="32"/>
          <w:szCs w:val="32"/>
        </w:rPr>
        <w:t>结算补助</w:t>
      </w:r>
      <w:r>
        <w:rPr>
          <w:rFonts w:hint="eastAsia" w:eastAsia="仿宋_GB2312"/>
          <w:color w:val="000000"/>
          <w:sz w:val="32"/>
          <w:szCs w:val="32"/>
        </w:rPr>
        <w:t>2652万元</w:t>
      </w:r>
      <w:r>
        <w:rPr>
          <w:rFonts w:eastAsia="仿宋_GB2312"/>
          <w:color w:val="000000"/>
          <w:sz w:val="32"/>
          <w:szCs w:val="32"/>
        </w:rPr>
        <w:t>, 比上年减少</w:t>
      </w:r>
      <w:r>
        <w:rPr>
          <w:rFonts w:hint="eastAsia" w:eastAsia="仿宋_GB2312"/>
          <w:color w:val="000000"/>
          <w:sz w:val="32"/>
          <w:szCs w:val="32"/>
        </w:rPr>
        <w:t>1582万元</w:t>
      </w:r>
      <w:r>
        <w:rPr>
          <w:rFonts w:eastAsia="仿宋_GB2312"/>
          <w:color w:val="000000"/>
          <w:sz w:val="32"/>
          <w:szCs w:val="32"/>
        </w:rPr>
        <w:t>，降低</w:t>
      </w:r>
      <w:r>
        <w:rPr>
          <w:rFonts w:hint="eastAsia" w:eastAsia="仿宋_GB2312"/>
          <w:color w:val="000000"/>
          <w:sz w:val="32"/>
          <w:szCs w:val="32"/>
        </w:rPr>
        <w:t>37.36%</w:t>
      </w:r>
      <w:r>
        <w:rPr>
          <w:rFonts w:eastAsia="仿宋_GB2312"/>
          <w:color w:val="000000"/>
          <w:sz w:val="32"/>
          <w:szCs w:val="32"/>
        </w:rPr>
        <w:t>，主要是</w:t>
      </w:r>
      <w:r>
        <w:rPr>
          <w:rFonts w:hint="eastAsia" w:eastAsia="仿宋_GB2312"/>
          <w:color w:val="000000"/>
          <w:sz w:val="32"/>
          <w:szCs w:val="32"/>
        </w:rPr>
        <w:t>预算时采取了谨慎性原则</w:t>
      </w:r>
      <w:r>
        <w:rPr>
          <w:rFonts w:eastAsia="仿宋_GB2312"/>
          <w:color w:val="000000"/>
          <w:sz w:val="32"/>
          <w:szCs w:val="32"/>
        </w:rPr>
        <w:t>;</w:t>
      </w:r>
    </w:p>
    <w:p>
      <w:pPr>
        <w:pStyle w:val="8"/>
        <w:spacing w:line="600" w:lineRule="exact"/>
        <w:ind w:left="420" w:firstLine="0" w:firstLineChars="0"/>
        <w:rPr>
          <w:rFonts w:eastAsia="仿宋_GB2312"/>
          <w:color w:val="000000"/>
          <w:sz w:val="32"/>
          <w:szCs w:val="32"/>
        </w:rPr>
      </w:pPr>
      <w:r>
        <w:rPr>
          <w:rFonts w:hint="eastAsia" w:eastAsia="仿宋_GB2312"/>
          <w:color w:val="000000"/>
          <w:sz w:val="32"/>
          <w:szCs w:val="32"/>
        </w:rPr>
        <w:t>5、企事业单位划转补助收入215万元，与上年增长持平；6、基层公检法司转移支付收入471万元，比上年减少499万元，降低51%；主要减少原因是2019年法院、检察院上划；</w:t>
      </w:r>
    </w:p>
    <w:p>
      <w:pPr>
        <w:pStyle w:val="8"/>
        <w:spacing w:line="600" w:lineRule="exact"/>
        <w:ind w:left="420" w:firstLine="0" w:firstLineChars="0"/>
        <w:rPr>
          <w:rFonts w:eastAsia="仿宋_GB2312"/>
          <w:color w:val="000000"/>
          <w:sz w:val="32"/>
          <w:szCs w:val="32"/>
        </w:rPr>
      </w:pPr>
      <w:r>
        <w:rPr>
          <w:rFonts w:hint="eastAsia" w:eastAsia="仿宋_GB2312"/>
          <w:color w:val="000000"/>
          <w:sz w:val="32"/>
          <w:szCs w:val="32"/>
        </w:rPr>
        <w:t>7、义务教育转移支付收入20296万元，比上年减少6711万元，降低25%，主要原因是根据谨慎性原则部分一次性补助未纳入当年预算安排；</w:t>
      </w:r>
    </w:p>
    <w:p>
      <w:pPr>
        <w:pStyle w:val="8"/>
        <w:spacing w:line="600" w:lineRule="exact"/>
        <w:ind w:left="420" w:firstLine="0" w:firstLineChars="0"/>
        <w:rPr>
          <w:rFonts w:eastAsia="仿宋_GB2312"/>
          <w:color w:val="000000"/>
          <w:sz w:val="32"/>
          <w:szCs w:val="32"/>
        </w:rPr>
      </w:pPr>
      <w:r>
        <w:rPr>
          <w:rFonts w:hint="eastAsia" w:eastAsia="仿宋_GB2312"/>
          <w:color w:val="000000"/>
          <w:sz w:val="32"/>
          <w:szCs w:val="32"/>
        </w:rPr>
        <w:t>8、基本养老金转移支付收入20151万元，比上年减少7745万元，降低28%，主要原因是上年一次性调整部分未做基数纳入年初预算；</w:t>
      </w:r>
    </w:p>
    <w:p>
      <w:pPr>
        <w:pStyle w:val="8"/>
        <w:spacing w:line="600" w:lineRule="exact"/>
        <w:ind w:left="420" w:firstLine="0" w:firstLineChars="0"/>
        <w:rPr>
          <w:rFonts w:eastAsia="仿宋_GB2312"/>
          <w:color w:val="000000"/>
          <w:sz w:val="32"/>
          <w:szCs w:val="32"/>
        </w:rPr>
      </w:pPr>
      <w:r>
        <w:rPr>
          <w:rFonts w:hint="eastAsia" w:eastAsia="仿宋_GB2312"/>
          <w:color w:val="000000"/>
          <w:sz w:val="32"/>
          <w:szCs w:val="32"/>
        </w:rPr>
        <w:t>9、城乡居民医疗保险转移支付收入28704万元，比上年减少4165万元，降低13%，主要原因是上年一次性调整部分未做基数纳入年初预算；</w:t>
      </w:r>
    </w:p>
    <w:p>
      <w:pPr>
        <w:pStyle w:val="8"/>
        <w:spacing w:line="600" w:lineRule="exact"/>
        <w:ind w:left="420" w:firstLine="0" w:firstLineChars="0"/>
        <w:rPr>
          <w:rFonts w:eastAsia="仿宋_GB2312"/>
          <w:color w:val="000000"/>
          <w:sz w:val="32"/>
          <w:szCs w:val="32"/>
        </w:rPr>
      </w:pPr>
      <w:r>
        <w:rPr>
          <w:rFonts w:hint="eastAsia" w:eastAsia="仿宋_GB2312"/>
          <w:color w:val="000000"/>
          <w:sz w:val="32"/>
          <w:szCs w:val="32"/>
        </w:rPr>
        <w:t>10、农村综合改革转移支付收入3857万元，比上年减少720万元，降低16%，主要原因是上年一次性调整部分未做基数纳入年初预算；</w:t>
      </w:r>
    </w:p>
    <w:p>
      <w:pPr>
        <w:pStyle w:val="8"/>
        <w:spacing w:line="600" w:lineRule="exact"/>
        <w:ind w:left="420" w:firstLine="0" w:firstLineChars="0"/>
        <w:rPr>
          <w:rFonts w:eastAsia="仿宋_GB2312"/>
          <w:color w:val="000000"/>
          <w:sz w:val="32"/>
          <w:szCs w:val="32"/>
        </w:rPr>
      </w:pPr>
      <w:r>
        <w:rPr>
          <w:rFonts w:hint="eastAsia" w:eastAsia="仿宋_GB2312"/>
          <w:color w:val="000000"/>
          <w:sz w:val="32"/>
          <w:szCs w:val="32"/>
        </w:rPr>
        <w:t>11、产粮油大县奖励转移支付收入2433万元，比上年增加703万元，增长41%，主要原因是将上年调出部分仍列入本年预算；</w:t>
      </w:r>
    </w:p>
    <w:p>
      <w:pPr>
        <w:pStyle w:val="8"/>
        <w:spacing w:line="600" w:lineRule="exact"/>
        <w:ind w:left="420" w:firstLine="0" w:firstLineChars="0"/>
        <w:rPr>
          <w:rFonts w:eastAsia="仿宋_GB2312"/>
          <w:color w:val="000000"/>
          <w:sz w:val="32"/>
          <w:szCs w:val="32"/>
        </w:rPr>
      </w:pPr>
      <w:r>
        <w:rPr>
          <w:rFonts w:hint="eastAsia" w:eastAsia="仿宋_GB2312"/>
          <w:color w:val="000000"/>
          <w:sz w:val="32"/>
          <w:szCs w:val="32"/>
        </w:rPr>
        <w:t>12、重点生态功能区转移支付收入4693万元，比上年减少351万元，降低减少6.9%，减少原因上年增量部分未列入本年预算；</w:t>
      </w:r>
    </w:p>
    <w:p>
      <w:pPr>
        <w:widowControl/>
        <w:spacing w:before="100" w:beforeAutospacing="1" w:after="100" w:afterAutospacing="1" w:line="390" w:lineRule="atLeast"/>
        <w:jc w:val="left"/>
        <w:rPr>
          <w:rFonts w:eastAsia="仿宋_GB2312"/>
          <w:color w:val="000000"/>
          <w:sz w:val="32"/>
          <w:szCs w:val="32"/>
        </w:rPr>
      </w:pPr>
      <w:r>
        <w:rPr>
          <w:rFonts w:hint="eastAsia" w:eastAsia="仿宋_GB2312"/>
          <w:color w:val="000000"/>
          <w:sz w:val="32"/>
          <w:szCs w:val="32"/>
        </w:rPr>
        <w:t>13、固定数额补助转移支付收入14528万元，比上年减少1131万元，降低7.2%；</w:t>
      </w:r>
    </w:p>
    <w:p>
      <w:pPr>
        <w:widowControl/>
        <w:spacing w:before="100" w:beforeAutospacing="1" w:after="100" w:afterAutospacing="1" w:line="390" w:lineRule="atLeast"/>
        <w:jc w:val="left"/>
        <w:rPr>
          <w:rFonts w:eastAsia="仿宋_GB2312"/>
          <w:color w:val="000000"/>
          <w:sz w:val="32"/>
          <w:szCs w:val="32"/>
        </w:rPr>
      </w:pPr>
      <w:r>
        <w:rPr>
          <w:rFonts w:hint="eastAsia" w:eastAsia="仿宋_GB2312"/>
          <w:color w:val="000000"/>
          <w:sz w:val="32"/>
          <w:szCs w:val="32"/>
        </w:rPr>
        <w:t>14、革命老区转移支付收入180万元，与上年增长持平；</w:t>
      </w:r>
    </w:p>
    <w:p>
      <w:pPr>
        <w:widowControl/>
        <w:spacing w:before="100" w:beforeAutospacing="1" w:after="100" w:afterAutospacing="1" w:line="390" w:lineRule="atLeast"/>
        <w:jc w:val="left"/>
        <w:rPr>
          <w:rFonts w:eastAsia="仿宋_GB2312"/>
          <w:color w:val="000000"/>
          <w:sz w:val="32"/>
          <w:szCs w:val="32"/>
        </w:rPr>
      </w:pPr>
      <w:r>
        <w:rPr>
          <w:rFonts w:hint="eastAsia" w:eastAsia="仿宋_GB2312"/>
          <w:color w:val="000000"/>
          <w:sz w:val="32"/>
          <w:szCs w:val="32"/>
        </w:rPr>
        <w:t>15、贫困地区转移支付收入5169万元，比上年减少14320万元，降低73%，主要剔除了上年一次性补助等因素；</w:t>
      </w:r>
    </w:p>
    <w:p>
      <w:pPr>
        <w:widowControl/>
        <w:spacing w:before="100" w:beforeAutospacing="1" w:after="100" w:afterAutospacing="1" w:line="390" w:lineRule="atLeast"/>
        <w:jc w:val="left"/>
        <w:rPr>
          <w:rFonts w:eastAsia="仿宋_GB2312"/>
          <w:color w:val="000000"/>
          <w:sz w:val="32"/>
          <w:szCs w:val="32"/>
        </w:rPr>
      </w:pPr>
      <w:r>
        <w:rPr>
          <w:rFonts w:hint="eastAsia" w:eastAsia="仿宋_GB2312"/>
          <w:color w:val="000000"/>
          <w:sz w:val="32"/>
          <w:szCs w:val="32"/>
        </w:rPr>
        <w:t>16、其他一般性转移支付收入10177万元，比上年减少15753万元，降低60%，主要是上年一次性项目在本年度不可持续，未纳入本年预算。</w:t>
      </w:r>
    </w:p>
    <w:p>
      <w:pPr>
        <w:spacing w:line="580" w:lineRule="exact"/>
        <w:ind w:firstLine="640" w:firstLineChars="200"/>
        <w:rPr>
          <w:rFonts w:eastAsia="仿宋_GB2312"/>
          <w:color w:val="000000"/>
          <w:sz w:val="32"/>
          <w:szCs w:val="32"/>
        </w:rPr>
      </w:pPr>
      <w:r>
        <w:rPr>
          <w:rFonts w:eastAsia="仿宋_GB2312"/>
          <w:color w:val="000000"/>
          <w:sz w:val="32"/>
          <w:szCs w:val="32"/>
        </w:rPr>
        <w:t>（三）专项转移支付</w:t>
      </w:r>
    </w:p>
    <w:p>
      <w:pPr>
        <w:spacing w:line="580" w:lineRule="exact"/>
        <w:ind w:firstLine="640" w:firstLineChars="200"/>
        <w:rPr>
          <w:rFonts w:eastAsia="仿宋_GB2312"/>
          <w:color w:val="000000"/>
          <w:sz w:val="32"/>
          <w:szCs w:val="32"/>
        </w:rPr>
      </w:pPr>
      <w:r>
        <w:rPr>
          <w:rFonts w:eastAsia="仿宋_GB2312"/>
          <w:color w:val="000000"/>
          <w:sz w:val="32"/>
          <w:szCs w:val="32"/>
        </w:rPr>
        <w:t>专项转移支付</w:t>
      </w:r>
      <w:r>
        <w:rPr>
          <w:rFonts w:hint="eastAsia" w:eastAsia="仿宋_GB2312"/>
          <w:color w:val="000000"/>
          <w:sz w:val="32"/>
          <w:szCs w:val="32"/>
        </w:rPr>
        <w:t>33143万元</w:t>
      </w:r>
      <w:r>
        <w:rPr>
          <w:rFonts w:eastAsia="仿宋_GB2312"/>
          <w:color w:val="000000"/>
          <w:sz w:val="32"/>
          <w:szCs w:val="32"/>
        </w:rPr>
        <w:t>，比上年增增加（减少）</w:t>
      </w:r>
      <w:r>
        <w:rPr>
          <w:rFonts w:hint="eastAsia" w:eastAsia="仿宋_GB2312"/>
          <w:color w:val="000000"/>
          <w:sz w:val="32"/>
          <w:szCs w:val="32"/>
        </w:rPr>
        <w:t>49177万元</w:t>
      </w:r>
      <w:r>
        <w:rPr>
          <w:rFonts w:eastAsia="仿宋_GB2312"/>
          <w:color w:val="000000"/>
          <w:sz w:val="32"/>
          <w:szCs w:val="32"/>
        </w:rPr>
        <w:t>，降低</w:t>
      </w:r>
      <w:r>
        <w:rPr>
          <w:rFonts w:hint="eastAsia" w:eastAsia="仿宋_GB2312"/>
          <w:color w:val="000000"/>
          <w:sz w:val="32"/>
          <w:szCs w:val="32"/>
        </w:rPr>
        <w:t>59.74%</w:t>
      </w:r>
      <w:r>
        <w:rPr>
          <w:rFonts w:eastAsia="仿宋_GB2312"/>
          <w:color w:val="000000"/>
          <w:sz w:val="32"/>
          <w:szCs w:val="32"/>
        </w:rPr>
        <w:t>，主要是</w:t>
      </w:r>
      <w:r>
        <w:rPr>
          <w:rFonts w:hint="eastAsia" w:eastAsia="仿宋_GB2312"/>
          <w:color w:val="000000"/>
          <w:sz w:val="32"/>
          <w:szCs w:val="32"/>
        </w:rPr>
        <w:t>上年一次性补助收入未列入当年预算</w:t>
      </w:r>
      <w:r>
        <w:rPr>
          <w:rFonts w:eastAsia="仿宋_GB2312"/>
          <w:color w:val="000000"/>
          <w:sz w:val="32"/>
          <w:szCs w:val="32"/>
        </w:rPr>
        <w:t>。其中：</w:t>
      </w:r>
    </w:p>
    <w:p>
      <w:pPr>
        <w:widowControl/>
        <w:numPr>
          <w:ilvl w:val="0"/>
          <w:numId w:val="1"/>
        </w:numPr>
        <w:spacing w:before="100" w:beforeAutospacing="1" w:after="100" w:afterAutospacing="1" w:line="390" w:lineRule="atLeast"/>
        <w:ind w:firstLine="960"/>
        <w:jc w:val="left"/>
        <w:rPr>
          <w:rFonts w:eastAsia="仿宋_GB2312"/>
          <w:color w:val="000000"/>
          <w:sz w:val="32"/>
          <w:szCs w:val="32"/>
        </w:rPr>
      </w:pPr>
      <w:r>
        <w:rPr>
          <w:rFonts w:hint="eastAsia" w:eastAsia="仿宋_GB2312"/>
          <w:color w:val="000000"/>
          <w:sz w:val="32"/>
          <w:szCs w:val="32"/>
        </w:rPr>
        <w:t>一般公共服务支出专项转移支付收入60万元，比上年减少1489万元，降低96.13%，</w:t>
      </w:r>
      <w:r>
        <w:rPr>
          <w:rFonts w:eastAsia="仿宋_GB2312"/>
          <w:color w:val="000000"/>
          <w:sz w:val="32"/>
          <w:szCs w:val="32"/>
        </w:rPr>
        <w:t>主要</w:t>
      </w:r>
      <w:r>
        <w:rPr>
          <w:rFonts w:hint="eastAsia" w:eastAsia="仿宋_GB2312"/>
          <w:color w:val="000000"/>
          <w:sz w:val="32"/>
          <w:szCs w:val="32"/>
        </w:rPr>
        <w:t>原因</w:t>
      </w:r>
      <w:r>
        <w:rPr>
          <w:rFonts w:eastAsia="仿宋_GB2312"/>
          <w:color w:val="000000"/>
          <w:sz w:val="32"/>
          <w:szCs w:val="32"/>
        </w:rPr>
        <w:t>是</w:t>
      </w:r>
      <w:r>
        <w:rPr>
          <w:rFonts w:hint="eastAsia" w:eastAsia="仿宋_GB2312"/>
          <w:color w:val="000000"/>
          <w:sz w:val="32"/>
          <w:szCs w:val="32"/>
        </w:rPr>
        <w:t>上年一次性补助收入未列入当年预算；</w:t>
      </w:r>
    </w:p>
    <w:p>
      <w:pPr>
        <w:widowControl/>
        <w:numPr>
          <w:ilvl w:val="0"/>
          <w:numId w:val="1"/>
        </w:numPr>
        <w:spacing w:before="100" w:beforeAutospacing="1" w:after="100" w:afterAutospacing="1" w:line="390" w:lineRule="atLeast"/>
        <w:ind w:firstLine="960" w:firstLineChars="300"/>
        <w:jc w:val="left"/>
        <w:rPr>
          <w:rFonts w:eastAsia="仿宋_GB2312"/>
          <w:color w:val="000000"/>
          <w:sz w:val="32"/>
          <w:szCs w:val="32"/>
        </w:rPr>
      </w:pPr>
      <w:r>
        <w:rPr>
          <w:rFonts w:hint="eastAsia" w:eastAsia="仿宋_GB2312"/>
          <w:color w:val="000000"/>
          <w:sz w:val="32"/>
          <w:szCs w:val="32"/>
        </w:rPr>
        <w:t>公共安全支出专项转移支付收入8万元，比上年减少557万元，降低98.58%；</w:t>
      </w:r>
      <w:bookmarkStart w:id="0" w:name="_Hlk73815293"/>
      <w:r>
        <w:rPr>
          <w:rFonts w:eastAsia="仿宋_GB2312"/>
          <w:color w:val="000000"/>
          <w:sz w:val="32"/>
          <w:szCs w:val="32"/>
        </w:rPr>
        <w:t>主要</w:t>
      </w:r>
      <w:r>
        <w:rPr>
          <w:rFonts w:hint="eastAsia" w:eastAsia="仿宋_GB2312"/>
          <w:color w:val="000000"/>
          <w:sz w:val="32"/>
          <w:szCs w:val="32"/>
        </w:rPr>
        <w:t>原因</w:t>
      </w:r>
      <w:r>
        <w:rPr>
          <w:rFonts w:eastAsia="仿宋_GB2312"/>
          <w:color w:val="000000"/>
          <w:sz w:val="32"/>
          <w:szCs w:val="32"/>
        </w:rPr>
        <w:t>是</w:t>
      </w:r>
      <w:r>
        <w:rPr>
          <w:rFonts w:hint="eastAsia" w:eastAsia="仿宋_GB2312"/>
          <w:color w:val="000000"/>
          <w:sz w:val="32"/>
          <w:szCs w:val="32"/>
        </w:rPr>
        <w:t>上年一次性补助收入未列入当年预算；</w:t>
      </w:r>
    </w:p>
    <w:bookmarkEnd w:id="0"/>
    <w:p>
      <w:pPr>
        <w:widowControl/>
        <w:numPr>
          <w:ilvl w:val="0"/>
          <w:numId w:val="1"/>
        </w:numPr>
        <w:spacing w:before="100" w:beforeAutospacing="1" w:after="100" w:afterAutospacing="1" w:line="390" w:lineRule="atLeast"/>
        <w:ind w:firstLine="960" w:firstLineChars="300"/>
        <w:jc w:val="left"/>
        <w:rPr>
          <w:rFonts w:eastAsia="仿宋_GB2312"/>
          <w:color w:val="000000"/>
          <w:sz w:val="32"/>
          <w:szCs w:val="32"/>
        </w:rPr>
      </w:pPr>
      <w:r>
        <w:rPr>
          <w:rFonts w:hint="eastAsia" w:eastAsia="仿宋_GB2312"/>
          <w:color w:val="000000"/>
          <w:sz w:val="32"/>
          <w:szCs w:val="32"/>
        </w:rPr>
        <w:t>教育支出专项转移支付收入6102万元，比上年减少3945万元，降低39.26%，</w:t>
      </w:r>
      <w:r>
        <w:rPr>
          <w:rFonts w:eastAsia="仿宋_GB2312"/>
          <w:color w:val="000000"/>
          <w:sz w:val="32"/>
          <w:szCs w:val="32"/>
        </w:rPr>
        <w:t>主要</w:t>
      </w:r>
      <w:r>
        <w:rPr>
          <w:rFonts w:hint="eastAsia" w:eastAsia="仿宋_GB2312"/>
          <w:color w:val="000000"/>
          <w:sz w:val="32"/>
          <w:szCs w:val="32"/>
        </w:rPr>
        <w:t>原因</w:t>
      </w:r>
      <w:r>
        <w:rPr>
          <w:rFonts w:eastAsia="仿宋_GB2312"/>
          <w:color w:val="000000"/>
          <w:sz w:val="32"/>
          <w:szCs w:val="32"/>
        </w:rPr>
        <w:t>是</w:t>
      </w:r>
      <w:r>
        <w:rPr>
          <w:rFonts w:hint="eastAsia" w:eastAsia="仿宋_GB2312"/>
          <w:color w:val="000000"/>
          <w:sz w:val="32"/>
          <w:szCs w:val="32"/>
        </w:rPr>
        <w:t>上年一次性补助收入未列入当年预算；</w:t>
      </w:r>
    </w:p>
    <w:p>
      <w:pPr>
        <w:widowControl/>
        <w:numPr>
          <w:ilvl w:val="0"/>
          <w:numId w:val="1"/>
        </w:numPr>
        <w:spacing w:before="100" w:beforeAutospacing="1" w:after="100" w:afterAutospacing="1" w:line="390" w:lineRule="atLeast"/>
        <w:ind w:firstLine="960" w:firstLineChars="300"/>
        <w:jc w:val="left"/>
        <w:rPr>
          <w:rFonts w:eastAsia="仿宋_GB2312"/>
          <w:color w:val="000000"/>
          <w:sz w:val="32"/>
          <w:szCs w:val="32"/>
        </w:rPr>
      </w:pPr>
      <w:r>
        <w:rPr>
          <w:rFonts w:hint="eastAsia" w:eastAsia="仿宋_GB2312"/>
          <w:color w:val="000000"/>
          <w:sz w:val="32"/>
          <w:szCs w:val="32"/>
        </w:rPr>
        <w:t>科学技术支出专项转移支付收入100元，比上年减少419万元，降低80.73%，</w:t>
      </w:r>
      <w:r>
        <w:rPr>
          <w:rFonts w:eastAsia="仿宋_GB2312"/>
          <w:color w:val="000000"/>
          <w:sz w:val="32"/>
          <w:szCs w:val="32"/>
        </w:rPr>
        <w:t>主要</w:t>
      </w:r>
      <w:r>
        <w:rPr>
          <w:rFonts w:hint="eastAsia" w:eastAsia="仿宋_GB2312"/>
          <w:color w:val="000000"/>
          <w:sz w:val="32"/>
          <w:szCs w:val="32"/>
        </w:rPr>
        <w:t>原因</w:t>
      </w:r>
      <w:r>
        <w:rPr>
          <w:rFonts w:eastAsia="仿宋_GB2312"/>
          <w:color w:val="000000"/>
          <w:sz w:val="32"/>
          <w:szCs w:val="32"/>
        </w:rPr>
        <w:t>是</w:t>
      </w:r>
      <w:r>
        <w:rPr>
          <w:rFonts w:hint="eastAsia" w:eastAsia="仿宋_GB2312"/>
          <w:color w:val="000000"/>
          <w:sz w:val="32"/>
          <w:szCs w:val="32"/>
        </w:rPr>
        <w:t>上年一次性补助收入未列入当年预算；</w:t>
      </w:r>
    </w:p>
    <w:p>
      <w:pPr>
        <w:widowControl/>
        <w:numPr>
          <w:ilvl w:val="0"/>
          <w:numId w:val="1"/>
        </w:numPr>
        <w:spacing w:before="100" w:beforeAutospacing="1" w:after="100" w:afterAutospacing="1" w:line="390" w:lineRule="atLeast"/>
        <w:ind w:firstLine="960" w:firstLineChars="300"/>
        <w:jc w:val="left"/>
        <w:rPr>
          <w:rFonts w:eastAsia="仿宋_GB2312"/>
          <w:color w:val="000000"/>
          <w:sz w:val="32"/>
          <w:szCs w:val="32"/>
        </w:rPr>
      </w:pPr>
      <w:r>
        <w:rPr>
          <w:rFonts w:hint="eastAsia" w:eastAsia="仿宋_GB2312"/>
          <w:color w:val="000000"/>
          <w:sz w:val="32"/>
          <w:szCs w:val="32"/>
        </w:rPr>
        <w:t>文化体育与传媒支出专项转移支付收入27万元，比上年减少1255万元，降低97.89%，</w:t>
      </w:r>
      <w:r>
        <w:rPr>
          <w:rFonts w:eastAsia="仿宋_GB2312"/>
          <w:color w:val="000000"/>
          <w:sz w:val="32"/>
          <w:szCs w:val="32"/>
        </w:rPr>
        <w:t>主要</w:t>
      </w:r>
      <w:r>
        <w:rPr>
          <w:rFonts w:hint="eastAsia" w:eastAsia="仿宋_GB2312"/>
          <w:color w:val="000000"/>
          <w:sz w:val="32"/>
          <w:szCs w:val="32"/>
        </w:rPr>
        <w:t>原因</w:t>
      </w:r>
      <w:r>
        <w:rPr>
          <w:rFonts w:eastAsia="仿宋_GB2312"/>
          <w:color w:val="000000"/>
          <w:sz w:val="32"/>
          <w:szCs w:val="32"/>
        </w:rPr>
        <w:t>是</w:t>
      </w:r>
      <w:r>
        <w:rPr>
          <w:rFonts w:hint="eastAsia" w:eastAsia="仿宋_GB2312"/>
          <w:color w:val="000000"/>
          <w:sz w:val="32"/>
          <w:szCs w:val="32"/>
        </w:rPr>
        <w:t>上年一次性补助收入未列入当年预算；</w:t>
      </w:r>
    </w:p>
    <w:p>
      <w:pPr>
        <w:widowControl/>
        <w:numPr>
          <w:ilvl w:val="0"/>
          <w:numId w:val="1"/>
        </w:numPr>
        <w:spacing w:before="100" w:beforeAutospacing="1" w:after="100" w:afterAutospacing="1" w:line="390" w:lineRule="atLeast"/>
        <w:ind w:firstLine="960" w:firstLineChars="300"/>
        <w:jc w:val="left"/>
        <w:rPr>
          <w:rFonts w:eastAsia="仿宋_GB2312"/>
          <w:color w:val="000000"/>
          <w:sz w:val="32"/>
          <w:szCs w:val="32"/>
        </w:rPr>
      </w:pPr>
      <w:r>
        <w:rPr>
          <w:rFonts w:hint="eastAsia" w:eastAsia="仿宋_GB2312"/>
          <w:color w:val="000000"/>
          <w:sz w:val="32"/>
          <w:szCs w:val="32"/>
        </w:rPr>
        <w:t>社会保障和就业支出专项转移支付收入4658万元，比上年减少3820万元，降低45.05%，</w:t>
      </w:r>
      <w:r>
        <w:rPr>
          <w:rFonts w:eastAsia="仿宋_GB2312"/>
          <w:color w:val="000000"/>
          <w:sz w:val="32"/>
          <w:szCs w:val="32"/>
        </w:rPr>
        <w:t>主要</w:t>
      </w:r>
      <w:r>
        <w:rPr>
          <w:rFonts w:hint="eastAsia" w:eastAsia="仿宋_GB2312"/>
          <w:color w:val="000000"/>
          <w:sz w:val="32"/>
          <w:szCs w:val="32"/>
        </w:rPr>
        <w:t>原因</w:t>
      </w:r>
      <w:r>
        <w:rPr>
          <w:rFonts w:eastAsia="仿宋_GB2312"/>
          <w:color w:val="000000"/>
          <w:sz w:val="32"/>
          <w:szCs w:val="32"/>
        </w:rPr>
        <w:t>是</w:t>
      </w:r>
      <w:r>
        <w:rPr>
          <w:rFonts w:hint="eastAsia" w:eastAsia="仿宋_GB2312"/>
          <w:color w:val="000000"/>
          <w:sz w:val="32"/>
          <w:szCs w:val="32"/>
        </w:rPr>
        <w:t>上年一次性补助收入未列入当年预算；</w:t>
      </w:r>
    </w:p>
    <w:p>
      <w:pPr>
        <w:widowControl/>
        <w:numPr>
          <w:ilvl w:val="0"/>
          <w:numId w:val="1"/>
        </w:numPr>
        <w:spacing w:before="100" w:beforeAutospacing="1" w:after="100" w:afterAutospacing="1" w:line="390" w:lineRule="atLeast"/>
        <w:ind w:firstLine="960" w:firstLineChars="300"/>
        <w:jc w:val="left"/>
        <w:rPr>
          <w:rFonts w:eastAsia="仿宋_GB2312"/>
          <w:color w:val="000000"/>
          <w:sz w:val="32"/>
          <w:szCs w:val="32"/>
        </w:rPr>
      </w:pPr>
      <w:r>
        <w:rPr>
          <w:rFonts w:hint="eastAsia" w:eastAsia="仿宋_GB2312"/>
          <w:color w:val="000000"/>
          <w:sz w:val="32"/>
          <w:szCs w:val="32"/>
        </w:rPr>
        <w:t>卫生健康支出专项转移支付收入4867万元，比上年减少3468万元，降低41.6%，</w:t>
      </w:r>
      <w:r>
        <w:rPr>
          <w:rFonts w:eastAsia="仿宋_GB2312"/>
          <w:color w:val="000000"/>
          <w:sz w:val="32"/>
          <w:szCs w:val="32"/>
        </w:rPr>
        <w:t>主要</w:t>
      </w:r>
      <w:r>
        <w:rPr>
          <w:rFonts w:hint="eastAsia" w:eastAsia="仿宋_GB2312"/>
          <w:color w:val="000000"/>
          <w:sz w:val="32"/>
          <w:szCs w:val="32"/>
        </w:rPr>
        <w:t>原因</w:t>
      </w:r>
      <w:r>
        <w:rPr>
          <w:rFonts w:eastAsia="仿宋_GB2312"/>
          <w:color w:val="000000"/>
          <w:sz w:val="32"/>
          <w:szCs w:val="32"/>
        </w:rPr>
        <w:t>是</w:t>
      </w:r>
      <w:r>
        <w:rPr>
          <w:rFonts w:hint="eastAsia" w:eastAsia="仿宋_GB2312"/>
          <w:color w:val="000000"/>
          <w:sz w:val="32"/>
          <w:szCs w:val="32"/>
        </w:rPr>
        <w:t>上年一次性补助收入未列入当年预算；</w:t>
      </w:r>
    </w:p>
    <w:p>
      <w:pPr>
        <w:widowControl/>
        <w:numPr>
          <w:ilvl w:val="0"/>
          <w:numId w:val="1"/>
        </w:numPr>
        <w:spacing w:before="100" w:beforeAutospacing="1" w:after="100" w:afterAutospacing="1" w:line="390" w:lineRule="atLeast"/>
        <w:ind w:firstLine="960" w:firstLineChars="300"/>
        <w:jc w:val="left"/>
        <w:rPr>
          <w:rFonts w:eastAsia="仿宋_GB2312"/>
          <w:color w:val="000000"/>
          <w:sz w:val="32"/>
          <w:szCs w:val="32"/>
        </w:rPr>
      </w:pPr>
      <w:r>
        <w:rPr>
          <w:rFonts w:hint="eastAsia" w:eastAsia="仿宋_GB2312"/>
          <w:color w:val="000000"/>
          <w:sz w:val="32"/>
          <w:szCs w:val="32"/>
        </w:rPr>
        <w:t>节能环保支出专项转移支付收入1449万元，比上年减少2486万元，降低63.17%，</w:t>
      </w:r>
      <w:r>
        <w:rPr>
          <w:rFonts w:eastAsia="仿宋_GB2312"/>
          <w:color w:val="000000"/>
          <w:sz w:val="32"/>
          <w:szCs w:val="32"/>
        </w:rPr>
        <w:t>主要</w:t>
      </w:r>
      <w:r>
        <w:rPr>
          <w:rFonts w:hint="eastAsia" w:eastAsia="仿宋_GB2312"/>
          <w:color w:val="000000"/>
          <w:sz w:val="32"/>
          <w:szCs w:val="32"/>
        </w:rPr>
        <w:t>原因</w:t>
      </w:r>
      <w:r>
        <w:rPr>
          <w:rFonts w:eastAsia="仿宋_GB2312"/>
          <w:color w:val="000000"/>
          <w:sz w:val="32"/>
          <w:szCs w:val="32"/>
        </w:rPr>
        <w:t>是</w:t>
      </w:r>
      <w:r>
        <w:rPr>
          <w:rFonts w:hint="eastAsia" w:eastAsia="仿宋_GB2312"/>
          <w:color w:val="000000"/>
          <w:sz w:val="32"/>
          <w:szCs w:val="32"/>
        </w:rPr>
        <w:t>上年一次性补助收入未列入当年预算；</w:t>
      </w:r>
    </w:p>
    <w:p>
      <w:pPr>
        <w:widowControl/>
        <w:numPr>
          <w:ilvl w:val="0"/>
          <w:numId w:val="1"/>
        </w:numPr>
        <w:spacing w:before="100" w:beforeAutospacing="1" w:after="100" w:afterAutospacing="1" w:line="390" w:lineRule="atLeast"/>
        <w:ind w:firstLine="960" w:firstLineChars="300"/>
        <w:jc w:val="left"/>
        <w:rPr>
          <w:rFonts w:eastAsia="仿宋_GB2312"/>
          <w:color w:val="000000"/>
          <w:sz w:val="32"/>
          <w:szCs w:val="32"/>
        </w:rPr>
      </w:pPr>
      <w:r>
        <w:rPr>
          <w:rFonts w:hint="eastAsia" w:eastAsia="仿宋_GB2312"/>
          <w:color w:val="000000"/>
          <w:sz w:val="32"/>
          <w:szCs w:val="32"/>
        </w:rPr>
        <w:t>城乡社区支出专项转移支付收入20万元，比上年减少419万元，降低95.44%，主要原因是上年一次性补助收入未列入当年预算；</w:t>
      </w:r>
    </w:p>
    <w:p>
      <w:pPr>
        <w:widowControl/>
        <w:numPr>
          <w:ilvl w:val="0"/>
          <w:numId w:val="1"/>
        </w:numPr>
        <w:spacing w:before="100" w:beforeAutospacing="1" w:after="100" w:afterAutospacing="1" w:line="390" w:lineRule="atLeast"/>
        <w:ind w:firstLine="960" w:firstLineChars="300"/>
        <w:jc w:val="left"/>
        <w:rPr>
          <w:rFonts w:eastAsia="仿宋_GB2312"/>
          <w:color w:val="000000"/>
          <w:sz w:val="32"/>
          <w:szCs w:val="32"/>
        </w:rPr>
      </w:pPr>
      <w:r>
        <w:rPr>
          <w:rFonts w:hint="eastAsia" w:eastAsia="仿宋_GB2312"/>
          <w:color w:val="000000"/>
          <w:sz w:val="32"/>
          <w:szCs w:val="32"/>
        </w:rPr>
        <w:t>农林水支出专项转移支付收入10684万元，比上年减少20513万元，降低65.75%，</w:t>
      </w:r>
      <w:r>
        <w:rPr>
          <w:rFonts w:eastAsia="仿宋_GB2312"/>
          <w:color w:val="000000"/>
          <w:sz w:val="32"/>
          <w:szCs w:val="32"/>
        </w:rPr>
        <w:t>主要</w:t>
      </w:r>
      <w:r>
        <w:rPr>
          <w:rFonts w:hint="eastAsia" w:eastAsia="仿宋_GB2312"/>
          <w:color w:val="000000"/>
          <w:sz w:val="32"/>
          <w:szCs w:val="32"/>
        </w:rPr>
        <w:t>原因</w:t>
      </w:r>
      <w:r>
        <w:rPr>
          <w:rFonts w:eastAsia="仿宋_GB2312"/>
          <w:color w:val="000000"/>
          <w:sz w:val="32"/>
          <w:szCs w:val="32"/>
        </w:rPr>
        <w:t>是</w:t>
      </w:r>
      <w:r>
        <w:rPr>
          <w:rFonts w:hint="eastAsia" w:eastAsia="仿宋_GB2312"/>
          <w:color w:val="000000"/>
          <w:sz w:val="32"/>
          <w:szCs w:val="32"/>
        </w:rPr>
        <w:t>上年一次性补助收入未列入当年预算；</w:t>
      </w:r>
    </w:p>
    <w:p>
      <w:pPr>
        <w:widowControl/>
        <w:numPr>
          <w:ilvl w:val="0"/>
          <w:numId w:val="1"/>
        </w:numPr>
        <w:spacing w:before="100" w:beforeAutospacing="1" w:after="100" w:afterAutospacing="1" w:line="390" w:lineRule="atLeast"/>
        <w:ind w:firstLine="960" w:firstLineChars="300"/>
        <w:jc w:val="left"/>
        <w:rPr>
          <w:rFonts w:eastAsia="仿宋_GB2312"/>
          <w:color w:val="000000"/>
          <w:sz w:val="32"/>
          <w:szCs w:val="32"/>
        </w:rPr>
      </w:pPr>
      <w:r>
        <w:rPr>
          <w:rFonts w:hint="eastAsia" w:eastAsia="仿宋_GB2312"/>
          <w:color w:val="000000"/>
          <w:sz w:val="32"/>
          <w:szCs w:val="32"/>
        </w:rPr>
        <w:t>交通运输支出专项转移支付收入3031万元，比上年减少2056万元，降低40.42%，</w:t>
      </w:r>
      <w:r>
        <w:rPr>
          <w:rFonts w:eastAsia="仿宋_GB2312"/>
          <w:color w:val="000000"/>
          <w:sz w:val="32"/>
          <w:szCs w:val="32"/>
        </w:rPr>
        <w:t>主要</w:t>
      </w:r>
      <w:r>
        <w:rPr>
          <w:rFonts w:hint="eastAsia" w:eastAsia="仿宋_GB2312"/>
          <w:color w:val="000000"/>
          <w:sz w:val="32"/>
          <w:szCs w:val="32"/>
        </w:rPr>
        <w:t>原因</w:t>
      </w:r>
      <w:r>
        <w:rPr>
          <w:rFonts w:eastAsia="仿宋_GB2312"/>
          <w:color w:val="000000"/>
          <w:sz w:val="32"/>
          <w:szCs w:val="32"/>
        </w:rPr>
        <w:t>是</w:t>
      </w:r>
      <w:r>
        <w:rPr>
          <w:rFonts w:hint="eastAsia" w:eastAsia="仿宋_GB2312"/>
          <w:color w:val="000000"/>
          <w:sz w:val="32"/>
          <w:szCs w:val="32"/>
        </w:rPr>
        <w:t>上年一次性补助收入未列入当年预算；</w:t>
      </w:r>
    </w:p>
    <w:p>
      <w:pPr>
        <w:widowControl/>
        <w:numPr>
          <w:ilvl w:val="0"/>
          <w:numId w:val="1"/>
        </w:numPr>
        <w:spacing w:before="100" w:beforeAutospacing="1" w:after="100" w:afterAutospacing="1" w:line="390" w:lineRule="atLeast"/>
        <w:ind w:firstLine="960" w:firstLineChars="300"/>
        <w:jc w:val="left"/>
        <w:rPr>
          <w:rFonts w:eastAsia="仿宋_GB2312"/>
          <w:color w:val="000000"/>
          <w:sz w:val="32"/>
          <w:szCs w:val="32"/>
        </w:rPr>
      </w:pPr>
      <w:r>
        <w:rPr>
          <w:rFonts w:hint="eastAsia" w:eastAsia="仿宋_GB2312"/>
          <w:color w:val="000000"/>
          <w:sz w:val="32"/>
          <w:szCs w:val="32"/>
        </w:rPr>
        <w:t>资源勘探信息支出专项转移支付收入为0,减少1075万元，</w:t>
      </w:r>
      <w:r>
        <w:rPr>
          <w:rFonts w:eastAsia="仿宋_GB2312"/>
          <w:color w:val="000000"/>
          <w:sz w:val="32"/>
          <w:szCs w:val="32"/>
        </w:rPr>
        <w:t>主要</w:t>
      </w:r>
      <w:r>
        <w:rPr>
          <w:rFonts w:hint="eastAsia" w:eastAsia="仿宋_GB2312"/>
          <w:color w:val="000000"/>
          <w:sz w:val="32"/>
          <w:szCs w:val="32"/>
        </w:rPr>
        <w:t>原因</w:t>
      </w:r>
      <w:r>
        <w:rPr>
          <w:rFonts w:eastAsia="仿宋_GB2312"/>
          <w:color w:val="000000"/>
          <w:sz w:val="32"/>
          <w:szCs w:val="32"/>
        </w:rPr>
        <w:t>是</w:t>
      </w:r>
      <w:r>
        <w:rPr>
          <w:rFonts w:hint="eastAsia" w:eastAsia="仿宋_GB2312"/>
          <w:color w:val="000000"/>
          <w:sz w:val="32"/>
          <w:szCs w:val="32"/>
        </w:rPr>
        <w:t>上年一次性补助收入未列入当年预算；</w:t>
      </w:r>
    </w:p>
    <w:p>
      <w:pPr>
        <w:widowControl/>
        <w:numPr>
          <w:ilvl w:val="0"/>
          <w:numId w:val="1"/>
        </w:numPr>
        <w:spacing w:before="100" w:beforeAutospacing="1" w:after="100" w:afterAutospacing="1" w:line="390" w:lineRule="atLeast"/>
        <w:ind w:firstLine="960" w:firstLineChars="300"/>
        <w:jc w:val="left"/>
        <w:rPr>
          <w:rFonts w:eastAsia="仿宋_GB2312"/>
          <w:color w:val="000000"/>
          <w:sz w:val="32"/>
          <w:szCs w:val="32"/>
        </w:rPr>
      </w:pPr>
      <w:r>
        <w:rPr>
          <w:rFonts w:hint="eastAsia" w:eastAsia="仿宋_GB2312"/>
          <w:color w:val="000000"/>
          <w:sz w:val="32"/>
          <w:szCs w:val="32"/>
        </w:rPr>
        <w:t>商业服务业支出专项转移支付收入为0，减少793万元，</w:t>
      </w:r>
      <w:r>
        <w:rPr>
          <w:rFonts w:eastAsia="仿宋_GB2312"/>
          <w:color w:val="000000"/>
          <w:sz w:val="32"/>
          <w:szCs w:val="32"/>
        </w:rPr>
        <w:t>主要</w:t>
      </w:r>
      <w:r>
        <w:rPr>
          <w:rFonts w:hint="eastAsia" w:eastAsia="仿宋_GB2312"/>
          <w:color w:val="000000"/>
          <w:sz w:val="32"/>
          <w:szCs w:val="32"/>
        </w:rPr>
        <w:t>原因</w:t>
      </w:r>
      <w:r>
        <w:rPr>
          <w:rFonts w:eastAsia="仿宋_GB2312"/>
          <w:color w:val="000000"/>
          <w:sz w:val="32"/>
          <w:szCs w:val="32"/>
        </w:rPr>
        <w:t>是</w:t>
      </w:r>
      <w:r>
        <w:rPr>
          <w:rFonts w:hint="eastAsia" w:eastAsia="仿宋_GB2312"/>
          <w:color w:val="000000"/>
          <w:sz w:val="32"/>
          <w:szCs w:val="32"/>
        </w:rPr>
        <w:t>上年一次性补助收入未列入当年预算；</w:t>
      </w:r>
    </w:p>
    <w:p>
      <w:pPr>
        <w:widowControl/>
        <w:numPr>
          <w:ilvl w:val="0"/>
          <w:numId w:val="1"/>
        </w:numPr>
        <w:spacing w:before="100" w:beforeAutospacing="1" w:after="100" w:afterAutospacing="1" w:line="390" w:lineRule="atLeast"/>
        <w:ind w:firstLine="960" w:firstLineChars="300"/>
        <w:jc w:val="left"/>
        <w:rPr>
          <w:rFonts w:eastAsia="仿宋_GB2312"/>
          <w:color w:val="000000"/>
          <w:sz w:val="32"/>
          <w:szCs w:val="32"/>
        </w:rPr>
      </w:pPr>
      <w:r>
        <w:rPr>
          <w:rFonts w:hint="eastAsia" w:eastAsia="仿宋_GB2312"/>
          <w:color w:val="000000"/>
          <w:sz w:val="32"/>
          <w:szCs w:val="32"/>
        </w:rPr>
        <w:t>金融支出专项转移支付收入为0，减少55万元，；</w:t>
      </w:r>
      <w:r>
        <w:rPr>
          <w:rFonts w:eastAsia="仿宋_GB2312"/>
          <w:color w:val="000000"/>
          <w:sz w:val="32"/>
          <w:szCs w:val="32"/>
        </w:rPr>
        <w:t>主要</w:t>
      </w:r>
      <w:r>
        <w:rPr>
          <w:rFonts w:hint="eastAsia" w:eastAsia="仿宋_GB2312"/>
          <w:color w:val="000000"/>
          <w:sz w:val="32"/>
          <w:szCs w:val="32"/>
        </w:rPr>
        <w:t>原因</w:t>
      </w:r>
      <w:r>
        <w:rPr>
          <w:rFonts w:eastAsia="仿宋_GB2312"/>
          <w:color w:val="000000"/>
          <w:sz w:val="32"/>
          <w:szCs w:val="32"/>
        </w:rPr>
        <w:t>是</w:t>
      </w:r>
      <w:r>
        <w:rPr>
          <w:rFonts w:hint="eastAsia" w:eastAsia="仿宋_GB2312"/>
          <w:color w:val="000000"/>
          <w:sz w:val="32"/>
          <w:szCs w:val="32"/>
        </w:rPr>
        <w:t>上年一次性补助收入未列入当年预算；</w:t>
      </w:r>
    </w:p>
    <w:p>
      <w:pPr>
        <w:widowControl/>
        <w:numPr>
          <w:ilvl w:val="0"/>
          <w:numId w:val="1"/>
        </w:numPr>
        <w:spacing w:before="100" w:beforeAutospacing="1" w:after="100" w:afterAutospacing="1" w:line="390" w:lineRule="atLeast"/>
        <w:ind w:firstLine="960" w:firstLineChars="300"/>
        <w:jc w:val="left"/>
        <w:rPr>
          <w:rFonts w:eastAsia="仿宋_GB2312"/>
          <w:color w:val="000000"/>
          <w:sz w:val="32"/>
          <w:szCs w:val="32"/>
        </w:rPr>
      </w:pPr>
      <w:r>
        <w:rPr>
          <w:rFonts w:hint="eastAsia" w:eastAsia="仿宋_GB2312"/>
          <w:color w:val="000000"/>
          <w:sz w:val="32"/>
          <w:szCs w:val="32"/>
        </w:rPr>
        <w:t>自然资源海洋气象支出专项转移支付收入1292万元，比上年减少644万元，降低49.85%</w:t>
      </w:r>
      <w:r>
        <w:rPr>
          <w:rFonts w:eastAsia="仿宋_GB2312"/>
          <w:color w:val="000000"/>
          <w:sz w:val="32"/>
          <w:szCs w:val="32"/>
        </w:rPr>
        <w:t>主要</w:t>
      </w:r>
      <w:r>
        <w:rPr>
          <w:rFonts w:hint="eastAsia" w:eastAsia="仿宋_GB2312"/>
          <w:color w:val="000000"/>
          <w:sz w:val="32"/>
          <w:szCs w:val="32"/>
        </w:rPr>
        <w:t>原因</w:t>
      </w:r>
      <w:r>
        <w:rPr>
          <w:rFonts w:eastAsia="仿宋_GB2312"/>
          <w:color w:val="000000"/>
          <w:sz w:val="32"/>
          <w:szCs w:val="32"/>
        </w:rPr>
        <w:t>是</w:t>
      </w:r>
      <w:r>
        <w:rPr>
          <w:rFonts w:hint="eastAsia" w:eastAsia="仿宋_GB2312"/>
          <w:color w:val="000000"/>
          <w:sz w:val="32"/>
          <w:szCs w:val="32"/>
        </w:rPr>
        <w:t>上年一次性补助收入未列入当年预算；</w:t>
      </w:r>
    </w:p>
    <w:p>
      <w:pPr>
        <w:widowControl/>
        <w:numPr>
          <w:ilvl w:val="0"/>
          <w:numId w:val="1"/>
        </w:numPr>
        <w:spacing w:before="100" w:beforeAutospacing="1" w:after="100" w:afterAutospacing="1" w:line="390" w:lineRule="atLeast"/>
        <w:ind w:firstLine="960" w:firstLineChars="300"/>
        <w:jc w:val="left"/>
        <w:rPr>
          <w:rFonts w:eastAsia="仿宋_GB2312"/>
          <w:color w:val="000000"/>
          <w:sz w:val="32"/>
          <w:szCs w:val="32"/>
        </w:rPr>
      </w:pPr>
      <w:r>
        <w:rPr>
          <w:rFonts w:hint="eastAsia" w:eastAsia="仿宋_GB2312"/>
          <w:color w:val="000000"/>
          <w:sz w:val="32"/>
          <w:szCs w:val="32"/>
        </w:rPr>
        <w:t>住房保障支出专项转移支付收入1365万元，比上年减少4962万元，降低78.43%</w:t>
      </w:r>
      <w:r>
        <w:rPr>
          <w:rFonts w:eastAsia="仿宋_GB2312"/>
          <w:color w:val="000000"/>
          <w:sz w:val="32"/>
          <w:szCs w:val="32"/>
        </w:rPr>
        <w:t>主要</w:t>
      </w:r>
      <w:r>
        <w:rPr>
          <w:rFonts w:hint="eastAsia" w:eastAsia="仿宋_GB2312"/>
          <w:color w:val="000000"/>
          <w:sz w:val="32"/>
          <w:szCs w:val="32"/>
        </w:rPr>
        <w:t>原因</w:t>
      </w:r>
      <w:r>
        <w:rPr>
          <w:rFonts w:eastAsia="仿宋_GB2312"/>
          <w:color w:val="000000"/>
          <w:sz w:val="32"/>
          <w:szCs w:val="32"/>
        </w:rPr>
        <w:t>是</w:t>
      </w:r>
      <w:r>
        <w:rPr>
          <w:rFonts w:hint="eastAsia" w:eastAsia="仿宋_GB2312"/>
          <w:color w:val="000000"/>
          <w:sz w:val="32"/>
          <w:szCs w:val="32"/>
        </w:rPr>
        <w:t>上年一次性补助收入未列入当年预算；</w:t>
      </w:r>
    </w:p>
    <w:p>
      <w:pPr>
        <w:widowControl/>
        <w:numPr>
          <w:ilvl w:val="0"/>
          <w:numId w:val="1"/>
        </w:numPr>
        <w:spacing w:before="100" w:beforeAutospacing="1" w:after="100" w:afterAutospacing="1" w:line="390" w:lineRule="atLeast"/>
        <w:ind w:firstLine="960" w:firstLineChars="300"/>
        <w:jc w:val="left"/>
        <w:rPr>
          <w:rFonts w:eastAsia="仿宋_GB2312"/>
          <w:color w:val="000000"/>
          <w:sz w:val="32"/>
          <w:szCs w:val="32"/>
        </w:rPr>
      </w:pPr>
      <w:r>
        <w:rPr>
          <w:rFonts w:hint="eastAsia" w:eastAsia="仿宋_GB2312"/>
          <w:color w:val="000000"/>
          <w:sz w:val="32"/>
          <w:szCs w:val="32"/>
        </w:rPr>
        <w:t>粮油物资储备支出专项转移支付收入124万元，与上年增长持平；</w:t>
      </w:r>
    </w:p>
    <w:p>
      <w:pPr>
        <w:widowControl/>
        <w:numPr>
          <w:ilvl w:val="0"/>
          <w:numId w:val="1"/>
        </w:numPr>
        <w:spacing w:before="100" w:beforeAutospacing="1" w:after="100" w:afterAutospacing="1" w:line="390" w:lineRule="atLeast"/>
        <w:ind w:firstLine="960" w:firstLineChars="300"/>
        <w:jc w:val="left"/>
        <w:rPr>
          <w:rFonts w:eastAsia="仿宋_GB2312"/>
          <w:color w:val="000000"/>
          <w:sz w:val="32"/>
          <w:szCs w:val="32"/>
        </w:rPr>
      </w:pPr>
      <w:r>
        <w:rPr>
          <w:rFonts w:hint="eastAsia" w:eastAsia="仿宋_GB2312"/>
          <w:color w:val="000000"/>
          <w:sz w:val="32"/>
          <w:szCs w:val="32"/>
        </w:rPr>
        <w:t>其他收入专项转移支付收入为0，比上年减少1221万元，</w:t>
      </w:r>
      <w:r>
        <w:rPr>
          <w:rFonts w:eastAsia="仿宋_GB2312"/>
          <w:color w:val="000000"/>
          <w:sz w:val="32"/>
          <w:szCs w:val="32"/>
        </w:rPr>
        <w:t>主要</w:t>
      </w:r>
      <w:r>
        <w:rPr>
          <w:rFonts w:hint="eastAsia" w:eastAsia="仿宋_GB2312"/>
          <w:color w:val="000000"/>
          <w:sz w:val="32"/>
          <w:szCs w:val="32"/>
        </w:rPr>
        <w:t>原因</w:t>
      </w:r>
      <w:r>
        <w:rPr>
          <w:rFonts w:eastAsia="仿宋_GB2312"/>
          <w:color w:val="000000"/>
          <w:sz w:val="32"/>
          <w:szCs w:val="32"/>
        </w:rPr>
        <w:t>是</w:t>
      </w:r>
      <w:r>
        <w:rPr>
          <w:rFonts w:hint="eastAsia" w:eastAsia="仿宋_GB2312"/>
          <w:color w:val="000000"/>
          <w:sz w:val="32"/>
          <w:szCs w:val="32"/>
        </w:rPr>
        <w:t>上年一次性补助收入未列入当年预算</w:t>
      </w:r>
      <w:r>
        <w:rPr>
          <w:rFonts w:eastAsia="仿宋_GB2312"/>
          <w:color w:val="000000"/>
          <w:sz w:val="32"/>
          <w:szCs w:val="32"/>
        </w:rPr>
        <w:t>。</w:t>
      </w:r>
    </w:p>
    <w:p>
      <w:pPr>
        <w:spacing w:line="580" w:lineRule="exact"/>
        <w:ind w:firstLine="640" w:firstLineChars="200"/>
        <w:rPr>
          <w:rFonts w:eastAsia="黑体"/>
          <w:color w:val="000000"/>
          <w:sz w:val="32"/>
          <w:szCs w:val="32"/>
        </w:rPr>
      </w:pPr>
      <w:r>
        <w:rPr>
          <w:rFonts w:eastAsia="黑体"/>
          <w:color w:val="000000"/>
          <w:sz w:val="32"/>
          <w:szCs w:val="32"/>
        </w:rPr>
        <w:t>二、举借政府债务情况</w:t>
      </w:r>
    </w:p>
    <w:p>
      <w:pPr>
        <w:spacing w:line="580" w:lineRule="exact"/>
        <w:ind w:firstLine="643" w:firstLineChars="200"/>
        <w:rPr>
          <w:rFonts w:eastAsia="楷体_GB2312"/>
          <w:b/>
          <w:color w:val="000000"/>
          <w:sz w:val="32"/>
          <w:szCs w:val="32"/>
        </w:rPr>
      </w:pPr>
      <w:r>
        <w:rPr>
          <w:rFonts w:eastAsia="楷体_GB2312"/>
          <w:b/>
          <w:color w:val="000000"/>
          <w:sz w:val="32"/>
          <w:szCs w:val="32"/>
        </w:rPr>
        <w:t>（一）地方政府债务限额余额情况</w:t>
      </w:r>
    </w:p>
    <w:p>
      <w:pPr>
        <w:spacing w:line="580" w:lineRule="exact"/>
        <w:ind w:firstLine="640" w:firstLineChars="200"/>
        <w:rPr>
          <w:rFonts w:eastAsia="仿宋_GB2312"/>
          <w:sz w:val="32"/>
          <w:szCs w:val="32"/>
        </w:rPr>
      </w:pPr>
      <w:r>
        <w:rPr>
          <w:rFonts w:hint="eastAsia" w:eastAsia="仿宋_GB2312"/>
          <w:sz w:val="32"/>
          <w:szCs w:val="32"/>
        </w:rPr>
        <w:t>2018</w:t>
      </w:r>
      <w:r>
        <w:rPr>
          <w:rFonts w:eastAsia="仿宋_GB2312"/>
          <w:sz w:val="32"/>
          <w:szCs w:val="32"/>
        </w:rPr>
        <w:t>年，政府债务总限额</w:t>
      </w:r>
      <w:r>
        <w:rPr>
          <w:rFonts w:hint="eastAsia" w:eastAsia="仿宋_GB2312"/>
          <w:sz w:val="32"/>
          <w:szCs w:val="32"/>
        </w:rPr>
        <w:t>297899万元</w:t>
      </w:r>
      <w:r>
        <w:rPr>
          <w:rFonts w:eastAsia="仿宋_GB2312"/>
          <w:sz w:val="32"/>
          <w:szCs w:val="32"/>
        </w:rPr>
        <w:t>，其中一般债务限额</w:t>
      </w:r>
      <w:r>
        <w:rPr>
          <w:rFonts w:hint="eastAsia" w:eastAsia="仿宋_GB2312"/>
          <w:sz w:val="32"/>
          <w:szCs w:val="32"/>
        </w:rPr>
        <w:t>260578万元</w:t>
      </w:r>
      <w:r>
        <w:rPr>
          <w:rFonts w:eastAsia="仿宋_GB2312"/>
          <w:sz w:val="32"/>
          <w:szCs w:val="32"/>
        </w:rPr>
        <w:t>，专项债务限额</w:t>
      </w:r>
      <w:r>
        <w:rPr>
          <w:rFonts w:hint="eastAsia" w:eastAsia="仿宋_GB2312"/>
          <w:sz w:val="32"/>
          <w:szCs w:val="32"/>
        </w:rPr>
        <w:t>37321万元</w:t>
      </w:r>
      <w:r>
        <w:rPr>
          <w:rFonts w:eastAsia="仿宋_GB2312"/>
          <w:sz w:val="32"/>
          <w:szCs w:val="32"/>
        </w:rPr>
        <w:t>。截</w:t>
      </w:r>
      <w:r>
        <w:rPr>
          <w:rFonts w:hint="eastAsia" w:eastAsia="仿宋_GB2312"/>
          <w:sz w:val="32"/>
          <w:szCs w:val="32"/>
        </w:rPr>
        <w:t>至2018</w:t>
      </w:r>
      <w:r>
        <w:rPr>
          <w:rFonts w:eastAsia="仿宋_GB2312"/>
          <w:sz w:val="32"/>
          <w:szCs w:val="32"/>
        </w:rPr>
        <w:t>年底，地方政府债务余额</w:t>
      </w:r>
      <w:r>
        <w:rPr>
          <w:rFonts w:hint="eastAsia" w:eastAsia="仿宋_GB2312"/>
          <w:sz w:val="32"/>
          <w:szCs w:val="32"/>
        </w:rPr>
        <w:t>296886万元</w:t>
      </w:r>
      <w:r>
        <w:rPr>
          <w:rFonts w:eastAsia="仿宋_GB2312"/>
          <w:sz w:val="32"/>
          <w:szCs w:val="32"/>
        </w:rPr>
        <w:t>，其中一般债务余额</w:t>
      </w:r>
      <w:r>
        <w:rPr>
          <w:rFonts w:hint="eastAsia" w:eastAsia="仿宋_GB2312"/>
          <w:sz w:val="32"/>
          <w:szCs w:val="32"/>
        </w:rPr>
        <w:t>259565万元</w:t>
      </w:r>
      <w:r>
        <w:rPr>
          <w:rFonts w:eastAsia="仿宋_GB2312"/>
          <w:sz w:val="32"/>
          <w:szCs w:val="32"/>
        </w:rPr>
        <w:t>，专项债务余额</w:t>
      </w:r>
      <w:r>
        <w:rPr>
          <w:rFonts w:hint="eastAsia" w:eastAsia="仿宋_GB2312"/>
          <w:sz w:val="32"/>
          <w:szCs w:val="32"/>
        </w:rPr>
        <w:t>37321万元</w:t>
      </w:r>
      <w:r>
        <w:rPr>
          <w:rFonts w:eastAsia="仿宋_GB2312"/>
          <w:sz w:val="32"/>
          <w:szCs w:val="32"/>
        </w:rPr>
        <w:t>。</w:t>
      </w:r>
    </w:p>
    <w:p>
      <w:pPr>
        <w:spacing w:line="580" w:lineRule="exact"/>
        <w:ind w:firstLine="643" w:firstLineChars="200"/>
        <w:rPr>
          <w:rFonts w:eastAsia="楷体_GB2312"/>
          <w:b/>
          <w:color w:val="000000"/>
          <w:sz w:val="32"/>
          <w:szCs w:val="32"/>
        </w:rPr>
      </w:pPr>
      <w:r>
        <w:rPr>
          <w:rFonts w:eastAsia="楷体_GB2312"/>
          <w:b/>
          <w:color w:val="000000"/>
          <w:sz w:val="32"/>
          <w:szCs w:val="32"/>
        </w:rPr>
        <w:t>（二）地方政府债券发行情况</w:t>
      </w:r>
    </w:p>
    <w:p>
      <w:pPr>
        <w:spacing w:line="580" w:lineRule="exact"/>
        <w:ind w:firstLine="640" w:firstLineChars="200"/>
        <w:rPr>
          <w:rFonts w:eastAsia="仿宋_GB2312"/>
          <w:sz w:val="32"/>
          <w:szCs w:val="32"/>
        </w:rPr>
      </w:pPr>
      <w:r>
        <w:rPr>
          <w:rFonts w:hint="eastAsia" w:eastAsia="仿宋_GB2312"/>
          <w:sz w:val="32"/>
          <w:szCs w:val="32"/>
        </w:rPr>
        <w:t>2018</w:t>
      </w:r>
      <w:r>
        <w:rPr>
          <w:rFonts w:eastAsia="仿宋_GB2312"/>
          <w:sz w:val="32"/>
          <w:szCs w:val="32"/>
        </w:rPr>
        <w:t>年，省转贷新增债务限额</w:t>
      </w:r>
      <w:r>
        <w:rPr>
          <w:rFonts w:hint="eastAsia" w:eastAsia="仿宋_GB2312"/>
          <w:sz w:val="32"/>
          <w:szCs w:val="32"/>
        </w:rPr>
        <w:t>36400元</w:t>
      </w:r>
      <w:r>
        <w:rPr>
          <w:rFonts w:eastAsia="仿宋_GB2312"/>
          <w:sz w:val="32"/>
          <w:szCs w:val="32"/>
        </w:rPr>
        <w:t>，其中一般债务限额</w:t>
      </w:r>
      <w:r>
        <w:rPr>
          <w:rFonts w:hint="eastAsia" w:eastAsia="仿宋_GB2312"/>
          <w:sz w:val="32"/>
          <w:szCs w:val="32"/>
        </w:rPr>
        <w:t>26400万元</w:t>
      </w:r>
      <w:r>
        <w:rPr>
          <w:rFonts w:eastAsia="仿宋_GB2312"/>
          <w:sz w:val="32"/>
          <w:szCs w:val="32"/>
        </w:rPr>
        <w:t>，专项债务限额</w:t>
      </w:r>
      <w:r>
        <w:rPr>
          <w:rFonts w:hint="eastAsia" w:eastAsia="仿宋_GB2312"/>
          <w:sz w:val="32"/>
          <w:szCs w:val="32"/>
        </w:rPr>
        <w:t>10000万元</w:t>
      </w:r>
      <w:r>
        <w:rPr>
          <w:rFonts w:eastAsia="仿宋_GB2312"/>
          <w:sz w:val="32"/>
          <w:szCs w:val="32"/>
        </w:rPr>
        <w:t>，据此，发行一般债券</w:t>
      </w:r>
      <w:r>
        <w:rPr>
          <w:rFonts w:hint="eastAsia" w:eastAsia="仿宋_GB2312"/>
          <w:sz w:val="32"/>
          <w:szCs w:val="32"/>
        </w:rPr>
        <w:t>26400万元</w:t>
      </w:r>
      <w:r>
        <w:rPr>
          <w:rFonts w:eastAsia="仿宋_GB2312"/>
          <w:sz w:val="32"/>
          <w:szCs w:val="32"/>
        </w:rPr>
        <w:t>，专项债券</w:t>
      </w:r>
      <w:r>
        <w:rPr>
          <w:rFonts w:hint="eastAsia" w:eastAsia="仿宋_GB2312"/>
          <w:sz w:val="32"/>
          <w:szCs w:val="32"/>
        </w:rPr>
        <w:t>10000万元</w:t>
      </w:r>
      <w:r>
        <w:rPr>
          <w:rFonts w:eastAsia="仿宋_GB2312"/>
          <w:sz w:val="32"/>
          <w:szCs w:val="32"/>
        </w:rPr>
        <w:t>，平均期限</w:t>
      </w:r>
      <w:r>
        <w:rPr>
          <w:rFonts w:hint="eastAsia" w:eastAsia="仿宋_GB2312"/>
          <w:sz w:val="32"/>
          <w:szCs w:val="32"/>
        </w:rPr>
        <w:t>5</w:t>
      </w:r>
      <w:r>
        <w:rPr>
          <w:rFonts w:eastAsia="仿宋_GB2312"/>
          <w:sz w:val="32"/>
          <w:szCs w:val="32"/>
        </w:rPr>
        <w:t>年，平均利率</w:t>
      </w:r>
      <w:r>
        <w:rPr>
          <w:rFonts w:hint="eastAsia" w:eastAsia="仿宋_GB2312"/>
          <w:sz w:val="32"/>
          <w:szCs w:val="32"/>
        </w:rPr>
        <w:t>3.6%</w:t>
      </w:r>
      <w:r>
        <w:rPr>
          <w:rFonts w:eastAsia="仿宋_GB2312"/>
          <w:sz w:val="32"/>
          <w:szCs w:val="32"/>
        </w:rPr>
        <w:t>。</w:t>
      </w:r>
    </w:p>
    <w:p>
      <w:pPr>
        <w:spacing w:line="580" w:lineRule="exact"/>
        <w:ind w:firstLine="643" w:firstLineChars="200"/>
        <w:rPr>
          <w:rFonts w:eastAsia="楷体_GB2312"/>
          <w:b/>
          <w:color w:val="000000"/>
          <w:sz w:val="32"/>
          <w:szCs w:val="32"/>
        </w:rPr>
      </w:pPr>
      <w:r>
        <w:rPr>
          <w:rFonts w:eastAsia="楷体_GB2312"/>
          <w:b/>
          <w:color w:val="000000"/>
          <w:sz w:val="32"/>
          <w:szCs w:val="32"/>
        </w:rPr>
        <w:t>(三)地方政府债务还本付息情况</w:t>
      </w:r>
    </w:p>
    <w:p>
      <w:pPr>
        <w:spacing w:line="580" w:lineRule="exact"/>
        <w:ind w:firstLine="640" w:firstLineChars="200"/>
        <w:rPr>
          <w:rFonts w:eastAsia="仿宋_GB2312"/>
          <w:sz w:val="32"/>
          <w:szCs w:val="32"/>
        </w:rPr>
      </w:pPr>
      <w:r>
        <w:rPr>
          <w:rFonts w:hint="eastAsia" w:eastAsia="仿宋_GB2312"/>
          <w:sz w:val="32"/>
          <w:szCs w:val="32"/>
        </w:rPr>
        <w:t>2018</w:t>
      </w:r>
      <w:r>
        <w:rPr>
          <w:rFonts w:eastAsia="仿宋_GB2312"/>
          <w:sz w:val="32"/>
          <w:szCs w:val="32"/>
        </w:rPr>
        <w:t>年偿还地方政府债券本金</w:t>
      </w:r>
      <w:r>
        <w:rPr>
          <w:rFonts w:hint="eastAsia" w:eastAsia="仿宋_GB2312"/>
          <w:sz w:val="32"/>
          <w:szCs w:val="32"/>
        </w:rPr>
        <w:t>43635万元</w:t>
      </w:r>
      <w:r>
        <w:rPr>
          <w:rFonts w:eastAsia="仿宋_GB2312"/>
          <w:sz w:val="32"/>
          <w:szCs w:val="32"/>
        </w:rPr>
        <w:t>，其中一般债券</w:t>
      </w:r>
      <w:r>
        <w:rPr>
          <w:rFonts w:hint="eastAsia" w:eastAsia="仿宋_GB2312"/>
          <w:sz w:val="32"/>
          <w:szCs w:val="32"/>
        </w:rPr>
        <w:t>38414万元</w:t>
      </w:r>
      <w:r>
        <w:rPr>
          <w:rFonts w:eastAsia="仿宋_GB2312"/>
          <w:sz w:val="32"/>
          <w:szCs w:val="32"/>
        </w:rPr>
        <w:t>，专项债务</w:t>
      </w:r>
      <w:r>
        <w:rPr>
          <w:rFonts w:hint="eastAsia" w:eastAsia="仿宋_GB2312"/>
          <w:sz w:val="32"/>
          <w:szCs w:val="32"/>
        </w:rPr>
        <w:t>5221万元</w:t>
      </w:r>
      <w:r>
        <w:rPr>
          <w:rFonts w:eastAsia="仿宋_GB2312"/>
          <w:sz w:val="32"/>
          <w:szCs w:val="32"/>
        </w:rPr>
        <w:t>，支付地方政府债券利息</w:t>
      </w:r>
      <w:r>
        <w:rPr>
          <w:rFonts w:hint="eastAsia" w:eastAsia="仿宋_GB2312"/>
          <w:sz w:val="32"/>
          <w:szCs w:val="32"/>
        </w:rPr>
        <w:t>7944万元</w:t>
      </w:r>
      <w:r>
        <w:rPr>
          <w:rFonts w:eastAsia="仿宋_GB2312"/>
          <w:sz w:val="32"/>
          <w:szCs w:val="32"/>
        </w:rPr>
        <w:t>，其中一般债券利息</w:t>
      </w:r>
      <w:r>
        <w:rPr>
          <w:rFonts w:hint="eastAsia" w:eastAsia="仿宋_GB2312"/>
          <w:sz w:val="32"/>
          <w:szCs w:val="32"/>
        </w:rPr>
        <w:t>7353万元</w:t>
      </w:r>
      <w:r>
        <w:rPr>
          <w:rFonts w:eastAsia="仿宋_GB2312"/>
          <w:sz w:val="32"/>
          <w:szCs w:val="32"/>
        </w:rPr>
        <w:t>，专项债券利息</w:t>
      </w:r>
      <w:r>
        <w:rPr>
          <w:rFonts w:hint="eastAsia" w:eastAsia="仿宋_GB2312"/>
          <w:sz w:val="32"/>
          <w:szCs w:val="32"/>
        </w:rPr>
        <w:t>591万元</w:t>
      </w:r>
      <w:r>
        <w:rPr>
          <w:rFonts w:eastAsia="仿宋_GB2312"/>
          <w:sz w:val="32"/>
          <w:szCs w:val="32"/>
        </w:rPr>
        <w:t>。</w:t>
      </w:r>
    </w:p>
    <w:p>
      <w:pPr>
        <w:spacing w:line="580" w:lineRule="exact"/>
        <w:ind w:firstLine="640" w:firstLineChars="200"/>
        <w:rPr>
          <w:rFonts w:eastAsia="仿宋_GB2312"/>
          <w:sz w:val="32"/>
          <w:szCs w:val="32"/>
        </w:rPr>
      </w:pPr>
      <w:r>
        <w:rPr>
          <w:rFonts w:hint="eastAsia" w:eastAsia="仿宋_GB2312"/>
          <w:sz w:val="32"/>
          <w:szCs w:val="32"/>
        </w:rPr>
        <w:t>2019</w:t>
      </w:r>
      <w:r>
        <w:rPr>
          <w:rFonts w:eastAsia="仿宋_GB2312"/>
          <w:sz w:val="32"/>
          <w:szCs w:val="32"/>
        </w:rPr>
        <w:t>年偿还地方政府债券本金</w:t>
      </w:r>
      <w:r>
        <w:rPr>
          <w:rFonts w:hint="eastAsia" w:eastAsia="仿宋_GB2312"/>
          <w:sz w:val="32"/>
          <w:szCs w:val="32"/>
        </w:rPr>
        <w:t>2000万元</w:t>
      </w:r>
      <w:r>
        <w:rPr>
          <w:rFonts w:eastAsia="仿宋_GB2312"/>
          <w:sz w:val="32"/>
          <w:szCs w:val="32"/>
        </w:rPr>
        <w:t>，其中一般债券</w:t>
      </w:r>
      <w:r>
        <w:rPr>
          <w:rFonts w:hint="eastAsia" w:eastAsia="仿宋_GB2312"/>
          <w:sz w:val="32"/>
          <w:szCs w:val="32"/>
        </w:rPr>
        <w:t>2000万元</w:t>
      </w:r>
      <w:r>
        <w:rPr>
          <w:rFonts w:eastAsia="仿宋_GB2312"/>
          <w:sz w:val="32"/>
          <w:szCs w:val="32"/>
        </w:rPr>
        <w:t>，专项债务</w:t>
      </w:r>
      <w:r>
        <w:rPr>
          <w:rFonts w:hint="eastAsia" w:eastAsia="仿宋_GB2312"/>
          <w:sz w:val="32"/>
          <w:szCs w:val="32"/>
        </w:rPr>
        <w:t>0万元</w:t>
      </w:r>
      <w:r>
        <w:rPr>
          <w:rFonts w:eastAsia="仿宋_GB2312"/>
          <w:sz w:val="32"/>
          <w:szCs w:val="32"/>
        </w:rPr>
        <w:t>，支付地方政府债券利息</w:t>
      </w:r>
      <w:r>
        <w:rPr>
          <w:rFonts w:hint="eastAsia" w:eastAsia="仿宋_GB2312"/>
          <w:sz w:val="32"/>
          <w:szCs w:val="32"/>
        </w:rPr>
        <w:t>9800万元</w:t>
      </w:r>
      <w:r>
        <w:rPr>
          <w:rFonts w:eastAsia="仿宋_GB2312"/>
          <w:sz w:val="32"/>
          <w:szCs w:val="32"/>
        </w:rPr>
        <w:t>，其中一般债券利息</w:t>
      </w:r>
      <w:r>
        <w:rPr>
          <w:rFonts w:hint="eastAsia" w:eastAsia="仿宋_GB2312"/>
          <w:sz w:val="32"/>
          <w:szCs w:val="32"/>
        </w:rPr>
        <w:t>7800万元</w:t>
      </w:r>
      <w:r>
        <w:rPr>
          <w:rFonts w:eastAsia="仿宋_GB2312"/>
          <w:sz w:val="32"/>
          <w:szCs w:val="32"/>
        </w:rPr>
        <w:t>，专项债券利息</w:t>
      </w:r>
      <w:r>
        <w:rPr>
          <w:rFonts w:hint="eastAsia" w:eastAsia="仿宋_GB2312"/>
          <w:sz w:val="32"/>
          <w:szCs w:val="32"/>
        </w:rPr>
        <w:t>2000万元</w:t>
      </w:r>
      <w:r>
        <w:rPr>
          <w:rFonts w:eastAsia="仿宋_GB2312"/>
          <w:sz w:val="32"/>
          <w:szCs w:val="32"/>
        </w:rPr>
        <w:t>。</w:t>
      </w:r>
    </w:p>
    <w:p>
      <w:pPr>
        <w:spacing w:line="580" w:lineRule="exact"/>
        <w:ind w:firstLine="643" w:firstLineChars="200"/>
        <w:rPr>
          <w:rFonts w:eastAsia="仿宋_GB2312"/>
          <w:b/>
          <w:sz w:val="32"/>
          <w:szCs w:val="32"/>
        </w:rPr>
      </w:pPr>
      <w:r>
        <w:rPr>
          <w:rFonts w:hint="eastAsia" w:eastAsia="仿宋_GB2312"/>
          <w:b/>
          <w:sz w:val="32"/>
          <w:szCs w:val="32"/>
        </w:rPr>
        <w:t>（四）地方政府债券资金安排情况</w:t>
      </w:r>
    </w:p>
    <w:p>
      <w:pPr>
        <w:spacing w:line="580" w:lineRule="exact"/>
        <w:ind w:firstLine="640" w:firstLineChars="200"/>
        <w:rPr>
          <w:rFonts w:eastAsia="仿宋_GB2312"/>
          <w:sz w:val="32"/>
          <w:szCs w:val="32"/>
        </w:rPr>
      </w:pPr>
      <w:r>
        <w:rPr>
          <w:rFonts w:hint="eastAsia" w:eastAsia="仿宋_GB2312"/>
          <w:sz w:val="32"/>
          <w:szCs w:val="32"/>
        </w:rPr>
        <w:t>2019年根据债券发行情况，作如下安排：</w:t>
      </w:r>
    </w:p>
    <w:p>
      <w:pPr>
        <w:spacing w:line="580" w:lineRule="exact"/>
        <w:ind w:firstLine="640" w:firstLineChars="200"/>
        <w:rPr>
          <w:rFonts w:eastAsia="仿宋_GB2312"/>
          <w:sz w:val="32"/>
          <w:szCs w:val="32"/>
        </w:rPr>
      </w:pPr>
      <w:r>
        <w:rPr>
          <w:rFonts w:hint="eastAsia" w:eastAsia="仿宋_GB2312"/>
          <w:sz w:val="32"/>
          <w:szCs w:val="32"/>
        </w:rPr>
        <w:t>一般债券8200万元，主要用于新邵县芙蓉学校1200万元、新邵县太芝庙至雀塘公路工程项目3200万元、新邵县太芝庙至雀塘公路工程项目3800万元。</w:t>
      </w:r>
    </w:p>
    <w:p>
      <w:pPr>
        <w:spacing w:line="580" w:lineRule="exact"/>
        <w:ind w:firstLine="640" w:firstLineChars="200"/>
        <w:rPr>
          <w:rFonts w:eastAsia="仿宋_GB2312"/>
          <w:sz w:val="32"/>
          <w:szCs w:val="32"/>
        </w:rPr>
      </w:pPr>
      <w:r>
        <w:rPr>
          <w:rFonts w:hint="eastAsia" w:eastAsia="仿宋_GB2312"/>
          <w:sz w:val="32"/>
          <w:szCs w:val="32"/>
        </w:rPr>
        <w:t>专项债券33700万元，主要用于新邵县酿溪镇棚户区改造项目29600万元、湘商产业园污水处理厂及管网工程、路网工程2100万元、湘商产业园标准化厂房及配套路网2000万元。</w:t>
      </w:r>
    </w:p>
    <w:p>
      <w:pPr>
        <w:spacing w:line="580" w:lineRule="exact"/>
        <w:ind w:firstLine="640" w:firstLineChars="200"/>
        <w:rPr>
          <w:rFonts w:eastAsia="黑体"/>
          <w:color w:val="000000"/>
          <w:sz w:val="32"/>
          <w:szCs w:val="32"/>
        </w:rPr>
      </w:pPr>
      <w:r>
        <w:rPr>
          <w:rFonts w:eastAsia="黑体"/>
          <w:color w:val="000000"/>
          <w:sz w:val="32"/>
          <w:szCs w:val="32"/>
        </w:rPr>
        <w:t>三、预算绩效管理工作开展情况</w:t>
      </w:r>
    </w:p>
    <w:p>
      <w:pPr>
        <w:spacing w:line="560" w:lineRule="exact"/>
        <w:ind w:firstLine="640" w:firstLineChars="200"/>
        <w:rPr>
          <w:rFonts w:ascii="黑体" w:hAnsi="黑体" w:eastAsia="黑体" w:cs="宋体"/>
          <w:sz w:val="32"/>
          <w:szCs w:val="32"/>
        </w:rPr>
      </w:pPr>
      <w:r>
        <w:rPr>
          <w:rFonts w:hint="eastAsia" w:ascii="仿宋" w:hAnsi="仿宋" w:eastAsia="仿宋"/>
          <w:sz w:val="32"/>
          <w:szCs w:val="32"/>
        </w:rPr>
        <w:t>（一</w:t>
      </w:r>
      <w:r>
        <w:rPr>
          <w:rFonts w:hint="eastAsia" w:ascii="黑体" w:hAnsi="黑体" w:eastAsia="黑体" w:cs="宋体"/>
          <w:sz w:val="32"/>
          <w:szCs w:val="32"/>
        </w:rPr>
        <w:t>）2018年预算绩效管理工作总结</w:t>
      </w:r>
    </w:p>
    <w:p>
      <w:pPr>
        <w:spacing w:line="560" w:lineRule="exact"/>
        <w:ind w:firstLine="640" w:firstLineChars="200"/>
        <w:rPr>
          <w:rFonts w:ascii="仿宋" w:hAnsi="仿宋" w:eastAsia="仿宋" w:cs="宋体"/>
          <w:sz w:val="32"/>
          <w:szCs w:val="32"/>
        </w:rPr>
      </w:pPr>
      <w:r>
        <w:rPr>
          <w:rFonts w:hint="eastAsia" w:ascii="仿宋" w:hAnsi="仿宋" w:eastAsia="仿宋" w:cs="宋体"/>
          <w:sz w:val="32"/>
          <w:szCs w:val="32"/>
        </w:rPr>
        <w:t>过去一年，在上级财政部门的关心和指导下，在县委的正确领导和县人大的监督下，在各部门的共同努力下，我县预算绩效管理工作在强化绩效理念、突出工作重点、提升工作质量、强化结果应用、提高资金使用效益方面取得了较好的成效。</w:t>
      </w:r>
    </w:p>
    <w:p>
      <w:pPr>
        <w:spacing w:line="560" w:lineRule="exact"/>
        <w:ind w:left="643"/>
        <w:rPr>
          <w:rFonts w:ascii="仿宋" w:hAnsi="仿宋" w:eastAsia="仿宋" w:cs="宋体"/>
          <w:b/>
          <w:sz w:val="32"/>
          <w:szCs w:val="32"/>
        </w:rPr>
      </w:pPr>
      <w:r>
        <w:rPr>
          <w:rFonts w:hint="eastAsia" w:ascii="仿宋" w:hAnsi="仿宋" w:eastAsia="仿宋" w:cs="宋体"/>
          <w:b/>
          <w:sz w:val="32"/>
          <w:szCs w:val="32"/>
        </w:rPr>
        <w:t>1、预算绩效理念进一步强化</w:t>
      </w:r>
    </w:p>
    <w:p>
      <w:pPr>
        <w:spacing w:line="560" w:lineRule="exact"/>
        <w:ind w:firstLine="640" w:firstLineChars="200"/>
        <w:rPr>
          <w:rFonts w:ascii="仿宋" w:hAnsi="仿宋" w:eastAsia="仿宋" w:cs="宋体"/>
          <w:sz w:val="32"/>
          <w:szCs w:val="32"/>
        </w:rPr>
      </w:pPr>
      <w:r>
        <w:rPr>
          <w:rFonts w:hint="eastAsia" w:ascii="仿宋" w:hAnsi="仿宋" w:eastAsia="仿宋" w:cs="宋体"/>
          <w:sz w:val="32"/>
          <w:szCs w:val="32"/>
        </w:rPr>
        <w:t>通过财政部门对上级关于预算绩效管理工作精神的宣传贯彻和县人大对各部门预算绩效开展情况的监督检查，我县各部门高度重视，专门成立了预算绩效管理领导机构，预算绩效理念空前强化。</w:t>
      </w:r>
    </w:p>
    <w:p>
      <w:pPr>
        <w:spacing w:line="560" w:lineRule="exact"/>
        <w:ind w:left="643"/>
        <w:rPr>
          <w:rFonts w:ascii="仿宋" w:hAnsi="仿宋" w:eastAsia="仿宋" w:cs="宋体"/>
          <w:b/>
          <w:sz w:val="32"/>
          <w:szCs w:val="32"/>
        </w:rPr>
      </w:pPr>
      <w:r>
        <w:rPr>
          <w:rFonts w:hint="eastAsia" w:ascii="仿宋" w:hAnsi="仿宋" w:eastAsia="仿宋" w:cs="宋体"/>
          <w:b/>
          <w:sz w:val="32"/>
          <w:szCs w:val="32"/>
        </w:rPr>
        <w:t>2、绩效目标管理全面推进</w:t>
      </w:r>
    </w:p>
    <w:p>
      <w:pPr>
        <w:spacing w:line="560" w:lineRule="exact"/>
        <w:ind w:firstLine="640" w:firstLineChars="200"/>
        <w:rPr>
          <w:rFonts w:ascii="仿宋" w:hAnsi="仿宋" w:eastAsia="仿宋" w:cs="宋体"/>
          <w:sz w:val="32"/>
          <w:szCs w:val="32"/>
        </w:rPr>
      </w:pPr>
      <w:r>
        <w:rPr>
          <w:rFonts w:hint="eastAsia" w:ascii="仿宋" w:hAnsi="仿宋" w:eastAsia="仿宋" w:cs="宋体"/>
          <w:sz w:val="32"/>
          <w:szCs w:val="32"/>
        </w:rPr>
        <w:t>在2018年的预算绩效开展过程中，财政部门就预算绩效申报和公开专门下发了相关文件予以指导和落实。部门预算编制过程中，全县163个部门预算单位都申报了专项资金和部门整体支出绩效目标。县财政局组织人员对部门申报的绩效目标进行了审核，随后将审核意见批复到相关单位，实现了绩效目标部门全覆盖和财政预算资金全覆盖。各预算单位在进行预算公开时，均将绩效目标一并予以公开，同步做到了预算绩效目标公开全覆盖。</w:t>
      </w:r>
    </w:p>
    <w:p>
      <w:pPr>
        <w:spacing w:line="560" w:lineRule="exact"/>
        <w:ind w:left="993"/>
        <w:rPr>
          <w:rFonts w:ascii="仿宋" w:hAnsi="仿宋" w:eastAsia="仿宋" w:cs="宋体"/>
          <w:b/>
          <w:sz w:val="32"/>
          <w:szCs w:val="32"/>
        </w:rPr>
      </w:pPr>
      <w:r>
        <w:rPr>
          <w:rFonts w:hint="eastAsia" w:ascii="仿宋" w:hAnsi="仿宋" w:eastAsia="仿宋" w:cs="宋体"/>
          <w:b/>
          <w:sz w:val="32"/>
          <w:szCs w:val="32"/>
        </w:rPr>
        <w:t>3、绩效评价工作深入开展</w:t>
      </w:r>
    </w:p>
    <w:p>
      <w:pPr>
        <w:spacing w:line="560" w:lineRule="exact"/>
        <w:ind w:firstLine="640" w:firstLineChars="200"/>
        <w:rPr>
          <w:rFonts w:ascii="仿宋" w:hAnsi="仿宋" w:eastAsia="仿宋" w:cs="宋体"/>
          <w:sz w:val="32"/>
          <w:szCs w:val="32"/>
        </w:rPr>
      </w:pPr>
      <w:r>
        <w:rPr>
          <w:rFonts w:hint="eastAsia" w:ascii="仿宋" w:hAnsi="仿宋" w:eastAsia="仿宋" w:cs="宋体"/>
          <w:sz w:val="32"/>
          <w:szCs w:val="32"/>
        </w:rPr>
        <w:t>一是组织开展财政性资金绩效自评工作。2018年，全县121个预算单位对2017年度各自的专项资金和部门整体性支出开展了绩效自评。二是积极推进第三方绩效评价。2018年，县财政局委托湖南人和人会计师事务所对2017年卫生健康局的基本公共卫生服务资金、文化旅游局的送戏下乡资金、商务局的电子商务进农村资金、产粮大县资金（上级拨款和县级配套）以及市管中心和文化馆的整体性支出等开展了重点评价。</w:t>
      </w:r>
    </w:p>
    <w:p>
      <w:pPr>
        <w:spacing w:line="560" w:lineRule="exact"/>
        <w:ind w:left="993"/>
        <w:rPr>
          <w:rFonts w:ascii="仿宋" w:hAnsi="仿宋" w:eastAsia="仿宋" w:cs="宋体"/>
          <w:b/>
          <w:sz w:val="32"/>
          <w:szCs w:val="32"/>
        </w:rPr>
      </w:pPr>
      <w:r>
        <w:rPr>
          <w:rFonts w:hint="eastAsia" w:ascii="仿宋" w:hAnsi="仿宋" w:eastAsia="仿宋" w:cs="宋体"/>
          <w:b/>
          <w:sz w:val="32"/>
          <w:szCs w:val="32"/>
        </w:rPr>
        <w:t>4、绩效管理实效逐渐彰显</w:t>
      </w:r>
    </w:p>
    <w:p>
      <w:pPr>
        <w:spacing w:line="560" w:lineRule="exact"/>
        <w:ind w:firstLine="640" w:firstLineChars="200"/>
        <w:rPr>
          <w:rFonts w:ascii="仿宋" w:hAnsi="仿宋" w:eastAsia="仿宋" w:cs="宋体"/>
          <w:sz w:val="32"/>
          <w:szCs w:val="32"/>
        </w:rPr>
      </w:pPr>
      <w:r>
        <w:rPr>
          <w:rFonts w:hint="eastAsia" w:ascii="仿宋" w:hAnsi="仿宋" w:eastAsia="仿宋" w:cs="宋体"/>
          <w:sz w:val="32"/>
          <w:szCs w:val="32"/>
        </w:rPr>
        <w:t>一是公开评价结果。按照“谁评价谁公开”的原则，2018年，各预算单位将2017年的专项资金和部门整体支出绩效自评结果和评价报告在政府网站专栏自觉进行公开，做到“非涉密全公开”。二是自觉接受县人大对我县各预算单位预算绩效管理工作的监督和检查，通过强化人大监督，进一步推进我县预算绩效管理工作向纵深开展。三是注重评价结果的应用。财政局通过委托第三方对2017年部分专项资金进行客观公开的绩效评价，发现了一些问题，更是检验了财政资金所发挥的效应，同时将有关问题反馈到相关单位，要求各单位在规定的时间内进行整改，并将评价结果应用到了2019年的年初预算编制工作中。</w:t>
      </w:r>
    </w:p>
    <w:p>
      <w:pPr>
        <w:spacing w:line="560" w:lineRule="exact"/>
        <w:ind w:firstLine="643" w:firstLineChars="200"/>
        <w:rPr>
          <w:rFonts w:ascii="仿宋" w:hAnsi="仿宋" w:eastAsia="仿宋" w:cs="宋体"/>
          <w:b/>
          <w:sz w:val="32"/>
          <w:szCs w:val="32"/>
        </w:rPr>
      </w:pPr>
      <w:r>
        <w:rPr>
          <w:rFonts w:hint="eastAsia" w:ascii="仿宋" w:hAnsi="仿宋" w:eastAsia="仿宋" w:cs="宋体"/>
          <w:b/>
          <w:sz w:val="32"/>
          <w:szCs w:val="32"/>
        </w:rPr>
        <w:t>5、重点领域绩效管理成绩突出</w:t>
      </w:r>
    </w:p>
    <w:p>
      <w:pPr>
        <w:spacing w:line="560" w:lineRule="exact"/>
        <w:ind w:firstLine="640" w:firstLineChars="200"/>
        <w:rPr>
          <w:rFonts w:ascii="仿宋" w:hAnsi="仿宋" w:eastAsia="仿宋" w:cs="宋体"/>
          <w:sz w:val="32"/>
          <w:szCs w:val="32"/>
        </w:rPr>
      </w:pPr>
      <w:r>
        <w:rPr>
          <w:rFonts w:hint="eastAsia" w:ascii="仿宋" w:hAnsi="仿宋" w:eastAsia="仿宋" w:cs="宋体"/>
          <w:sz w:val="32"/>
          <w:szCs w:val="32"/>
        </w:rPr>
        <w:t>2018年，为做好扶贫资金的绩效管理，县委县政府高度重视，由财政局牵头，财政与各部门之间齐心协力，运用财政扶贫资金动态监控平台对我县92145万元（含上级资金）的扶贫资金进行绩效管理，各项指标均达到了上级要求，实现了4个百分百，即：绩效指标填报比例100%，绩效指标审核比例100%，绩效自评填报比例100%，绩效自评审核比例100%。我县该项工作各项指标的完成情况，均居全省前列，同时，也为上级据此对我县转移支付的考核做出了较大贡献。</w:t>
      </w:r>
    </w:p>
    <w:p>
      <w:pPr>
        <w:spacing w:line="560" w:lineRule="exact"/>
        <w:ind w:firstLine="640" w:firstLineChars="200"/>
        <w:rPr>
          <w:rFonts w:ascii="黑体" w:hAnsi="黑体" w:eastAsia="黑体" w:cs="宋体"/>
          <w:sz w:val="32"/>
          <w:szCs w:val="32"/>
        </w:rPr>
      </w:pPr>
      <w:r>
        <w:rPr>
          <w:rFonts w:hint="eastAsia" w:ascii="黑体" w:hAnsi="黑体" w:eastAsia="黑体" w:cs="宋体"/>
          <w:sz w:val="32"/>
          <w:szCs w:val="32"/>
        </w:rPr>
        <w:t>（二）2019年预算绩效工作思路</w:t>
      </w:r>
    </w:p>
    <w:p>
      <w:pPr>
        <w:spacing w:line="560" w:lineRule="exact"/>
        <w:ind w:left="643"/>
        <w:rPr>
          <w:rFonts w:ascii="仿宋" w:hAnsi="仿宋" w:eastAsia="仿宋" w:cs="宋体"/>
          <w:b/>
          <w:sz w:val="32"/>
          <w:szCs w:val="32"/>
        </w:rPr>
      </w:pPr>
      <w:r>
        <w:rPr>
          <w:rFonts w:hint="eastAsia" w:ascii="仿宋" w:hAnsi="仿宋" w:eastAsia="仿宋" w:cs="宋体"/>
          <w:b/>
          <w:sz w:val="32"/>
          <w:szCs w:val="32"/>
        </w:rPr>
        <w:t>1、强化绩效理念，夯实绩效管理基础</w:t>
      </w:r>
    </w:p>
    <w:p>
      <w:pPr>
        <w:spacing w:line="560" w:lineRule="exact"/>
        <w:ind w:firstLine="640" w:firstLineChars="200"/>
        <w:rPr>
          <w:rFonts w:ascii="仿宋" w:hAnsi="仿宋" w:eastAsia="仿宋" w:cs="宋体"/>
          <w:sz w:val="32"/>
          <w:szCs w:val="32"/>
        </w:rPr>
      </w:pPr>
      <w:r>
        <w:rPr>
          <w:rFonts w:hint="eastAsia" w:ascii="仿宋" w:hAnsi="仿宋" w:eastAsia="仿宋" w:cs="宋体"/>
          <w:sz w:val="32"/>
          <w:szCs w:val="32"/>
        </w:rPr>
        <w:t>一要加强宣传发动。通过下文、媒体宣传、举办培训活动等方式，让预算绩效管理这一理念在各部门和有财政资金使用的各领域由以往的被动接受变成主动要求，使之常态化。二要加强队伍建设。一方面通过培训来提高财政财务人员的绩效管理水平；另一方面有针对性地组织相关人员到我省其他县市学习先进经验，不断提高绩效管理队伍的素质。</w:t>
      </w:r>
    </w:p>
    <w:p>
      <w:pPr>
        <w:spacing w:line="560" w:lineRule="exact"/>
        <w:ind w:left="643"/>
        <w:rPr>
          <w:rFonts w:ascii="仿宋" w:hAnsi="仿宋" w:eastAsia="仿宋" w:cs="宋体"/>
          <w:b/>
          <w:sz w:val="32"/>
          <w:szCs w:val="32"/>
        </w:rPr>
      </w:pPr>
      <w:r>
        <w:rPr>
          <w:rFonts w:hint="eastAsia" w:ascii="仿宋" w:hAnsi="仿宋" w:eastAsia="仿宋" w:cs="宋体"/>
          <w:b/>
          <w:sz w:val="32"/>
          <w:szCs w:val="32"/>
        </w:rPr>
        <w:t>2、完善指标体系，做实绩效目标管理</w:t>
      </w:r>
    </w:p>
    <w:p>
      <w:pPr>
        <w:spacing w:line="560" w:lineRule="exact"/>
        <w:ind w:firstLine="640" w:firstLineChars="200"/>
        <w:rPr>
          <w:rFonts w:ascii="仿宋" w:hAnsi="仿宋" w:eastAsia="仿宋" w:cs="宋体"/>
          <w:sz w:val="32"/>
          <w:szCs w:val="32"/>
        </w:rPr>
      </w:pPr>
      <w:r>
        <w:rPr>
          <w:rFonts w:hint="eastAsia" w:ascii="仿宋" w:hAnsi="仿宋" w:eastAsia="仿宋" w:cs="宋体"/>
          <w:sz w:val="32"/>
          <w:szCs w:val="32"/>
        </w:rPr>
        <w:t>将上级绩效目标管理考核指标和我县实际相结合，各预算单位将县财政部门下发的指导性和硬性的考核指标与单位的实际情况相结合，在确保硬性指标的前提下，建立操作性强、针对性强、实效性强的具有地方（部门）特色兼具个性化的指标考核体系，进一步完善好绩效目标管理体系。同时，在实现项目支出绩效目标和部门整体支出绩效目标管理的基础上，进一步规范部门预算绩效目标的填报和审核工作。同时，将绩效目标申报结果与年初部门预算在政府网站专栏同步公开。</w:t>
      </w:r>
    </w:p>
    <w:p>
      <w:pPr>
        <w:spacing w:line="560" w:lineRule="exact"/>
        <w:ind w:left="643"/>
        <w:rPr>
          <w:rFonts w:ascii="仿宋" w:hAnsi="仿宋" w:eastAsia="仿宋" w:cs="宋体"/>
          <w:b/>
          <w:sz w:val="32"/>
          <w:szCs w:val="32"/>
        </w:rPr>
      </w:pPr>
      <w:r>
        <w:rPr>
          <w:rFonts w:hint="eastAsia" w:ascii="仿宋" w:hAnsi="仿宋" w:eastAsia="仿宋" w:cs="宋体"/>
          <w:b/>
          <w:sz w:val="32"/>
          <w:szCs w:val="32"/>
        </w:rPr>
        <w:t>3、完善评价方式，提高绩效评价质量</w:t>
      </w:r>
    </w:p>
    <w:p>
      <w:pPr>
        <w:spacing w:line="560" w:lineRule="exact"/>
        <w:ind w:firstLine="640" w:firstLineChars="200"/>
        <w:rPr>
          <w:rFonts w:ascii="仿宋" w:hAnsi="仿宋" w:eastAsia="仿宋" w:cs="宋体"/>
          <w:sz w:val="32"/>
          <w:szCs w:val="32"/>
        </w:rPr>
      </w:pPr>
      <w:r>
        <w:rPr>
          <w:rFonts w:hint="eastAsia" w:ascii="仿宋" w:hAnsi="仿宋" w:eastAsia="仿宋" w:cs="宋体"/>
          <w:sz w:val="32"/>
          <w:szCs w:val="32"/>
        </w:rPr>
        <w:t>一要加大指导力度。财政局各相关业务部门要对各预算单位从预算绩效申报和预算绩效自评全过程进行跟踪指导，定向培训，为提高绩效评价质量打好基础。二要严把绩效评价质量关。在把好自评质量关的前提下，要组织第三方对部门提交的绩效自评报告及相关佐证材料进行集中评审，对绩效评价质量进行考核。三是对于重点领域、关注度较高、金额较大的</w:t>
      </w:r>
      <w:bookmarkStart w:id="1" w:name="_GoBack"/>
      <w:bookmarkEnd w:id="1"/>
      <w:r>
        <w:rPr>
          <w:rFonts w:hint="eastAsia" w:ascii="仿宋" w:hAnsi="仿宋" w:eastAsia="仿宋" w:cs="宋体"/>
          <w:sz w:val="32"/>
          <w:szCs w:val="32"/>
        </w:rPr>
        <w:t>专项资金要开展重点绩效评价，财政和业务部门要加强跟踪指导，提升绩效评价水平。</w:t>
      </w:r>
    </w:p>
    <w:p>
      <w:pPr>
        <w:spacing w:line="560" w:lineRule="exact"/>
        <w:ind w:left="640"/>
        <w:rPr>
          <w:rFonts w:ascii="仿宋" w:hAnsi="仿宋" w:eastAsia="仿宋" w:cs="宋体"/>
          <w:b/>
          <w:sz w:val="32"/>
          <w:szCs w:val="32"/>
        </w:rPr>
      </w:pPr>
      <w:r>
        <w:rPr>
          <w:rFonts w:hint="eastAsia" w:ascii="仿宋" w:hAnsi="仿宋" w:eastAsia="仿宋" w:cs="宋体"/>
          <w:b/>
          <w:sz w:val="32"/>
          <w:szCs w:val="32"/>
        </w:rPr>
        <w:t>4、强化结果应用，树立绩效管理权威</w:t>
      </w:r>
    </w:p>
    <w:p>
      <w:pPr>
        <w:spacing w:line="560" w:lineRule="exact"/>
        <w:ind w:firstLine="640" w:firstLineChars="200"/>
        <w:rPr>
          <w:rFonts w:ascii="仿宋" w:hAnsi="仿宋" w:eastAsia="仿宋" w:cs="宋体"/>
          <w:sz w:val="32"/>
          <w:szCs w:val="32"/>
        </w:rPr>
      </w:pPr>
      <w:r>
        <w:rPr>
          <w:rFonts w:hint="eastAsia" w:ascii="仿宋" w:hAnsi="仿宋" w:eastAsia="仿宋" w:cs="宋体"/>
          <w:sz w:val="32"/>
          <w:szCs w:val="32"/>
        </w:rPr>
        <w:t>绩效评价结果应用是整个预算绩效管理的最终环节也是重要环节，它的作用主要体现在补强制度、改进管理、问责追责。一要完善绩效评价结果反馈整改及绩效报告机制。及时将绩效评价中发现的问题和意见反馈给资金主管部门，提出整改要求；将绩效评价综合情况按程序上报给政府和人大，自觉接受和配合人大监督检查。二是加大绩效评价公开力度。按照“谁组织实施，谁进行公开”的原则，各资金主管部门要在自己的门户网站和政府预决算公开专栏中同步公开，直面现实，敢于揭短，自觉接受社会公众的监督，切实提高资金使用效益。三要加强绩效评价结果与预算安排有机结合机制。在对各预算单位和相关项目进行预算安排时，应将绩效评价结果作为重要参考依据，提高绩效管理的实效性和权威性。四是将预算绩效评价与乡镇转移支付的考核挂钩。年底，政府对各乡镇分配转移支付资金时，应将预算绩效评价结果纳入到政府对乡镇的考核评估中，并将其作为资金分配的一个重要依据。五是将预算绩效评价结果与问责机制相结合，切实提高资金使用效益。应将预算绩效评价结果应用到对各单位和相关责任人的考核中，与政府绩效考核相结合，尤其是要与各单位的绩效文明考核挂钩，建立问责机制，做到奖罚分明，全方面提高政府效能，树立政府的公信力。</w:t>
      </w:r>
    </w:p>
    <w:p>
      <w:pPr>
        <w:spacing w:line="560" w:lineRule="exact"/>
        <w:ind w:left="643"/>
        <w:rPr>
          <w:rFonts w:ascii="仿宋" w:hAnsi="仿宋" w:eastAsia="仿宋" w:cs="宋体"/>
          <w:b/>
          <w:sz w:val="32"/>
          <w:szCs w:val="32"/>
        </w:rPr>
      </w:pPr>
      <w:r>
        <w:rPr>
          <w:rFonts w:hint="eastAsia" w:ascii="仿宋" w:hAnsi="仿宋" w:eastAsia="仿宋" w:cs="宋体"/>
          <w:b/>
          <w:sz w:val="32"/>
          <w:szCs w:val="32"/>
        </w:rPr>
        <w:t>5、完善机构设置，提升预算绩效管理水平</w:t>
      </w:r>
    </w:p>
    <w:p>
      <w:pPr>
        <w:spacing w:line="560" w:lineRule="exact"/>
        <w:ind w:firstLine="640" w:firstLineChars="200"/>
        <w:rPr>
          <w:rFonts w:ascii="仿宋" w:hAnsi="仿宋" w:eastAsia="仿宋" w:cs="宋体"/>
          <w:sz w:val="32"/>
          <w:szCs w:val="32"/>
        </w:rPr>
      </w:pPr>
      <w:r>
        <w:rPr>
          <w:rFonts w:hint="eastAsia" w:ascii="仿宋" w:hAnsi="仿宋" w:eastAsia="仿宋" w:cs="宋体"/>
          <w:sz w:val="32"/>
          <w:szCs w:val="32"/>
        </w:rPr>
        <w:t>当前我县财政部门的绩效评价股挂靠在预算股，相关业务工作由财政局预算股人员兼任。根据目前这一局面，今后要加强队伍建设，并在全县成立预算绩效评价领导小组，加强组织领导，为我县的预算绩效管理提升到更高水平提供组织保障。</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29DBBF1"/>
    <w:multiLevelType w:val="singleLevel"/>
    <w:tmpl w:val="529DBBF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VkNDhmZTYwNGExMTNmNzRhMmRhNGZkMWIyYTQyYjMifQ=="/>
  </w:docVars>
  <w:rsids>
    <w:rsidRoot w:val="69A969E4"/>
    <w:rsid w:val="000933B8"/>
    <w:rsid w:val="00114A26"/>
    <w:rsid w:val="0011534A"/>
    <w:rsid w:val="001764E0"/>
    <w:rsid w:val="001E4D16"/>
    <w:rsid w:val="00297183"/>
    <w:rsid w:val="002F2C2C"/>
    <w:rsid w:val="003458A9"/>
    <w:rsid w:val="00526CB3"/>
    <w:rsid w:val="00664506"/>
    <w:rsid w:val="006666EF"/>
    <w:rsid w:val="00757181"/>
    <w:rsid w:val="007A4D92"/>
    <w:rsid w:val="007A6247"/>
    <w:rsid w:val="009F3A72"/>
    <w:rsid w:val="00B825DB"/>
    <w:rsid w:val="00BE3429"/>
    <w:rsid w:val="00C23B8F"/>
    <w:rsid w:val="00CB369E"/>
    <w:rsid w:val="00CC6FDF"/>
    <w:rsid w:val="00DD61A9"/>
    <w:rsid w:val="00EE59DC"/>
    <w:rsid w:val="00FC7AEC"/>
    <w:rsid w:val="00FE40BF"/>
    <w:rsid w:val="44C82628"/>
    <w:rsid w:val="69A969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0"/>
    <w:rPr>
      <w:kern w:val="2"/>
      <w:sz w:val="18"/>
      <w:szCs w:val="18"/>
    </w:rPr>
  </w:style>
  <w:style w:type="character" w:customStyle="1" w:styleId="7">
    <w:name w:val="页脚 字符"/>
    <w:basedOn w:val="5"/>
    <w:link w:val="2"/>
    <w:uiPriority w:val="0"/>
    <w:rPr>
      <w:kern w:val="2"/>
      <w:sz w:val="18"/>
      <w:szCs w:val="18"/>
    </w:rPr>
  </w:style>
  <w:style w:type="paragraph" w:styleId="8">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11</Pages>
  <Words>4816</Words>
  <Characters>5336</Characters>
  <Lines>38</Lines>
  <Paragraphs>10</Paragraphs>
  <TotalTime>1</TotalTime>
  <ScaleCrop>false</ScaleCrop>
  <LinksUpToDate>false</LinksUpToDate>
  <CharactersWithSpaces>5343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2022-07-27T08:22:00Z</dcterms:created>
  <dc:creator>Administrator</dc:creator>
  <cp:lastModifiedBy>user</cp:lastModifiedBy>
  <dcterms:modified xsi:type="dcterms:W3CDTF">2022-07-28T07:41:17Z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FABDEF2E730948FFA49600A28ED665B2</vt:lpwstr>
  </property>
</Properties>
</file>