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eastAsia="方正小标宋_GBK"/>
          <w:bCs/>
          <w:kern w:val="0"/>
          <w:sz w:val="36"/>
          <w:szCs w:val="36"/>
        </w:rPr>
      </w:pPr>
      <w:r>
        <w:rPr>
          <w:rFonts w:eastAsia="方正小标宋_GBK"/>
          <w:bCs/>
          <w:kern w:val="0"/>
          <w:sz w:val="36"/>
          <w:szCs w:val="36"/>
        </w:rPr>
        <w:t>第</w:t>
      </w:r>
      <w:r>
        <w:rPr>
          <w:rFonts w:hint="eastAsia" w:eastAsia="方正小标宋_GBK"/>
          <w:bCs/>
          <w:kern w:val="0"/>
          <w:sz w:val="36"/>
          <w:szCs w:val="36"/>
        </w:rPr>
        <w:t>三</w:t>
      </w:r>
      <w:r>
        <w:rPr>
          <w:rFonts w:eastAsia="方正小标宋_GBK"/>
          <w:bCs/>
          <w:kern w:val="0"/>
          <w:sz w:val="36"/>
          <w:szCs w:val="36"/>
        </w:rPr>
        <w:t xml:space="preserve">部分 </w:t>
      </w:r>
      <w:r>
        <w:rPr>
          <w:rFonts w:hint="eastAsia" w:eastAsia="方正小标宋_GBK"/>
          <w:bCs/>
          <w:kern w:val="0"/>
          <w:sz w:val="36"/>
          <w:szCs w:val="36"/>
        </w:rPr>
        <w:t>相关</w:t>
      </w:r>
      <w:r>
        <w:rPr>
          <w:rFonts w:eastAsia="方正小标宋_GBK"/>
          <w:bCs/>
          <w:kern w:val="0"/>
          <w:sz w:val="36"/>
          <w:szCs w:val="36"/>
        </w:rPr>
        <w:t>说明</w:t>
      </w:r>
    </w:p>
    <w:p>
      <w:pPr>
        <w:widowControl/>
        <w:spacing w:line="600" w:lineRule="exact"/>
        <w:jc w:val="left"/>
        <w:rPr>
          <w:rFonts w:eastAsia="仿宋_GB2312"/>
          <w:b/>
          <w:bCs/>
          <w:kern w:val="0"/>
          <w:sz w:val="32"/>
          <w:szCs w:val="32"/>
        </w:rPr>
      </w:pPr>
    </w:p>
    <w:p>
      <w:pPr>
        <w:widowControl/>
        <w:spacing w:line="600" w:lineRule="exact"/>
        <w:ind w:firstLine="627" w:firstLineChars="196"/>
        <w:jc w:val="left"/>
        <w:rPr>
          <w:rFonts w:eastAsia="黑体"/>
          <w:bCs/>
          <w:kern w:val="0"/>
          <w:sz w:val="32"/>
          <w:szCs w:val="32"/>
        </w:rPr>
      </w:pPr>
      <w:r>
        <w:rPr>
          <w:rFonts w:eastAsia="黑体"/>
          <w:bCs/>
          <w:kern w:val="0"/>
          <w:sz w:val="32"/>
          <w:szCs w:val="32"/>
        </w:rPr>
        <w:t>一、税收返还和转移支付情况</w:t>
      </w:r>
    </w:p>
    <w:p>
      <w:pPr>
        <w:spacing w:line="600" w:lineRule="exact"/>
        <w:ind w:firstLine="640" w:firstLineChars="200"/>
        <w:rPr>
          <w:rFonts w:eastAsia="仿宋_GB2312"/>
          <w:color w:val="000000"/>
          <w:sz w:val="32"/>
          <w:szCs w:val="32"/>
        </w:rPr>
      </w:pPr>
      <w:r>
        <w:rPr>
          <w:rFonts w:hint="eastAsia" w:eastAsia="仿宋_GB2312"/>
          <w:color w:val="000000"/>
          <w:sz w:val="32"/>
          <w:szCs w:val="32"/>
        </w:rPr>
        <w:t>2019</w:t>
      </w:r>
      <w:r>
        <w:rPr>
          <w:rFonts w:eastAsia="仿宋_GB2312"/>
          <w:color w:val="000000"/>
          <w:sz w:val="32"/>
          <w:szCs w:val="32"/>
        </w:rPr>
        <w:t>年，</w:t>
      </w:r>
      <w:r>
        <w:rPr>
          <w:rFonts w:hint="eastAsia" w:eastAsia="仿宋_GB2312"/>
          <w:color w:val="000000"/>
          <w:sz w:val="32"/>
          <w:szCs w:val="32"/>
        </w:rPr>
        <w:t>新邵县</w:t>
      </w:r>
      <w:r>
        <w:rPr>
          <w:rFonts w:eastAsia="仿宋_GB2312"/>
          <w:color w:val="000000"/>
          <w:sz w:val="32"/>
          <w:szCs w:val="32"/>
        </w:rPr>
        <w:t>对下税收返还和转移支付预算</w:t>
      </w:r>
      <w:r>
        <w:rPr>
          <w:rFonts w:hint="eastAsia" w:eastAsia="仿宋_GB2312"/>
          <w:color w:val="000000"/>
          <w:sz w:val="32"/>
          <w:szCs w:val="32"/>
        </w:rPr>
        <w:t>241090万元</w:t>
      </w:r>
      <w:r>
        <w:rPr>
          <w:rFonts w:eastAsia="仿宋_GB2312"/>
          <w:color w:val="000000"/>
          <w:sz w:val="32"/>
          <w:szCs w:val="32"/>
        </w:rPr>
        <w:t>，比上年</w:t>
      </w:r>
      <w:r>
        <w:rPr>
          <w:rFonts w:hint="eastAsia" w:eastAsia="仿宋_GB2312"/>
          <w:color w:val="000000"/>
          <w:sz w:val="32"/>
          <w:szCs w:val="32"/>
        </w:rPr>
        <w:t>减少102790万元</w:t>
      </w:r>
      <w:r>
        <w:rPr>
          <w:rFonts w:eastAsia="仿宋_GB2312"/>
          <w:color w:val="000000"/>
          <w:sz w:val="32"/>
          <w:szCs w:val="32"/>
        </w:rPr>
        <w:t>，</w:t>
      </w:r>
      <w:r>
        <w:rPr>
          <w:rFonts w:hint="eastAsia" w:eastAsia="仿宋_GB2312"/>
          <w:color w:val="000000"/>
          <w:sz w:val="32"/>
          <w:szCs w:val="32"/>
        </w:rPr>
        <w:t>下降29.89%</w:t>
      </w:r>
      <w:r>
        <w:rPr>
          <w:rFonts w:eastAsia="仿宋_GB2312"/>
          <w:color w:val="000000"/>
          <w:sz w:val="32"/>
          <w:szCs w:val="32"/>
        </w:rPr>
        <w:t>。其中：</w:t>
      </w:r>
    </w:p>
    <w:p>
      <w:pPr>
        <w:spacing w:line="600" w:lineRule="exact"/>
        <w:ind w:firstLine="643" w:firstLineChars="200"/>
        <w:rPr>
          <w:rFonts w:eastAsia="楷体_GB2312"/>
          <w:b/>
          <w:color w:val="000000"/>
          <w:sz w:val="32"/>
          <w:szCs w:val="32"/>
        </w:rPr>
      </w:pPr>
      <w:r>
        <w:rPr>
          <w:rFonts w:eastAsia="楷体_GB2312"/>
          <w:b/>
          <w:color w:val="000000"/>
          <w:sz w:val="32"/>
          <w:szCs w:val="32"/>
        </w:rPr>
        <w:t>（一）税收返还</w:t>
      </w:r>
    </w:p>
    <w:p>
      <w:pPr>
        <w:spacing w:line="600" w:lineRule="exact"/>
        <w:ind w:firstLine="640" w:firstLineChars="200"/>
        <w:rPr>
          <w:rFonts w:eastAsia="仿宋_GB2312"/>
          <w:color w:val="000000"/>
          <w:sz w:val="32"/>
          <w:szCs w:val="32"/>
        </w:rPr>
      </w:pPr>
      <w:r>
        <w:rPr>
          <w:rFonts w:eastAsia="仿宋_GB2312"/>
          <w:color w:val="000000"/>
          <w:sz w:val="32"/>
          <w:szCs w:val="32"/>
        </w:rPr>
        <w:t>税收返还</w:t>
      </w:r>
      <w:r>
        <w:rPr>
          <w:rFonts w:hint="eastAsia" w:eastAsia="仿宋_GB2312"/>
          <w:color w:val="000000"/>
          <w:sz w:val="32"/>
          <w:szCs w:val="32"/>
        </w:rPr>
        <w:t>5600万元</w:t>
      </w:r>
      <w:r>
        <w:rPr>
          <w:rFonts w:eastAsia="仿宋_GB2312"/>
          <w:color w:val="000000"/>
          <w:sz w:val="32"/>
          <w:szCs w:val="32"/>
        </w:rPr>
        <w:t>，与上年</w:t>
      </w:r>
      <w:r>
        <w:rPr>
          <w:rFonts w:hint="eastAsia" w:eastAsia="仿宋_GB2312"/>
          <w:color w:val="000000"/>
          <w:sz w:val="32"/>
          <w:szCs w:val="32"/>
        </w:rPr>
        <w:t>持平</w:t>
      </w:r>
      <w:r>
        <w:rPr>
          <w:rFonts w:eastAsia="仿宋_GB2312"/>
          <w:color w:val="000000"/>
          <w:sz w:val="32"/>
          <w:szCs w:val="32"/>
        </w:rPr>
        <w:t>。其中：</w:t>
      </w:r>
    </w:p>
    <w:p>
      <w:pPr>
        <w:spacing w:line="600" w:lineRule="exact"/>
        <w:ind w:firstLine="640" w:firstLineChars="200"/>
        <w:rPr>
          <w:rFonts w:eastAsia="仿宋_GB2312"/>
          <w:color w:val="000000"/>
          <w:sz w:val="32"/>
          <w:szCs w:val="32"/>
        </w:rPr>
      </w:pPr>
      <w:r>
        <w:rPr>
          <w:rFonts w:eastAsia="仿宋_GB2312"/>
          <w:color w:val="000000"/>
          <w:sz w:val="32"/>
          <w:szCs w:val="32"/>
        </w:rPr>
        <w:t>增值税</w:t>
      </w:r>
      <w:r>
        <w:rPr>
          <w:rFonts w:hint="eastAsia" w:eastAsia="仿宋_GB2312"/>
          <w:color w:val="000000"/>
          <w:sz w:val="32"/>
          <w:szCs w:val="32"/>
        </w:rPr>
        <w:t>和消费</w:t>
      </w:r>
      <w:r>
        <w:rPr>
          <w:rFonts w:eastAsia="仿宋_GB2312"/>
          <w:color w:val="000000"/>
          <w:sz w:val="32"/>
          <w:szCs w:val="32"/>
        </w:rPr>
        <w:t>税收返还</w:t>
      </w:r>
      <w:r>
        <w:rPr>
          <w:rFonts w:hint="eastAsia" w:eastAsia="仿宋_GB2312"/>
          <w:color w:val="000000"/>
          <w:sz w:val="32"/>
          <w:szCs w:val="32"/>
        </w:rPr>
        <w:t>3222万元</w:t>
      </w:r>
      <w:r>
        <w:rPr>
          <w:rFonts w:eastAsia="仿宋_GB2312"/>
          <w:color w:val="000000"/>
          <w:sz w:val="32"/>
          <w:szCs w:val="32"/>
        </w:rPr>
        <w:t>;</w:t>
      </w:r>
    </w:p>
    <w:p>
      <w:pPr>
        <w:spacing w:line="600" w:lineRule="exact"/>
        <w:ind w:firstLine="640" w:firstLineChars="200"/>
        <w:rPr>
          <w:rFonts w:eastAsia="仿宋_GB2312"/>
          <w:color w:val="000000"/>
          <w:sz w:val="32"/>
          <w:szCs w:val="32"/>
        </w:rPr>
      </w:pPr>
      <w:r>
        <w:rPr>
          <w:rFonts w:eastAsia="仿宋_GB2312"/>
          <w:color w:val="000000"/>
          <w:sz w:val="32"/>
          <w:szCs w:val="32"/>
        </w:rPr>
        <w:t>消费税税收返还</w:t>
      </w:r>
      <w:r>
        <w:rPr>
          <w:rFonts w:hint="eastAsia" w:eastAsia="仿宋_GB2312"/>
          <w:color w:val="000000"/>
          <w:sz w:val="32"/>
          <w:szCs w:val="32"/>
        </w:rPr>
        <w:t>5万元</w:t>
      </w:r>
      <w:r>
        <w:rPr>
          <w:rFonts w:eastAsia="仿宋_GB2312"/>
          <w:color w:val="000000"/>
          <w:sz w:val="32"/>
          <w:szCs w:val="32"/>
        </w:rPr>
        <w:t>;</w:t>
      </w:r>
    </w:p>
    <w:p>
      <w:pPr>
        <w:spacing w:line="600" w:lineRule="exact"/>
        <w:ind w:firstLine="640" w:firstLineChars="200"/>
        <w:rPr>
          <w:rFonts w:eastAsia="仿宋_GB2312"/>
          <w:color w:val="000000"/>
          <w:sz w:val="32"/>
          <w:szCs w:val="32"/>
        </w:rPr>
      </w:pPr>
      <w:r>
        <w:rPr>
          <w:rFonts w:eastAsia="仿宋_GB2312"/>
          <w:color w:val="000000"/>
          <w:sz w:val="32"/>
          <w:szCs w:val="32"/>
        </w:rPr>
        <w:t>所得税基数返还</w:t>
      </w:r>
      <w:r>
        <w:rPr>
          <w:rFonts w:hint="eastAsia" w:eastAsia="仿宋_GB2312"/>
          <w:color w:val="000000"/>
          <w:sz w:val="32"/>
          <w:szCs w:val="32"/>
        </w:rPr>
        <w:t>420万元</w:t>
      </w:r>
      <w:r>
        <w:rPr>
          <w:rFonts w:eastAsia="仿宋_GB2312"/>
          <w:color w:val="000000"/>
          <w:sz w:val="32"/>
          <w:szCs w:val="32"/>
        </w:rPr>
        <w:t>;</w:t>
      </w:r>
    </w:p>
    <w:p>
      <w:pPr>
        <w:spacing w:line="600" w:lineRule="exact"/>
        <w:ind w:firstLine="640" w:firstLineChars="200"/>
        <w:rPr>
          <w:rFonts w:eastAsia="仿宋_GB2312"/>
          <w:color w:val="000000"/>
          <w:sz w:val="32"/>
          <w:szCs w:val="32"/>
        </w:rPr>
      </w:pPr>
      <w:r>
        <w:rPr>
          <w:rFonts w:eastAsia="仿宋_GB2312"/>
          <w:color w:val="000000"/>
          <w:sz w:val="32"/>
          <w:szCs w:val="32"/>
        </w:rPr>
        <w:t>成品油税费改革税收返还</w:t>
      </w:r>
      <w:r>
        <w:rPr>
          <w:rFonts w:hint="eastAsia" w:eastAsia="仿宋_GB2312"/>
          <w:color w:val="000000"/>
          <w:sz w:val="32"/>
          <w:szCs w:val="32"/>
        </w:rPr>
        <w:t>807万元</w:t>
      </w:r>
      <w:r>
        <w:rPr>
          <w:rFonts w:eastAsia="仿宋_GB2312"/>
          <w:color w:val="000000"/>
          <w:sz w:val="32"/>
          <w:szCs w:val="32"/>
        </w:rPr>
        <w:t>;</w:t>
      </w:r>
    </w:p>
    <w:p>
      <w:pPr>
        <w:spacing w:line="600" w:lineRule="exact"/>
        <w:ind w:firstLine="640" w:firstLineChars="200"/>
        <w:rPr>
          <w:rFonts w:eastAsia="仿宋_GB2312"/>
          <w:color w:val="000000"/>
          <w:sz w:val="32"/>
          <w:szCs w:val="32"/>
        </w:rPr>
      </w:pPr>
      <w:r>
        <w:rPr>
          <w:rFonts w:eastAsia="仿宋_GB2312"/>
          <w:color w:val="000000"/>
          <w:sz w:val="32"/>
          <w:szCs w:val="32"/>
        </w:rPr>
        <w:t>其他税收返还</w:t>
      </w:r>
      <w:r>
        <w:rPr>
          <w:rFonts w:hint="eastAsia" w:eastAsia="仿宋_GB2312"/>
          <w:color w:val="000000"/>
          <w:sz w:val="32"/>
          <w:szCs w:val="32"/>
        </w:rPr>
        <w:t>1146万元</w:t>
      </w:r>
      <w:r>
        <w:rPr>
          <w:rFonts w:eastAsia="仿宋_GB2312"/>
          <w:color w:val="000000"/>
          <w:sz w:val="32"/>
          <w:szCs w:val="32"/>
        </w:rPr>
        <w:t>;</w:t>
      </w:r>
    </w:p>
    <w:p>
      <w:pPr>
        <w:spacing w:line="600" w:lineRule="exact"/>
        <w:ind w:firstLine="643" w:firstLineChars="200"/>
        <w:rPr>
          <w:rFonts w:eastAsia="楷体_GB2312"/>
          <w:b/>
          <w:color w:val="000000"/>
          <w:sz w:val="32"/>
          <w:szCs w:val="32"/>
        </w:rPr>
      </w:pPr>
      <w:r>
        <w:rPr>
          <w:rFonts w:eastAsia="楷体_GB2312"/>
          <w:b/>
          <w:color w:val="000000"/>
          <w:sz w:val="32"/>
          <w:szCs w:val="32"/>
        </w:rPr>
        <w:t>（二）一般性转移支付</w:t>
      </w:r>
    </w:p>
    <w:p>
      <w:pPr>
        <w:spacing w:line="600" w:lineRule="exact"/>
        <w:ind w:firstLine="640" w:firstLineChars="200"/>
        <w:rPr>
          <w:rFonts w:eastAsia="仿宋_GB2312"/>
          <w:color w:val="000000"/>
          <w:sz w:val="32"/>
          <w:szCs w:val="32"/>
        </w:rPr>
      </w:pPr>
      <w:r>
        <w:rPr>
          <w:rFonts w:eastAsia="仿宋_GB2312"/>
          <w:color w:val="000000"/>
          <w:sz w:val="32"/>
          <w:szCs w:val="32"/>
        </w:rPr>
        <w:t>一般性转移支付</w:t>
      </w:r>
      <w:r>
        <w:rPr>
          <w:rFonts w:hint="eastAsia" w:eastAsia="仿宋_GB2312"/>
          <w:color w:val="000000"/>
          <w:sz w:val="32"/>
          <w:szCs w:val="32"/>
        </w:rPr>
        <w:t>202347万元</w:t>
      </w:r>
      <w:r>
        <w:rPr>
          <w:rFonts w:eastAsia="仿宋_GB2312"/>
          <w:color w:val="000000"/>
          <w:sz w:val="32"/>
          <w:szCs w:val="32"/>
        </w:rPr>
        <w:t>，比上年</w:t>
      </w:r>
      <w:r>
        <w:rPr>
          <w:rFonts w:hint="eastAsia" w:eastAsia="仿宋_GB2312"/>
          <w:color w:val="000000"/>
          <w:sz w:val="32"/>
          <w:szCs w:val="32"/>
        </w:rPr>
        <w:t>减少53613万元</w:t>
      </w:r>
      <w:r>
        <w:rPr>
          <w:rFonts w:eastAsia="仿宋_GB2312"/>
          <w:color w:val="000000"/>
          <w:sz w:val="32"/>
          <w:szCs w:val="32"/>
        </w:rPr>
        <w:t>，降低</w:t>
      </w:r>
      <w:r>
        <w:rPr>
          <w:rFonts w:hint="eastAsia" w:eastAsia="仿宋_GB2312"/>
          <w:color w:val="000000"/>
          <w:sz w:val="32"/>
          <w:szCs w:val="32"/>
        </w:rPr>
        <w:t>20.95%</w:t>
      </w:r>
      <w:r>
        <w:rPr>
          <w:rFonts w:eastAsia="仿宋_GB2312"/>
          <w:color w:val="000000"/>
          <w:sz w:val="32"/>
          <w:szCs w:val="32"/>
        </w:rPr>
        <w:t>，主要是</w:t>
      </w:r>
      <w:r>
        <w:rPr>
          <w:rFonts w:hint="eastAsia" w:eastAsia="仿宋_GB2312"/>
          <w:color w:val="000000"/>
          <w:sz w:val="32"/>
          <w:szCs w:val="32"/>
        </w:rPr>
        <w:t>贫困地区转移支付、其他一般性转移支付、基本养老保险和低保等转移支付预算时较上年减少</w:t>
      </w:r>
      <w:r>
        <w:rPr>
          <w:rFonts w:eastAsia="仿宋_GB2312"/>
          <w:color w:val="000000"/>
          <w:sz w:val="32"/>
          <w:szCs w:val="32"/>
        </w:rPr>
        <w:t xml:space="preserve">。其中： </w:t>
      </w:r>
    </w:p>
    <w:p>
      <w:pPr>
        <w:spacing w:line="600" w:lineRule="exact"/>
        <w:ind w:firstLine="640" w:firstLineChars="200"/>
        <w:rPr>
          <w:rFonts w:eastAsia="仿宋_GB2312"/>
          <w:color w:val="000000"/>
          <w:sz w:val="32"/>
          <w:szCs w:val="32"/>
        </w:rPr>
      </w:pPr>
      <w:r>
        <w:rPr>
          <w:rFonts w:hint="eastAsia" w:eastAsia="仿宋_GB2312"/>
          <w:color w:val="000000"/>
          <w:sz w:val="32"/>
          <w:szCs w:val="32"/>
        </w:rPr>
        <w:t>1</w:t>
      </w:r>
      <w:r>
        <w:rPr>
          <w:rFonts w:eastAsia="仿宋_GB2312"/>
          <w:color w:val="000000"/>
          <w:sz w:val="32"/>
          <w:szCs w:val="32"/>
        </w:rPr>
        <w:t>.</w:t>
      </w:r>
      <w:r>
        <w:rPr>
          <w:rFonts w:hint="eastAsia" w:eastAsia="仿宋_GB2312"/>
          <w:color w:val="000000"/>
          <w:sz w:val="32"/>
          <w:szCs w:val="32"/>
        </w:rPr>
        <w:t>体制补助收入1618万元，与上年增长持平；</w:t>
      </w:r>
    </w:p>
    <w:p>
      <w:pPr>
        <w:pStyle w:val="8"/>
        <w:spacing w:line="600" w:lineRule="exact"/>
        <w:ind w:left="420" w:firstLine="0" w:firstLineChars="0"/>
        <w:rPr>
          <w:rFonts w:eastAsia="仿宋_GB2312"/>
          <w:color w:val="000000"/>
          <w:sz w:val="32"/>
          <w:szCs w:val="32"/>
        </w:rPr>
      </w:pPr>
      <w:r>
        <w:rPr>
          <w:rFonts w:hint="eastAsia" w:eastAsia="仿宋_GB2312"/>
          <w:color w:val="000000"/>
          <w:sz w:val="32"/>
          <w:szCs w:val="32"/>
        </w:rPr>
        <w:t xml:space="preserve"> 2.</w:t>
      </w:r>
      <w:r>
        <w:rPr>
          <w:rFonts w:eastAsia="仿宋_GB2312"/>
          <w:color w:val="000000"/>
          <w:sz w:val="32"/>
          <w:szCs w:val="32"/>
        </w:rPr>
        <w:t>均衡性转移支付</w:t>
      </w:r>
      <w:r>
        <w:rPr>
          <w:rFonts w:hint="eastAsia" w:eastAsia="仿宋_GB2312"/>
          <w:color w:val="000000"/>
          <w:sz w:val="32"/>
          <w:szCs w:val="32"/>
        </w:rPr>
        <w:t>65047万元</w:t>
      </w:r>
      <w:r>
        <w:rPr>
          <w:rFonts w:eastAsia="仿宋_GB2312"/>
          <w:color w:val="000000"/>
          <w:sz w:val="32"/>
          <w:szCs w:val="32"/>
        </w:rPr>
        <w:t xml:space="preserve"> 比上年增加</w:t>
      </w:r>
      <w:r>
        <w:rPr>
          <w:rFonts w:hint="eastAsia" w:eastAsia="仿宋_GB2312"/>
          <w:color w:val="000000"/>
          <w:sz w:val="32"/>
          <w:szCs w:val="32"/>
        </w:rPr>
        <w:t>1381万元</w:t>
      </w:r>
      <w:r>
        <w:rPr>
          <w:rFonts w:eastAsia="仿宋_GB2312"/>
          <w:color w:val="000000"/>
          <w:sz w:val="32"/>
          <w:szCs w:val="32"/>
        </w:rPr>
        <w:t>，增长</w:t>
      </w:r>
      <w:r>
        <w:rPr>
          <w:rFonts w:hint="eastAsia" w:eastAsia="仿宋_GB2312"/>
          <w:color w:val="000000"/>
          <w:sz w:val="32"/>
          <w:szCs w:val="32"/>
        </w:rPr>
        <w:t>2.17%</w:t>
      </w:r>
      <w:r>
        <w:rPr>
          <w:rFonts w:eastAsia="仿宋_GB2312"/>
          <w:color w:val="000000"/>
          <w:sz w:val="32"/>
          <w:szCs w:val="32"/>
        </w:rPr>
        <w:t>，</w:t>
      </w:r>
      <w:r>
        <w:rPr>
          <w:rFonts w:hint="eastAsia" w:eastAsia="仿宋_GB2312"/>
          <w:color w:val="000000"/>
          <w:sz w:val="32"/>
          <w:szCs w:val="32"/>
        </w:rPr>
        <w:t>增加</w:t>
      </w:r>
      <w:r>
        <w:rPr>
          <w:rFonts w:eastAsia="仿宋_GB2312"/>
          <w:color w:val="000000"/>
          <w:sz w:val="32"/>
          <w:szCs w:val="32"/>
        </w:rPr>
        <w:t>主要</w:t>
      </w:r>
      <w:r>
        <w:rPr>
          <w:rFonts w:hint="eastAsia" w:eastAsia="仿宋_GB2312"/>
          <w:color w:val="000000"/>
          <w:sz w:val="32"/>
          <w:szCs w:val="32"/>
        </w:rPr>
        <w:t>原因</w:t>
      </w:r>
      <w:r>
        <w:rPr>
          <w:rFonts w:eastAsia="仿宋_GB2312"/>
          <w:color w:val="000000"/>
          <w:sz w:val="32"/>
          <w:szCs w:val="32"/>
        </w:rPr>
        <w:t>是</w:t>
      </w:r>
      <w:r>
        <w:rPr>
          <w:rFonts w:hint="eastAsia" w:eastAsia="仿宋_GB2312"/>
          <w:color w:val="000000"/>
          <w:sz w:val="32"/>
          <w:szCs w:val="32"/>
        </w:rPr>
        <w:t>人员增资等因素</w:t>
      </w:r>
      <w:r>
        <w:rPr>
          <w:rFonts w:eastAsia="仿宋_GB2312"/>
          <w:color w:val="000000"/>
          <w:sz w:val="32"/>
          <w:szCs w:val="32"/>
        </w:rPr>
        <w:t>;</w:t>
      </w:r>
    </w:p>
    <w:p>
      <w:pPr>
        <w:pStyle w:val="8"/>
        <w:spacing w:line="600" w:lineRule="exact"/>
        <w:ind w:left="420" w:firstLine="0" w:firstLineChars="0"/>
        <w:rPr>
          <w:rFonts w:eastAsia="仿宋_GB2312"/>
          <w:color w:val="000000"/>
          <w:sz w:val="32"/>
          <w:szCs w:val="32"/>
        </w:rPr>
      </w:pPr>
      <w:r>
        <w:rPr>
          <w:rFonts w:hint="eastAsia" w:eastAsia="仿宋_GB2312"/>
          <w:color w:val="000000"/>
          <w:sz w:val="32"/>
          <w:szCs w:val="32"/>
        </w:rPr>
        <w:t xml:space="preserve">  3.县级基本财力保障机制奖补资金收入22156万元，比上年减少2770万元，降低11%，减少主要原因是上年部分一次性补助未纳入当年预算；</w:t>
      </w:r>
    </w:p>
    <w:p>
      <w:pPr>
        <w:pStyle w:val="8"/>
        <w:spacing w:line="600" w:lineRule="exact"/>
        <w:ind w:left="420" w:firstLine="0" w:firstLineChars="0"/>
        <w:rPr>
          <w:rFonts w:eastAsia="仿宋_GB2312"/>
          <w:color w:val="000000"/>
          <w:sz w:val="32"/>
          <w:szCs w:val="32"/>
        </w:rPr>
      </w:pPr>
      <w:r>
        <w:rPr>
          <w:rFonts w:hint="eastAsia" w:eastAsia="仿宋_GB2312"/>
          <w:color w:val="000000"/>
          <w:sz w:val="32"/>
          <w:szCs w:val="32"/>
        </w:rPr>
        <w:t>4、</w:t>
      </w:r>
      <w:r>
        <w:rPr>
          <w:rFonts w:eastAsia="仿宋_GB2312"/>
          <w:color w:val="000000"/>
          <w:sz w:val="32"/>
          <w:szCs w:val="32"/>
        </w:rPr>
        <w:t>结算补助</w:t>
      </w:r>
      <w:r>
        <w:rPr>
          <w:rFonts w:hint="eastAsia" w:eastAsia="仿宋_GB2312"/>
          <w:color w:val="000000"/>
          <w:sz w:val="32"/>
          <w:szCs w:val="32"/>
        </w:rPr>
        <w:t>2652万元</w:t>
      </w:r>
      <w:r>
        <w:rPr>
          <w:rFonts w:eastAsia="仿宋_GB2312"/>
          <w:color w:val="000000"/>
          <w:sz w:val="32"/>
          <w:szCs w:val="32"/>
        </w:rPr>
        <w:t>, 比上年减少</w:t>
      </w:r>
      <w:r>
        <w:rPr>
          <w:rFonts w:hint="eastAsia" w:eastAsia="仿宋_GB2312"/>
          <w:color w:val="000000"/>
          <w:sz w:val="32"/>
          <w:szCs w:val="32"/>
        </w:rPr>
        <w:t>1582万元</w:t>
      </w:r>
      <w:r>
        <w:rPr>
          <w:rFonts w:eastAsia="仿宋_GB2312"/>
          <w:color w:val="000000"/>
          <w:sz w:val="32"/>
          <w:szCs w:val="32"/>
        </w:rPr>
        <w:t>，降低</w:t>
      </w:r>
      <w:r>
        <w:rPr>
          <w:rFonts w:hint="eastAsia" w:eastAsia="仿宋_GB2312"/>
          <w:color w:val="000000"/>
          <w:sz w:val="32"/>
          <w:szCs w:val="32"/>
        </w:rPr>
        <w:t>37.36%</w:t>
      </w:r>
      <w:r>
        <w:rPr>
          <w:rFonts w:eastAsia="仿宋_GB2312"/>
          <w:color w:val="000000"/>
          <w:sz w:val="32"/>
          <w:szCs w:val="32"/>
        </w:rPr>
        <w:t>，主要是</w:t>
      </w:r>
      <w:r>
        <w:rPr>
          <w:rFonts w:hint="eastAsia" w:eastAsia="仿宋_GB2312"/>
          <w:color w:val="000000"/>
          <w:sz w:val="32"/>
          <w:szCs w:val="32"/>
        </w:rPr>
        <w:t>预算时采取了谨慎性原则</w:t>
      </w:r>
      <w:r>
        <w:rPr>
          <w:rFonts w:eastAsia="仿宋_GB2312"/>
          <w:color w:val="000000"/>
          <w:sz w:val="32"/>
          <w:szCs w:val="32"/>
        </w:rPr>
        <w:t>;</w:t>
      </w:r>
    </w:p>
    <w:p>
      <w:pPr>
        <w:pStyle w:val="8"/>
        <w:spacing w:line="600" w:lineRule="exact"/>
        <w:ind w:left="420" w:firstLine="0" w:firstLineChars="0"/>
        <w:rPr>
          <w:rFonts w:eastAsia="仿宋_GB2312"/>
          <w:color w:val="000000"/>
          <w:sz w:val="32"/>
          <w:szCs w:val="32"/>
        </w:rPr>
      </w:pPr>
      <w:r>
        <w:rPr>
          <w:rFonts w:hint="eastAsia" w:eastAsia="仿宋_GB2312"/>
          <w:color w:val="000000"/>
          <w:sz w:val="32"/>
          <w:szCs w:val="32"/>
        </w:rPr>
        <w:t>5、企事业单位划转补助收入215万元，与上年增长持平；6、基层公检法司转移支付收入471万元，比上年减少499万元，降低51%；主要减少原因是2019年法院、检察院上划；</w:t>
      </w:r>
    </w:p>
    <w:p>
      <w:pPr>
        <w:pStyle w:val="8"/>
        <w:spacing w:line="600" w:lineRule="exact"/>
        <w:ind w:left="420" w:firstLine="0" w:firstLineChars="0"/>
        <w:rPr>
          <w:rFonts w:eastAsia="仿宋_GB2312"/>
          <w:color w:val="000000"/>
          <w:sz w:val="32"/>
          <w:szCs w:val="32"/>
        </w:rPr>
      </w:pPr>
      <w:r>
        <w:rPr>
          <w:rFonts w:hint="eastAsia" w:eastAsia="仿宋_GB2312"/>
          <w:color w:val="000000"/>
          <w:sz w:val="32"/>
          <w:szCs w:val="32"/>
        </w:rPr>
        <w:t>7、义务教育转移支付收入20296万元，比上年减少6711万元，降低25%，主要原因是根据谨慎性原则部分一次性补助未纳入当年预算安排；</w:t>
      </w:r>
    </w:p>
    <w:p>
      <w:pPr>
        <w:pStyle w:val="8"/>
        <w:spacing w:line="600" w:lineRule="exact"/>
        <w:ind w:left="420" w:firstLine="0" w:firstLineChars="0"/>
        <w:rPr>
          <w:rFonts w:eastAsia="仿宋_GB2312"/>
          <w:color w:val="000000"/>
          <w:sz w:val="32"/>
          <w:szCs w:val="32"/>
        </w:rPr>
      </w:pPr>
      <w:r>
        <w:rPr>
          <w:rFonts w:hint="eastAsia" w:eastAsia="仿宋_GB2312"/>
          <w:color w:val="000000"/>
          <w:sz w:val="32"/>
          <w:szCs w:val="32"/>
        </w:rPr>
        <w:t>8、基本养老金转移支付收入20151万元，比上年减少7745万元，降低28%，主要原因是上年一次性调整部分未做基数纳入年初预算；</w:t>
      </w:r>
    </w:p>
    <w:p>
      <w:pPr>
        <w:pStyle w:val="8"/>
        <w:spacing w:line="600" w:lineRule="exact"/>
        <w:ind w:left="420" w:firstLine="0" w:firstLineChars="0"/>
        <w:rPr>
          <w:rFonts w:eastAsia="仿宋_GB2312"/>
          <w:color w:val="000000"/>
          <w:sz w:val="32"/>
          <w:szCs w:val="32"/>
        </w:rPr>
      </w:pPr>
      <w:r>
        <w:rPr>
          <w:rFonts w:hint="eastAsia" w:eastAsia="仿宋_GB2312"/>
          <w:color w:val="000000"/>
          <w:sz w:val="32"/>
          <w:szCs w:val="32"/>
        </w:rPr>
        <w:t>9、城乡居民医疗保险转移支付收入28704万元，比上年减少4165万元，降低13%，主要原因是上年一次性调整部分未做基数纳入年初预算；</w:t>
      </w:r>
    </w:p>
    <w:p>
      <w:pPr>
        <w:pStyle w:val="8"/>
        <w:spacing w:line="600" w:lineRule="exact"/>
        <w:ind w:left="420" w:firstLine="0" w:firstLineChars="0"/>
        <w:rPr>
          <w:rFonts w:eastAsia="仿宋_GB2312"/>
          <w:color w:val="000000"/>
          <w:sz w:val="32"/>
          <w:szCs w:val="32"/>
        </w:rPr>
      </w:pPr>
      <w:r>
        <w:rPr>
          <w:rFonts w:hint="eastAsia" w:eastAsia="仿宋_GB2312"/>
          <w:color w:val="000000"/>
          <w:sz w:val="32"/>
          <w:szCs w:val="32"/>
        </w:rPr>
        <w:t>10、农村综合改革转移支付收入3857万元，比上年减少720万元，降低16%，主要原因是上年一次性调整部分未做基数纳入年初预算；</w:t>
      </w:r>
    </w:p>
    <w:p>
      <w:pPr>
        <w:pStyle w:val="8"/>
        <w:spacing w:line="600" w:lineRule="exact"/>
        <w:ind w:left="420" w:firstLine="0" w:firstLineChars="0"/>
        <w:rPr>
          <w:rFonts w:eastAsia="仿宋_GB2312"/>
          <w:color w:val="000000"/>
          <w:sz w:val="32"/>
          <w:szCs w:val="32"/>
        </w:rPr>
      </w:pPr>
      <w:r>
        <w:rPr>
          <w:rFonts w:hint="eastAsia" w:eastAsia="仿宋_GB2312"/>
          <w:color w:val="000000"/>
          <w:sz w:val="32"/>
          <w:szCs w:val="32"/>
        </w:rPr>
        <w:t>11、产粮油大县奖励转移支付收入2433万元，比上年增加703万元，增长41%，主要原因是将上年调出部分仍列入本年预算；</w:t>
      </w:r>
    </w:p>
    <w:p>
      <w:pPr>
        <w:pStyle w:val="8"/>
        <w:spacing w:line="600" w:lineRule="exact"/>
        <w:ind w:left="420" w:firstLine="0" w:firstLineChars="0"/>
        <w:rPr>
          <w:rFonts w:eastAsia="仿宋_GB2312"/>
          <w:color w:val="000000"/>
          <w:sz w:val="32"/>
          <w:szCs w:val="32"/>
        </w:rPr>
      </w:pPr>
      <w:r>
        <w:rPr>
          <w:rFonts w:hint="eastAsia" w:eastAsia="仿宋_GB2312"/>
          <w:color w:val="000000"/>
          <w:sz w:val="32"/>
          <w:szCs w:val="32"/>
        </w:rPr>
        <w:t>12、重点生态功能区转移支付收入4693万元，比上年减少351万元，降低减少6.9%，减少原因上年增量部分未列入本年预算；</w:t>
      </w:r>
    </w:p>
    <w:p>
      <w:pPr>
        <w:widowControl/>
        <w:spacing w:before="100" w:beforeAutospacing="1" w:after="100" w:afterAutospacing="1" w:line="390" w:lineRule="atLeast"/>
        <w:jc w:val="left"/>
        <w:rPr>
          <w:rFonts w:eastAsia="仿宋_GB2312"/>
          <w:color w:val="000000"/>
          <w:sz w:val="32"/>
          <w:szCs w:val="32"/>
        </w:rPr>
      </w:pPr>
      <w:r>
        <w:rPr>
          <w:rFonts w:hint="eastAsia" w:eastAsia="仿宋_GB2312"/>
          <w:color w:val="000000"/>
          <w:sz w:val="32"/>
          <w:szCs w:val="32"/>
        </w:rPr>
        <w:t>13、固定数额补助转移支付收入14528万元，比上年减少1131万元，降低7.2%；</w:t>
      </w:r>
    </w:p>
    <w:p>
      <w:pPr>
        <w:widowControl/>
        <w:spacing w:before="100" w:beforeAutospacing="1" w:after="100" w:afterAutospacing="1" w:line="390" w:lineRule="atLeast"/>
        <w:jc w:val="left"/>
        <w:rPr>
          <w:rFonts w:eastAsia="仿宋_GB2312"/>
          <w:color w:val="000000"/>
          <w:sz w:val="32"/>
          <w:szCs w:val="32"/>
        </w:rPr>
      </w:pPr>
      <w:r>
        <w:rPr>
          <w:rFonts w:hint="eastAsia" w:eastAsia="仿宋_GB2312"/>
          <w:color w:val="000000"/>
          <w:sz w:val="32"/>
          <w:szCs w:val="32"/>
        </w:rPr>
        <w:t>14、革命老区转移支付收入180万元，与上年增长持平；</w:t>
      </w:r>
    </w:p>
    <w:p>
      <w:pPr>
        <w:widowControl/>
        <w:spacing w:before="100" w:beforeAutospacing="1" w:after="100" w:afterAutospacing="1" w:line="390" w:lineRule="atLeast"/>
        <w:jc w:val="left"/>
        <w:rPr>
          <w:rFonts w:eastAsia="仿宋_GB2312"/>
          <w:color w:val="000000"/>
          <w:sz w:val="32"/>
          <w:szCs w:val="32"/>
        </w:rPr>
      </w:pPr>
      <w:r>
        <w:rPr>
          <w:rFonts w:hint="eastAsia" w:eastAsia="仿宋_GB2312"/>
          <w:color w:val="000000"/>
          <w:sz w:val="32"/>
          <w:szCs w:val="32"/>
        </w:rPr>
        <w:t>15、贫困地区转移支付收入5169万元，比上年减少14320万元，降低73%，主要剔除了上年一次性补助等因素；</w:t>
      </w:r>
    </w:p>
    <w:p>
      <w:pPr>
        <w:widowControl/>
        <w:spacing w:before="100" w:beforeAutospacing="1" w:after="100" w:afterAutospacing="1" w:line="390" w:lineRule="atLeast"/>
        <w:jc w:val="left"/>
        <w:rPr>
          <w:rFonts w:eastAsia="仿宋_GB2312"/>
          <w:color w:val="000000"/>
          <w:sz w:val="32"/>
          <w:szCs w:val="32"/>
        </w:rPr>
      </w:pPr>
      <w:r>
        <w:rPr>
          <w:rFonts w:hint="eastAsia" w:eastAsia="仿宋_GB2312"/>
          <w:color w:val="000000"/>
          <w:sz w:val="32"/>
          <w:szCs w:val="32"/>
        </w:rPr>
        <w:t>16、其他一般性转移支付收入10177万元，比上年减少15753万元，降低60%，主要是上年一次性项目在本年度不可持续，未纳入本年预算。</w:t>
      </w:r>
    </w:p>
    <w:p>
      <w:pPr>
        <w:spacing w:line="580" w:lineRule="exact"/>
        <w:ind w:firstLine="640" w:firstLineChars="200"/>
        <w:rPr>
          <w:rFonts w:eastAsia="仿宋_GB2312"/>
          <w:color w:val="000000"/>
          <w:sz w:val="32"/>
          <w:szCs w:val="32"/>
        </w:rPr>
      </w:pPr>
      <w:r>
        <w:rPr>
          <w:rFonts w:eastAsia="仿宋_GB2312"/>
          <w:color w:val="000000"/>
          <w:sz w:val="32"/>
          <w:szCs w:val="32"/>
        </w:rPr>
        <w:t>（三）专项转移支付</w:t>
      </w:r>
    </w:p>
    <w:p>
      <w:pPr>
        <w:spacing w:line="580" w:lineRule="exact"/>
        <w:ind w:firstLine="640" w:firstLineChars="200"/>
        <w:rPr>
          <w:rFonts w:eastAsia="仿宋_GB2312"/>
          <w:color w:val="000000"/>
          <w:sz w:val="32"/>
          <w:szCs w:val="32"/>
        </w:rPr>
      </w:pPr>
      <w:r>
        <w:rPr>
          <w:rFonts w:eastAsia="仿宋_GB2312"/>
          <w:color w:val="000000"/>
          <w:sz w:val="32"/>
          <w:szCs w:val="32"/>
        </w:rPr>
        <w:t>专项转移支付</w:t>
      </w:r>
      <w:r>
        <w:rPr>
          <w:rFonts w:hint="eastAsia" w:eastAsia="仿宋_GB2312"/>
          <w:color w:val="000000"/>
          <w:sz w:val="32"/>
          <w:szCs w:val="32"/>
        </w:rPr>
        <w:t>33143万元</w:t>
      </w:r>
      <w:r>
        <w:rPr>
          <w:rFonts w:eastAsia="仿宋_GB2312"/>
          <w:color w:val="000000"/>
          <w:sz w:val="32"/>
          <w:szCs w:val="32"/>
        </w:rPr>
        <w:t>，比上年增增加（减少）</w:t>
      </w:r>
      <w:r>
        <w:rPr>
          <w:rFonts w:hint="eastAsia" w:eastAsia="仿宋_GB2312"/>
          <w:color w:val="000000"/>
          <w:sz w:val="32"/>
          <w:szCs w:val="32"/>
        </w:rPr>
        <w:t>49177万元</w:t>
      </w:r>
      <w:r>
        <w:rPr>
          <w:rFonts w:eastAsia="仿宋_GB2312"/>
          <w:color w:val="000000"/>
          <w:sz w:val="32"/>
          <w:szCs w:val="32"/>
        </w:rPr>
        <w:t>，降低</w:t>
      </w:r>
      <w:r>
        <w:rPr>
          <w:rFonts w:hint="eastAsia" w:eastAsia="仿宋_GB2312"/>
          <w:color w:val="000000"/>
          <w:sz w:val="32"/>
          <w:szCs w:val="32"/>
        </w:rPr>
        <w:t>59.74%</w:t>
      </w:r>
      <w:r>
        <w:rPr>
          <w:rFonts w:eastAsia="仿宋_GB2312"/>
          <w:color w:val="000000"/>
          <w:sz w:val="32"/>
          <w:szCs w:val="32"/>
        </w:rPr>
        <w:t>，主要是</w:t>
      </w:r>
      <w:r>
        <w:rPr>
          <w:rFonts w:hint="eastAsia" w:eastAsia="仿宋_GB2312"/>
          <w:color w:val="000000"/>
          <w:sz w:val="32"/>
          <w:szCs w:val="32"/>
        </w:rPr>
        <w:t>上年一次性补助收入未列入当年预算</w:t>
      </w:r>
      <w:r>
        <w:rPr>
          <w:rFonts w:eastAsia="仿宋_GB2312"/>
          <w:color w:val="000000"/>
          <w:sz w:val="32"/>
          <w:szCs w:val="32"/>
        </w:rPr>
        <w:t>。其中：</w:t>
      </w:r>
    </w:p>
    <w:p>
      <w:pPr>
        <w:widowControl/>
        <w:numPr>
          <w:ilvl w:val="0"/>
          <w:numId w:val="1"/>
        </w:numPr>
        <w:spacing w:before="100" w:beforeAutospacing="1" w:after="100" w:afterAutospacing="1" w:line="390" w:lineRule="atLeast"/>
        <w:ind w:firstLine="960"/>
        <w:jc w:val="left"/>
        <w:rPr>
          <w:rFonts w:eastAsia="仿宋_GB2312"/>
          <w:color w:val="000000"/>
          <w:sz w:val="32"/>
          <w:szCs w:val="32"/>
        </w:rPr>
      </w:pPr>
      <w:r>
        <w:rPr>
          <w:rFonts w:hint="eastAsia" w:eastAsia="仿宋_GB2312"/>
          <w:color w:val="000000"/>
          <w:sz w:val="32"/>
          <w:szCs w:val="32"/>
        </w:rPr>
        <w:t>一般公共服务支出专项转移支付收入60万元，比上年减少1489万元，降低96.13%，</w:t>
      </w:r>
      <w:r>
        <w:rPr>
          <w:rFonts w:eastAsia="仿宋_GB2312"/>
          <w:color w:val="000000"/>
          <w:sz w:val="32"/>
          <w:szCs w:val="32"/>
        </w:rPr>
        <w:t>主要</w:t>
      </w:r>
      <w:r>
        <w:rPr>
          <w:rFonts w:hint="eastAsia" w:eastAsia="仿宋_GB2312"/>
          <w:color w:val="000000"/>
          <w:sz w:val="32"/>
          <w:szCs w:val="32"/>
        </w:rPr>
        <w:t>原因</w:t>
      </w:r>
      <w:r>
        <w:rPr>
          <w:rFonts w:eastAsia="仿宋_GB2312"/>
          <w:color w:val="000000"/>
          <w:sz w:val="32"/>
          <w:szCs w:val="32"/>
        </w:rPr>
        <w:t>是</w:t>
      </w:r>
      <w:r>
        <w:rPr>
          <w:rFonts w:hint="eastAsia" w:eastAsia="仿宋_GB2312"/>
          <w:color w:val="000000"/>
          <w:sz w:val="32"/>
          <w:szCs w:val="32"/>
        </w:rPr>
        <w:t>上年一次性补助收入未列入当年预算；</w:t>
      </w:r>
    </w:p>
    <w:p>
      <w:pPr>
        <w:widowControl/>
        <w:numPr>
          <w:ilvl w:val="0"/>
          <w:numId w:val="1"/>
        </w:numPr>
        <w:spacing w:before="100" w:beforeAutospacing="1" w:after="100" w:afterAutospacing="1" w:line="390" w:lineRule="atLeast"/>
        <w:ind w:firstLine="960" w:firstLineChars="300"/>
        <w:jc w:val="left"/>
        <w:rPr>
          <w:rFonts w:eastAsia="仿宋_GB2312"/>
          <w:color w:val="000000"/>
          <w:sz w:val="32"/>
          <w:szCs w:val="32"/>
        </w:rPr>
      </w:pPr>
      <w:r>
        <w:rPr>
          <w:rFonts w:hint="eastAsia" w:eastAsia="仿宋_GB2312"/>
          <w:color w:val="000000"/>
          <w:sz w:val="32"/>
          <w:szCs w:val="32"/>
        </w:rPr>
        <w:t>公共安全支出专项转移支付收入8万元，比上年减少557万元，降低98.58%；</w:t>
      </w:r>
      <w:bookmarkStart w:id="0" w:name="_Hlk73815293"/>
      <w:r>
        <w:rPr>
          <w:rFonts w:eastAsia="仿宋_GB2312"/>
          <w:color w:val="000000"/>
          <w:sz w:val="32"/>
          <w:szCs w:val="32"/>
        </w:rPr>
        <w:t>主要</w:t>
      </w:r>
      <w:r>
        <w:rPr>
          <w:rFonts w:hint="eastAsia" w:eastAsia="仿宋_GB2312"/>
          <w:color w:val="000000"/>
          <w:sz w:val="32"/>
          <w:szCs w:val="32"/>
        </w:rPr>
        <w:t>原因</w:t>
      </w:r>
      <w:r>
        <w:rPr>
          <w:rFonts w:eastAsia="仿宋_GB2312"/>
          <w:color w:val="000000"/>
          <w:sz w:val="32"/>
          <w:szCs w:val="32"/>
        </w:rPr>
        <w:t>是</w:t>
      </w:r>
      <w:r>
        <w:rPr>
          <w:rFonts w:hint="eastAsia" w:eastAsia="仿宋_GB2312"/>
          <w:color w:val="000000"/>
          <w:sz w:val="32"/>
          <w:szCs w:val="32"/>
        </w:rPr>
        <w:t>上年一次性补助收入未列入当年预算；</w:t>
      </w:r>
    </w:p>
    <w:bookmarkEnd w:id="0"/>
    <w:p>
      <w:pPr>
        <w:widowControl/>
        <w:numPr>
          <w:ilvl w:val="0"/>
          <w:numId w:val="1"/>
        </w:numPr>
        <w:spacing w:before="100" w:beforeAutospacing="1" w:after="100" w:afterAutospacing="1" w:line="390" w:lineRule="atLeast"/>
        <w:ind w:firstLine="960" w:firstLineChars="300"/>
        <w:jc w:val="left"/>
        <w:rPr>
          <w:rFonts w:eastAsia="仿宋_GB2312"/>
          <w:color w:val="000000"/>
          <w:sz w:val="32"/>
          <w:szCs w:val="32"/>
        </w:rPr>
      </w:pPr>
      <w:r>
        <w:rPr>
          <w:rFonts w:hint="eastAsia" w:eastAsia="仿宋_GB2312"/>
          <w:color w:val="000000"/>
          <w:sz w:val="32"/>
          <w:szCs w:val="32"/>
        </w:rPr>
        <w:t>教育支出专项转移支付收入6102万元，比上年减少3945万元，降低39.26%，</w:t>
      </w:r>
      <w:r>
        <w:rPr>
          <w:rFonts w:eastAsia="仿宋_GB2312"/>
          <w:color w:val="000000"/>
          <w:sz w:val="32"/>
          <w:szCs w:val="32"/>
        </w:rPr>
        <w:t>主要</w:t>
      </w:r>
      <w:r>
        <w:rPr>
          <w:rFonts w:hint="eastAsia" w:eastAsia="仿宋_GB2312"/>
          <w:color w:val="000000"/>
          <w:sz w:val="32"/>
          <w:szCs w:val="32"/>
        </w:rPr>
        <w:t>原因</w:t>
      </w:r>
      <w:r>
        <w:rPr>
          <w:rFonts w:eastAsia="仿宋_GB2312"/>
          <w:color w:val="000000"/>
          <w:sz w:val="32"/>
          <w:szCs w:val="32"/>
        </w:rPr>
        <w:t>是</w:t>
      </w:r>
      <w:r>
        <w:rPr>
          <w:rFonts w:hint="eastAsia" w:eastAsia="仿宋_GB2312"/>
          <w:color w:val="000000"/>
          <w:sz w:val="32"/>
          <w:szCs w:val="32"/>
        </w:rPr>
        <w:t>上年一次性补助收入未列入当年预算；</w:t>
      </w:r>
    </w:p>
    <w:p>
      <w:pPr>
        <w:widowControl/>
        <w:numPr>
          <w:ilvl w:val="0"/>
          <w:numId w:val="1"/>
        </w:numPr>
        <w:spacing w:before="100" w:beforeAutospacing="1" w:after="100" w:afterAutospacing="1" w:line="390" w:lineRule="atLeast"/>
        <w:ind w:firstLine="960" w:firstLineChars="300"/>
        <w:jc w:val="left"/>
        <w:rPr>
          <w:rFonts w:eastAsia="仿宋_GB2312"/>
          <w:color w:val="000000"/>
          <w:sz w:val="32"/>
          <w:szCs w:val="32"/>
        </w:rPr>
      </w:pPr>
      <w:r>
        <w:rPr>
          <w:rFonts w:hint="eastAsia" w:eastAsia="仿宋_GB2312"/>
          <w:color w:val="000000"/>
          <w:sz w:val="32"/>
          <w:szCs w:val="32"/>
        </w:rPr>
        <w:t>科学技术支出专项转移支付收入100元，比上年减少419万元，降低80.73%，</w:t>
      </w:r>
      <w:r>
        <w:rPr>
          <w:rFonts w:eastAsia="仿宋_GB2312"/>
          <w:color w:val="000000"/>
          <w:sz w:val="32"/>
          <w:szCs w:val="32"/>
        </w:rPr>
        <w:t>主要</w:t>
      </w:r>
      <w:r>
        <w:rPr>
          <w:rFonts w:hint="eastAsia" w:eastAsia="仿宋_GB2312"/>
          <w:color w:val="000000"/>
          <w:sz w:val="32"/>
          <w:szCs w:val="32"/>
        </w:rPr>
        <w:t>原因</w:t>
      </w:r>
      <w:r>
        <w:rPr>
          <w:rFonts w:eastAsia="仿宋_GB2312"/>
          <w:color w:val="000000"/>
          <w:sz w:val="32"/>
          <w:szCs w:val="32"/>
        </w:rPr>
        <w:t>是</w:t>
      </w:r>
      <w:r>
        <w:rPr>
          <w:rFonts w:hint="eastAsia" w:eastAsia="仿宋_GB2312"/>
          <w:color w:val="000000"/>
          <w:sz w:val="32"/>
          <w:szCs w:val="32"/>
        </w:rPr>
        <w:t>上年一次性补助收入未列入当年预算；</w:t>
      </w:r>
    </w:p>
    <w:p>
      <w:pPr>
        <w:widowControl/>
        <w:numPr>
          <w:ilvl w:val="0"/>
          <w:numId w:val="1"/>
        </w:numPr>
        <w:spacing w:before="100" w:beforeAutospacing="1" w:after="100" w:afterAutospacing="1" w:line="390" w:lineRule="atLeast"/>
        <w:ind w:firstLine="960" w:firstLineChars="300"/>
        <w:jc w:val="left"/>
        <w:rPr>
          <w:rFonts w:eastAsia="仿宋_GB2312"/>
          <w:color w:val="000000"/>
          <w:sz w:val="32"/>
          <w:szCs w:val="32"/>
        </w:rPr>
      </w:pPr>
      <w:r>
        <w:rPr>
          <w:rFonts w:hint="eastAsia" w:eastAsia="仿宋_GB2312"/>
          <w:color w:val="000000"/>
          <w:sz w:val="32"/>
          <w:szCs w:val="32"/>
        </w:rPr>
        <w:t>文化体育与传媒支出专项转移支付收入27万元，比上年减少1255万元，降低97.89%，</w:t>
      </w:r>
      <w:r>
        <w:rPr>
          <w:rFonts w:eastAsia="仿宋_GB2312"/>
          <w:color w:val="000000"/>
          <w:sz w:val="32"/>
          <w:szCs w:val="32"/>
        </w:rPr>
        <w:t>主要</w:t>
      </w:r>
      <w:r>
        <w:rPr>
          <w:rFonts w:hint="eastAsia" w:eastAsia="仿宋_GB2312"/>
          <w:color w:val="000000"/>
          <w:sz w:val="32"/>
          <w:szCs w:val="32"/>
        </w:rPr>
        <w:t>原因</w:t>
      </w:r>
      <w:r>
        <w:rPr>
          <w:rFonts w:eastAsia="仿宋_GB2312"/>
          <w:color w:val="000000"/>
          <w:sz w:val="32"/>
          <w:szCs w:val="32"/>
        </w:rPr>
        <w:t>是</w:t>
      </w:r>
      <w:r>
        <w:rPr>
          <w:rFonts w:hint="eastAsia" w:eastAsia="仿宋_GB2312"/>
          <w:color w:val="000000"/>
          <w:sz w:val="32"/>
          <w:szCs w:val="32"/>
        </w:rPr>
        <w:t>上年一次性补助收入未列入当年预算；</w:t>
      </w:r>
    </w:p>
    <w:p>
      <w:pPr>
        <w:widowControl/>
        <w:numPr>
          <w:ilvl w:val="0"/>
          <w:numId w:val="1"/>
        </w:numPr>
        <w:spacing w:before="100" w:beforeAutospacing="1" w:after="100" w:afterAutospacing="1" w:line="390" w:lineRule="atLeast"/>
        <w:ind w:firstLine="960" w:firstLineChars="300"/>
        <w:jc w:val="left"/>
        <w:rPr>
          <w:rFonts w:eastAsia="仿宋_GB2312"/>
          <w:color w:val="000000"/>
          <w:sz w:val="32"/>
          <w:szCs w:val="32"/>
        </w:rPr>
      </w:pPr>
      <w:r>
        <w:rPr>
          <w:rFonts w:hint="eastAsia" w:eastAsia="仿宋_GB2312"/>
          <w:color w:val="000000"/>
          <w:sz w:val="32"/>
          <w:szCs w:val="32"/>
        </w:rPr>
        <w:t>社会保障和就业支出专项转移支付收入4658万元，比上年减少3820万元，降低45.05%，</w:t>
      </w:r>
      <w:r>
        <w:rPr>
          <w:rFonts w:eastAsia="仿宋_GB2312"/>
          <w:color w:val="000000"/>
          <w:sz w:val="32"/>
          <w:szCs w:val="32"/>
        </w:rPr>
        <w:t>主要</w:t>
      </w:r>
      <w:r>
        <w:rPr>
          <w:rFonts w:hint="eastAsia" w:eastAsia="仿宋_GB2312"/>
          <w:color w:val="000000"/>
          <w:sz w:val="32"/>
          <w:szCs w:val="32"/>
        </w:rPr>
        <w:t>原因</w:t>
      </w:r>
      <w:r>
        <w:rPr>
          <w:rFonts w:eastAsia="仿宋_GB2312"/>
          <w:color w:val="000000"/>
          <w:sz w:val="32"/>
          <w:szCs w:val="32"/>
        </w:rPr>
        <w:t>是</w:t>
      </w:r>
      <w:r>
        <w:rPr>
          <w:rFonts w:hint="eastAsia" w:eastAsia="仿宋_GB2312"/>
          <w:color w:val="000000"/>
          <w:sz w:val="32"/>
          <w:szCs w:val="32"/>
        </w:rPr>
        <w:t>上年一次性补助收入未列入当年预算；</w:t>
      </w:r>
    </w:p>
    <w:p>
      <w:pPr>
        <w:widowControl/>
        <w:numPr>
          <w:ilvl w:val="0"/>
          <w:numId w:val="1"/>
        </w:numPr>
        <w:spacing w:before="100" w:beforeAutospacing="1" w:after="100" w:afterAutospacing="1" w:line="390" w:lineRule="atLeast"/>
        <w:ind w:firstLine="960" w:firstLineChars="300"/>
        <w:jc w:val="left"/>
        <w:rPr>
          <w:rFonts w:eastAsia="仿宋_GB2312"/>
          <w:color w:val="000000"/>
          <w:sz w:val="32"/>
          <w:szCs w:val="32"/>
        </w:rPr>
      </w:pPr>
      <w:r>
        <w:rPr>
          <w:rFonts w:hint="eastAsia" w:eastAsia="仿宋_GB2312"/>
          <w:color w:val="000000"/>
          <w:sz w:val="32"/>
          <w:szCs w:val="32"/>
        </w:rPr>
        <w:t>卫生健康支出专项转移支付收入4867万元，比上年减少3468万元，降低41.6%，</w:t>
      </w:r>
      <w:r>
        <w:rPr>
          <w:rFonts w:eastAsia="仿宋_GB2312"/>
          <w:color w:val="000000"/>
          <w:sz w:val="32"/>
          <w:szCs w:val="32"/>
        </w:rPr>
        <w:t>主要</w:t>
      </w:r>
      <w:r>
        <w:rPr>
          <w:rFonts w:hint="eastAsia" w:eastAsia="仿宋_GB2312"/>
          <w:color w:val="000000"/>
          <w:sz w:val="32"/>
          <w:szCs w:val="32"/>
        </w:rPr>
        <w:t>原因</w:t>
      </w:r>
      <w:r>
        <w:rPr>
          <w:rFonts w:eastAsia="仿宋_GB2312"/>
          <w:color w:val="000000"/>
          <w:sz w:val="32"/>
          <w:szCs w:val="32"/>
        </w:rPr>
        <w:t>是</w:t>
      </w:r>
      <w:r>
        <w:rPr>
          <w:rFonts w:hint="eastAsia" w:eastAsia="仿宋_GB2312"/>
          <w:color w:val="000000"/>
          <w:sz w:val="32"/>
          <w:szCs w:val="32"/>
        </w:rPr>
        <w:t>上年一次性补助收入未列入当年预算；</w:t>
      </w:r>
    </w:p>
    <w:p>
      <w:pPr>
        <w:widowControl/>
        <w:numPr>
          <w:ilvl w:val="0"/>
          <w:numId w:val="1"/>
        </w:numPr>
        <w:spacing w:before="100" w:beforeAutospacing="1" w:after="100" w:afterAutospacing="1" w:line="390" w:lineRule="atLeast"/>
        <w:ind w:firstLine="960" w:firstLineChars="300"/>
        <w:jc w:val="left"/>
        <w:rPr>
          <w:rFonts w:eastAsia="仿宋_GB2312"/>
          <w:color w:val="000000"/>
          <w:sz w:val="32"/>
          <w:szCs w:val="32"/>
        </w:rPr>
      </w:pPr>
      <w:r>
        <w:rPr>
          <w:rFonts w:hint="eastAsia" w:eastAsia="仿宋_GB2312"/>
          <w:color w:val="000000"/>
          <w:sz w:val="32"/>
          <w:szCs w:val="32"/>
        </w:rPr>
        <w:t>节能环保支出专项转移支付收入1449万元，比上年减少2486万元，降低63.17%，</w:t>
      </w:r>
      <w:r>
        <w:rPr>
          <w:rFonts w:eastAsia="仿宋_GB2312"/>
          <w:color w:val="000000"/>
          <w:sz w:val="32"/>
          <w:szCs w:val="32"/>
        </w:rPr>
        <w:t>主要</w:t>
      </w:r>
      <w:r>
        <w:rPr>
          <w:rFonts w:hint="eastAsia" w:eastAsia="仿宋_GB2312"/>
          <w:color w:val="000000"/>
          <w:sz w:val="32"/>
          <w:szCs w:val="32"/>
        </w:rPr>
        <w:t>原因</w:t>
      </w:r>
      <w:r>
        <w:rPr>
          <w:rFonts w:eastAsia="仿宋_GB2312"/>
          <w:color w:val="000000"/>
          <w:sz w:val="32"/>
          <w:szCs w:val="32"/>
        </w:rPr>
        <w:t>是</w:t>
      </w:r>
      <w:r>
        <w:rPr>
          <w:rFonts w:hint="eastAsia" w:eastAsia="仿宋_GB2312"/>
          <w:color w:val="000000"/>
          <w:sz w:val="32"/>
          <w:szCs w:val="32"/>
        </w:rPr>
        <w:t>上年一次性补助收入未列入当年预算；</w:t>
      </w:r>
    </w:p>
    <w:p>
      <w:pPr>
        <w:widowControl/>
        <w:numPr>
          <w:ilvl w:val="0"/>
          <w:numId w:val="1"/>
        </w:numPr>
        <w:spacing w:before="100" w:beforeAutospacing="1" w:after="100" w:afterAutospacing="1" w:line="390" w:lineRule="atLeast"/>
        <w:ind w:firstLine="960" w:firstLineChars="300"/>
        <w:jc w:val="left"/>
        <w:rPr>
          <w:rFonts w:eastAsia="仿宋_GB2312"/>
          <w:color w:val="000000"/>
          <w:sz w:val="32"/>
          <w:szCs w:val="32"/>
        </w:rPr>
      </w:pPr>
      <w:r>
        <w:rPr>
          <w:rFonts w:hint="eastAsia" w:eastAsia="仿宋_GB2312"/>
          <w:color w:val="000000"/>
          <w:sz w:val="32"/>
          <w:szCs w:val="32"/>
        </w:rPr>
        <w:t>城乡社区支出专项转移支付收入20万元，比上年减少419万元，降低95.44%，主要原因是上年一次性补助收入未列入当年预算；</w:t>
      </w:r>
    </w:p>
    <w:p>
      <w:pPr>
        <w:widowControl/>
        <w:numPr>
          <w:ilvl w:val="0"/>
          <w:numId w:val="1"/>
        </w:numPr>
        <w:spacing w:before="100" w:beforeAutospacing="1" w:after="100" w:afterAutospacing="1" w:line="390" w:lineRule="atLeast"/>
        <w:ind w:firstLine="960" w:firstLineChars="300"/>
        <w:jc w:val="left"/>
        <w:rPr>
          <w:rFonts w:eastAsia="仿宋_GB2312"/>
          <w:color w:val="000000"/>
          <w:sz w:val="32"/>
          <w:szCs w:val="32"/>
        </w:rPr>
      </w:pPr>
      <w:r>
        <w:rPr>
          <w:rFonts w:hint="eastAsia" w:eastAsia="仿宋_GB2312"/>
          <w:color w:val="000000"/>
          <w:sz w:val="32"/>
          <w:szCs w:val="32"/>
        </w:rPr>
        <w:t>农林水支出专项转移支付收入10684万元，比上年减少20513万元，降低65.75%，</w:t>
      </w:r>
      <w:r>
        <w:rPr>
          <w:rFonts w:eastAsia="仿宋_GB2312"/>
          <w:color w:val="000000"/>
          <w:sz w:val="32"/>
          <w:szCs w:val="32"/>
        </w:rPr>
        <w:t>主要</w:t>
      </w:r>
      <w:r>
        <w:rPr>
          <w:rFonts w:hint="eastAsia" w:eastAsia="仿宋_GB2312"/>
          <w:color w:val="000000"/>
          <w:sz w:val="32"/>
          <w:szCs w:val="32"/>
        </w:rPr>
        <w:t>原因</w:t>
      </w:r>
      <w:r>
        <w:rPr>
          <w:rFonts w:eastAsia="仿宋_GB2312"/>
          <w:color w:val="000000"/>
          <w:sz w:val="32"/>
          <w:szCs w:val="32"/>
        </w:rPr>
        <w:t>是</w:t>
      </w:r>
      <w:r>
        <w:rPr>
          <w:rFonts w:hint="eastAsia" w:eastAsia="仿宋_GB2312"/>
          <w:color w:val="000000"/>
          <w:sz w:val="32"/>
          <w:szCs w:val="32"/>
        </w:rPr>
        <w:t>上年一次性补助收入未列入当年预算；</w:t>
      </w:r>
    </w:p>
    <w:p>
      <w:pPr>
        <w:widowControl/>
        <w:numPr>
          <w:ilvl w:val="0"/>
          <w:numId w:val="1"/>
        </w:numPr>
        <w:spacing w:before="100" w:beforeAutospacing="1" w:after="100" w:afterAutospacing="1" w:line="390" w:lineRule="atLeast"/>
        <w:ind w:firstLine="960" w:firstLineChars="300"/>
        <w:jc w:val="left"/>
        <w:rPr>
          <w:rFonts w:eastAsia="仿宋_GB2312"/>
          <w:color w:val="000000"/>
          <w:sz w:val="32"/>
          <w:szCs w:val="32"/>
        </w:rPr>
      </w:pPr>
      <w:r>
        <w:rPr>
          <w:rFonts w:hint="eastAsia" w:eastAsia="仿宋_GB2312"/>
          <w:color w:val="000000"/>
          <w:sz w:val="32"/>
          <w:szCs w:val="32"/>
        </w:rPr>
        <w:t>交通运输支出专项转移支付收入3031万元，比上年减少2056万元，降低40.42%，</w:t>
      </w:r>
      <w:r>
        <w:rPr>
          <w:rFonts w:eastAsia="仿宋_GB2312"/>
          <w:color w:val="000000"/>
          <w:sz w:val="32"/>
          <w:szCs w:val="32"/>
        </w:rPr>
        <w:t>主要</w:t>
      </w:r>
      <w:r>
        <w:rPr>
          <w:rFonts w:hint="eastAsia" w:eastAsia="仿宋_GB2312"/>
          <w:color w:val="000000"/>
          <w:sz w:val="32"/>
          <w:szCs w:val="32"/>
        </w:rPr>
        <w:t>原因</w:t>
      </w:r>
      <w:r>
        <w:rPr>
          <w:rFonts w:eastAsia="仿宋_GB2312"/>
          <w:color w:val="000000"/>
          <w:sz w:val="32"/>
          <w:szCs w:val="32"/>
        </w:rPr>
        <w:t>是</w:t>
      </w:r>
      <w:r>
        <w:rPr>
          <w:rFonts w:hint="eastAsia" w:eastAsia="仿宋_GB2312"/>
          <w:color w:val="000000"/>
          <w:sz w:val="32"/>
          <w:szCs w:val="32"/>
        </w:rPr>
        <w:t>上年一次性补助收入未列入当年预算；</w:t>
      </w:r>
    </w:p>
    <w:p>
      <w:pPr>
        <w:widowControl/>
        <w:numPr>
          <w:ilvl w:val="0"/>
          <w:numId w:val="1"/>
        </w:numPr>
        <w:spacing w:before="100" w:beforeAutospacing="1" w:after="100" w:afterAutospacing="1" w:line="390" w:lineRule="atLeast"/>
        <w:ind w:firstLine="960" w:firstLineChars="300"/>
        <w:jc w:val="left"/>
        <w:rPr>
          <w:rFonts w:eastAsia="仿宋_GB2312"/>
          <w:color w:val="000000"/>
          <w:sz w:val="32"/>
          <w:szCs w:val="32"/>
        </w:rPr>
      </w:pPr>
      <w:r>
        <w:rPr>
          <w:rFonts w:hint="eastAsia" w:eastAsia="仿宋_GB2312"/>
          <w:color w:val="000000"/>
          <w:sz w:val="32"/>
          <w:szCs w:val="32"/>
        </w:rPr>
        <w:t>资源勘探信息支出专项转移支付收入为0,减少1075万元，</w:t>
      </w:r>
      <w:r>
        <w:rPr>
          <w:rFonts w:eastAsia="仿宋_GB2312"/>
          <w:color w:val="000000"/>
          <w:sz w:val="32"/>
          <w:szCs w:val="32"/>
        </w:rPr>
        <w:t>主要</w:t>
      </w:r>
      <w:r>
        <w:rPr>
          <w:rFonts w:hint="eastAsia" w:eastAsia="仿宋_GB2312"/>
          <w:color w:val="000000"/>
          <w:sz w:val="32"/>
          <w:szCs w:val="32"/>
        </w:rPr>
        <w:t>原因</w:t>
      </w:r>
      <w:r>
        <w:rPr>
          <w:rFonts w:eastAsia="仿宋_GB2312"/>
          <w:color w:val="000000"/>
          <w:sz w:val="32"/>
          <w:szCs w:val="32"/>
        </w:rPr>
        <w:t>是</w:t>
      </w:r>
      <w:r>
        <w:rPr>
          <w:rFonts w:hint="eastAsia" w:eastAsia="仿宋_GB2312"/>
          <w:color w:val="000000"/>
          <w:sz w:val="32"/>
          <w:szCs w:val="32"/>
        </w:rPr>
        <w:t>上年一次性补助收入未列入当年预算；</w:t>
      </w:r>
    </w:p>
    <w:p>
      <w:pPr>
        <w:widowControl/>
        <w:numPr>
          <w:ilvl w:val="0"/>
          <w:numId w:val="1"/>
        </w:numPr>
        <w:spacing w:before="100" w:beforeAutospacing="1" w:after="100" w:afterAutospacing="1" w:line="390" w:lineRule="atLeast"/>
        <w:ind w:firstLine="960" w:firstLineChars="300"/>
        <w:jc w:val="left"/>
        <w:rPr>
          <w:rFonts w:eastAsia="仿宋_GB2312"/>
          <w:color w:val="000000"/>
          <w:sz w:val="32"/>
          <w:szCs w:val="32"/>
        </w:rPr>
      </w:pPr>
      <w:r>
        <w:rPr>
          <w:rFonts w:hint="eastAsia" w:eastAsia="仿宋_GB2312"/>
          <w:color w:val="000000"/>
          <w:sz w:val="32"/>
          <w:szCs w:val="32"/>
        </w:rPr>
        <w:t>商业服务业支出专项转移支付收入为0，减少793万元，</w:t>
      </w:r>
      <w:r>
        <w:rPr>
          <w:rFonts w:eastAsia="仿宋_GB2312"/>
          <w:color w:val="000000"/>
          <w:sz w:val="32"/>
          <w:szCs w:val="32"/>
        </w:rPr>
        <w:t>主要</w:t>
      </w:r>
      <w:r>
        <w:rPr>
          <w:rFonts w:hint="eastAsia" w:eastAsia="仿宋_GB2312"/>
          <w:color w:val="000000"/>
          <w:sz w:val="32"/>
          <w:szCs w:val="32"/>
        </w:rPr>
        <w:t>原因</w:t>
      </w:r>
      <w:r>
        <w:rPr>
          <w:rFonts w:eastAsia="仿宋_GB2312"/>
          <w:color w:val="000000"/>
          <w:sz w:val="32"/>
          <w:szCs w:val="32"/>
        </w:rPr>
        <w:t>是</w:t>
      </w:r>
      <w:r>
        <w:rPr>
          <w:rFonts w:hint="eastAsia" w:eastAsia="仿宋_GB2312"/>
          <w:color w:val="000000"/>
          <w:sz w:val="32"/>
          <w:szCs w:val="32"/>
        </w:rPr>
        <w:t>上年一次性补助收入未列入当年预算；</w:t>
      </w:r>
    </w:p>
    <w:p>
      <w:pPr>
        <w:widowControl/>
        <w:numPr>
          <w:ilvl w:val="0"/>
          <w:numId w:val="1"/>
        </w:numPr>
        <w:spacing w:before="100" w:beforeAutospacing="1" w:after="100" w:afterAutospacing="1" w:line="390" w:lineRule="atLeast"/>
        <w:ind w:firstLine="960" w:firstLineChars="300"/>
        <w:jc w:val="left"/>
        <w:rPr>
          <w:rFonts w:eastAsia="仿宋_GB2312"/>
          <w:color w:val="000000"/>
          <w:sz w:val="32"/>
          <w:szCs w:val="32"/>
        </w:rPr>
      </w:pPr>
      <w:r>
        <w:rPr>
          <w:rFonts w:hint="eastAsia" w:eastAsia="仿宋_GB2312"/>
          <w:color w:val="000000"/>
          <w:sz w:val="32"/>
          <w:szCs w:val="32"/>
        </w:rPr>
        <w:t>金融支出专项转移支付收入为0，减少55万元，；</w:t>
      </w:r>
      <w:r>
        <w:rPr>
          <w:rFonts w:eastAsia="仿宋_GB2312"/>
          <w:color w:val="000000"/>
          <w:sz w:val="32"/>
          <w:szCs w:val="32"/>
        </w:rPr>
        <w:t>主要</w:t>
      </w:r>
      <w:r>
        <w:rPr>
          <w:rFonts w:hint="eastAsia" w:eastAsia="仿宋_GB2312"/>
          <w:color w:val="000000"/>
          <w:sz w:val="32"/>
          <w:szCs w:val="32"/>
        </w:rPr>
        <w:t>原因</w:t>
      </w:r>
      <w:r>
        <w:rPr>
          <w:rFonts w:eastAsia="仿宋_GB2312"/>
          <w:color w:val="000000"/>
          <w:sz w:val="32"/>
          <w:szCs w:val="32"/>
        </w:rPr>
        <w:t>是</w:t>
      </w:r>
      <w:r>
        <w:rPr>
          <w:rFonts w:hint="eastAsia" w:eastAsia="仿宋_GB2312"/>
          <w:color w:val="000000"/>
          <w:sz w:val="32"/>
          <w:szCs w:val="32"/>
        </w:rPr>
        <w:t>上年一次性补助收入未列入当年预算；</w:t>
      </w:r>
    </w:p>
    <w:p>
      <w:pPr>
        <w:widowControl/>
        <w:numPr>
          <w:ilvl w:val="0"/>
          <w:numId w:val="1"/>
        </w:numPr>
        <w:spacing w:before="100" w:beforeAutospacing="1" w:after="100" w:afterAutospacing="1" w:line="390" w:lineRule="atLeast"/>
        <w:ind w:firstLine="960" w:firstLineChars="300"/>
        <w:jc w:val="left"/>
        <w:rPr>
          <w:rFonts w:eastAsia="仿宋_GB2312"/>
          <w:color w:val="000000"/>
          <w:sz w:val="32"/>
          <w:szCs w:val="32"/>
        </w:rPr>
      </w:pPr>
      <w:r>
        <w:rPr>
          <w:rFonts w:hint="eastAsia" w:eastAsia="仿宋_GB2312"/>
          <w:color w:val="000000"/>
          <w:sz w:val="32"/>
          <w:szCs w:val="32"/>
        </w:rPr>
        <w:t>自然资源海洋气象支出专项转移支付收入1292万元，比上年减少644万元，降低49.85%</w:t>
      </w:r>
      <w:r>
        <w:rPr>
          <w:rFonts w:eastAsia="仿宋_GB2312"/>
          <w:color w:val="000000"/>
          <w:sz w:val="32"/>
          <w:szCs w:val="32"/>
        </w:rPr>
        <w:t>主要</w:t>
      </w:r>
      <w:r>
        <w:rPr>
          <w:rFonts w:hint="eastAsia" w:eastAsia="仿宋_GB2312"/>
          <w:color w:val="000000"/>
          <w:sz w:val="32"/>
          <w:szCs w:val="32"/>
        </w:rPr>
        <w:t>原因</w:t>
      </w:r>
      <w:r>
        <w:rPr>
          <w:rFonts w:eastAsia="仿宋_GB2312"/>
          <w:color w:val="000000"/>
          <w:sz w:val="32"/>
          <w:szCs w:val="32"/>
        </w:rPr>
        <w:t>是</w:t>
      </w:r>
      <w:r>
        <w:rPr>
          <w:rFonts w:hint="eastAsia" w:eastAsia="仿宋_GB2312"/>
          <w:color w:val="000000"/>
          <w:sz w:val="32"/>
          <w:szCs w:val="32"/>
        </w:rPr>
        <w:t>上年一次性补助收入未列入当年预算；</w:t>
      </w:r>
    </w:p>
    <w:p>
      <w:pPr>
        <w:widowControl/>
        <w:numPr>
          <w:ilvl w:val="0"/>
          <w:numId w:val="1"/>
        </w:numPr>
        <w:spacing w:before="100" w:beforeAutospacing="1" w:after="100" w:afterAutospacing="1" w:line="390" w:lineRule="atLeast"/>
        <w:ind w:firstLine="960" w:firstLineChars="300"/>
        <w:jc w:val="left"/>
        <w:rPr>
          <w:rFonts w:eastAsia="仿宋_GB2312"/>
          <w:color w:val="000000"/>
          <w:sz w:val="32"/>
          <w:szCs w:val="32"/>
        </w:rPr>
      </w:pPr>
      <w:r>
        <w:rPr>
          <w:rFonts w:hint="eastAsia" w:eastAsia="仿宋_GB2312"/>
          <w:color w:val="000000"/>
          <w:sz w:val="32"/>
          <w:szCs w:val="32"/>
        </w:rPr>
        <w:t>住房保障支出专项转移支付收入1365万元，比上年减少4962万元，降低78.43%</w:t>
      </w:r>
      <w:r>
        <w:rPr>
          <w:rFonts w:eastAsia="仿宋_GB2312"/>
          <w:color w:val="000000"/>
          <w:sz w:val="32"/>
          <w:szCs w:val="32"/>
        </w:rPr>
        <w:t>主要</w:t>
      </w:r>
      <w:r>
        <w:rPr>
          <w:rFonts w:hint="eastAsia" w:eastAsia="仿宋_GB2312"/>
          <w:color w:val="000000"/>
          <w:sz w:val="32"/>
          <w:szCs w:val="32"/>
        </w:rPr>
        <w:t>原因</w:t>
      </w:r>
      <w:r>
        <w:rPr>
          <w:rFonts w:eastAsia="仿宋_GB2312"/>
          <w:color w:val="000000"/>
          <w:sz w:val="32"/>
          <w:szCs w:val="32"/>
        </w:rPr>
        <w:t>是</w:t>
      </w:r>
      <w:r>
        <w:rPr>
          <w:rFonts w:hint="eastAsia" w:eastAsia="仿宋_GB2312"/>
          <w:color w:val="000000"/>
          <w:sz w:val="32"/>
          <w:szCs w:val="32"/>
        </w:rPr>
        <w:t>上年一次性补助收入未列入当年预算；</w:t>
      </w:r>
    </w:p>
    <w:p>
      <w:pPr>
        <w:widowControl/>
        <w:numPr>
          <w:ilvl w:val="0"/>
          <w:numId w:val="1"/>
        </w:numPr>
        <w:spacing w:before="100" w:beforeAutospacing="1" w:after="100" w:afterAutospacing="1" w:line="390" w:lineRule="atLeast"/>
        <w:ind w:firstLine="960" w:firstLineChars="300"/>
        <w:jc w:val="left"/>
        <w:rPr>
          <w:rFonts w:eastAsia="仿宋_GB2312"/>
          <w:color w:val="000000"/>
          <w:sz w:val="32"/>
          <w:szCs w:val="32"/>
        </w:rPr>
      </w:pPr>
      <w:r>
        <w:rPr>
          <w:rFonts w:hint="eastAsia" w:eastAsia="仿宋_GB2312"/>
          <w:color w:val="000000"/>
          <w:sz w:val="32"/>
          <w:szCs w:val="32"/>
        </w:rPr>
        <w:t>粮油物资储备支出专项转移支付收入124万元，与上年增长持平；</w:t>
      </w:r>
    </w:p>
    <w:p>
      <w:pPr>
        <w:widowControl/>
        <w:numPr>
          <w:ilvl w:val="0"/>
          <w:numId w:val="1"/>
        </w:numPr>
        <w:spacing w:before="100" w:beforeAutospacing="1" w:after="100" w:afterAutospacing="1" w:line="390" w:lineRule="atLeast"/>
        <w:ind w:firstLine="960" w:firstLineChars="300"/>
        <w:jc w:val="left"/>
        <w:rPr>
          <w:rFonts w:eastAsia="仿宋_GB2312"/>
          <w:color w:val="000000"/>
          <w:sz w:val="32"/>
          <w:szCs w:val="32"/>
        </w:rPr>
      </w:pPr>
      <w:r>
        <w:rPr>
          <w:rFonts w:hint="eastAsia" w:eastAsia="仿宋_GB2312"/>
          <w:color w:val="000000"/>
          <w:sz w:val="32"/>
          <w:szCs w:val="32"/>
        </w:rPr>
        <w:t>其他收入专项转移支付收入为0，比上年减少1221万元，</w:t>
      </w:r>
      <w:r>
        <w:rPr>
          <w:rFonts w:eastAsia="仿宋_GB2312"/>
          <w:color w:val="000000"/>
          <w:sz w:val="32"/>
          <w:szCs w:val="32"/>
        </w:rPr>
        <w:t>主要</w:t>
      </w:r>
      <w:r>
        <w:rPr>
          <w:rFonts w:hint="eastAsia" w:eastAsia="仿宋_GB2312"/>
          <w:color w:val="000000"/>
          <w:sz w:val="32"/>
          <w:szCs w:val="32"/>
        </w:rPr>
        <w:t>原因</w:t>
      </w:r>
      <w:r>
        <w:rPr>
          <w:rFonts w:eastAsia="仿宋_GB2312"/>
          <w:color w:val="000000"/>
          <w:sz w:val="32"/>
          <w:szCs w:val="32"/>
        </w:rPr>
        <w:t>是</w:t>
      </w:r>
      <w:r>
        <w:rPr>
          <w:rFonts w:hint="eastAsia" w:eastAsia="仿宋_GB2312"/>
          <w:color w:val="000000"/>
          <w:sz w:val="32"/>
          <w:szCs w:val="32"/>
        </w:rPr>
        <w:t>上年一次性补助收入未列入当年预算</w:t>
      </w:r>
      <w:r>
        <w:rPr>
          <w:rFonts w:eastAsia="仿宋_GB2312"/>
          <w:color w:val="000000"/>
          <w:sz w:val="32"/>
          <w:szCs w:val="32"/>
        </w:rPr>
        <w:t>。</w:t>
      </w:r>
    </w:p>
    <w:p>
      <w:pPr>
        <w:spacing w:line="580" w:lineRule="exact"/>
        <w:ind w:firstLine="640" w:firstLineChars="200"/>
        <w:rPr>
          <w:rFonts w:eastAsia="黑体"/>
          <w:color w:val="000000"/>
          <w:sz w:val="32"/>
          <w:szCs w:val="32"/>
        </w:rPr>
      </w:pPr>
      <w:r>
        <w:rPr>
          <w:rFonts w:eastAsia="黑体"/>
          <w:color w:val="000000"/>
          <w:sz w:val="32"/>
          <w:szCs w:val="32"/>
        </w:rPr>
        <w:t>二、举借政府债务情况</w:t>
      </w:r>
    </w:p>
    <w:p>
      <w:pPr>
        <w:spacing w:line="580" w:lineRule="exact"/>
        <w:ind w:firstLine="643" w:firstLineChars="200"/>
        <w:rPr>
          <w:rFonts w:eastAsia="楷体_GB2312"/>
          <w:b/>
          <w:color w:val="000000"/>
          <w:sz w:val="32"/>
          <w:szCs w:val="32"/>
        </w:rPr>
      </w:pPr>
      <w:r>
        <w:rPr>
          <w:rFonts w:eastAsia="楷体_GB2312"/>
          <w:b/>
          <w:color w:val="000000"/>
          <w:sz w:val="32"/>
          <w:szCs w:val="32"/>
        </w:rPr>
        <w:t>（一）地方政府债务限额余额情况</w:t>
      </w:r>
    </w:p>
    <w:p>
      <w:pPr>
        <w:spacing w:line="580" w:lineRule="exact"/>
        <w:ind w:firstLine="640" w:firstLineChars="200"/>
        <w:rPr>
          <w:rFonts w:eastAsia="仿宋_GB2312"/>
          <w:sz w:val="32"/>
          <w:szCs w:val="32"/>
        </w:rPr>
      </w:pPr>
      <w:r>
        <w:rPr>
          <w:rFonts w:hint="eastAsia" w:eastAsia="仿宋_GB2312"/>
          <w:sz w:val="32"/>
          <w:szCs w:val="32"/>
        </w:rPr>
        <w:t>2018</w:t>
      </w:r>
      <w:r>
        <w:rPr>
          <w:rFonts w:eastAsia="仿宋_GB2312"/>
          <w:sz w:val="32"/>
          <w:szCs w:val="32"/>
        </w:rPr>
        <w:t>年，政府债务总限额</w:t>
      </w:r>
      <w:r>
        <w:rPr>
          <w:rFonts w:hint="eastAsia" w:eastAsia="仿宋_GB2312"/>
          <w:sz w:val="32"/>
          <w:szCs w:val="32"/>
        </w:rPr>
        <w:t>297899万元</w:t>
      </w:r>
      <w:r>
        <w:rPr>
          <w:rFonts w:eastAsia="仿宋_GB2312"/>
          <w:sz w:val="32"/>
          <w:szCs w:val="32"/>
        </w:rPr>
        <w:t>，其中一般债务限额</w:t>
      </w:r>
      <w:r>
        <w:rPr>
          <w:rFonts w:hint="eastAsia" w:eastAsia="仿宋_GB2312"/>
          <w:sz w:val="32"/>
          <w:szCs w:val="32"/>
        </w:rPr>
        <w:t>260578万元</w:t>
      </w:r>
      <w:r>
        <w:rPr>
          <w:rFonts w:eastAsia="仿宋_GB2312"/>
          <w:sz w:val="32"/>
          <w:szCs w:val="32"/>
        </w:rPr>
        <w:t>，专项债务限额</w:t>
      </w:r>
      <w:r>
        <w:rPr>
          <w:rFonts w:hint="eastAsia" w:eastAsia="仿宋_GB2312"/>
          <w:sz w:val="32"/>
          <w:szCs w:val="32"/>
        </w:rPr>
        <w:t>37321万元</w:t>
      </w:r>
      <w:r>
        <w:rPr>
          <w:rFonts w:eastAsia="仿宋_GB2312"/>
          <w:sz w:val="32"/>
          <w:szCs w:val="32"/>
        </w:rPr>
        <w:t>。截</w:t>
      </w:r>
      <w:r>
        <w:rPr>
          <w:rFonts w:hint="eastAsia" w:eastAsia="仿宋_GB2312"/>
          <w:sz w:val="32"/>
          <w:szCs w:val="32"/>
        </w:rPr>
        <w:t>至2018</w:t>
      </w:r>
      <w:r>
        <w:rPr>
          <w:rFonts w:eastAsia="仿宋_GB2312"/>
          <w:sz w:val="32"/>
          <w:szCs w:val="32"/>
        </w:rPr>
        <w:t>年底，地方政府债务余额</w:t>
      </w:r>
      <w:r>
        <w:rPr>
          <w:rFonts w:hint="eastAsia" w:eastAsia="仿宋_GB2312"/>
          <w:sz w:val="32"/>
          <w:szCs w:val="32"/>
        </w:rPr>
        <w:t>296886万元</w:t>
      </w:r>
      <w:r>
        <w:rPr>
          <w:rFonts w:eastAsia="仿宋_GB2312"/>
          <w:sz w:val="32"/>
          <w:szCs w:val="32"/>
        </w:rPr>
        <w:t>，其中一般债务余额</w:t>
      </w:r>
      <w:r>
        <w:rPr>
          <w:rFonts w:hint="eastAsia" w:eastAsia="仿宋_GB2312"/>
          <w:sz w:val="32"/>
          <w:szCs w:val="32"/>
        </w:rPr>
        <w:t>259565万元</w:t>
      </w:r>
      <w:r>
        <w:rPr>
          <w:rFonts w:eastAsia="仿宋_GB2312"/>
          <w:sz w:val="32"/>
          <w:szCs w:val="32"/>
        </w:rPr>
        <w:t>，专项债务余额</w:t>
      </w:r>
      <w:r>
        <w:rPr>
          <w:rFonts w:hint="eastAsia" w:eastAsia="仿宋_GB2312"/>
          <w:sz w:val="32"/>
          <w:szCs w:val="32"/>
        </w:rPr>
        <w:t>37321万元</w:t>
      </w:r>
      <w:r>
        <w:rPr>
          <w:rFonts w:eastAsia="仿宋_GB2312"/>
          <w:sz w:val="32"/>
          <w:szCs w:val="32"/>
        </w:rPr>
        <w:t>。</w:t>
      </w:r>
    </w:p>
    <w:p>
      <w:pPr>
        <w:spacing w:line="580" w:lineRule="exact"/>
        <w:ind w:firstLine="643" w:firstLineChars="200"/>
        <w:rPr>
          <w:rFonts w:eastAsia="楷体_GB2312"/>
          <w:b/>
          <w:color w:val="000000"/>
          <w:sz w:val="32"/>
          <w:szCs w:val="32"/>
        </w:rPr>
      </w:pPr>
      <w:r>
        <w:rPr>
          <w:rFonts w:eastAsia="楷体_GB2312"/>
          <w:b/>
          <w:color w:val="000000"/>
          <w:sz w:val="32"/>
          <w:szCs w:val="32"/>
        </w:rPr>
        <w:t>（二）地方政府债券发行情况</w:t>
      </w:r>
    </w:p>
    <w:p>
      <w:pPr>
        <w:spacing w:line="580" w:lineRule="exact"/>
        <w:ind w:firstLine="640" w:firstLineChars="200"/>
        <w:rPr>
          <w:rFonts w:eastAsia="仿宋_GB2312"/>
          <w:sz w:val="32"/>
          <w:szCs w:val="32"/>
        </w:rPr>
      </w:pPr>
      <w:r>
        <w:rPr>
          <w:rFonts w:hint="eastAsia" w:eastAsia="仿宋_GB2312"/>
          <w:sz w:val="32"/>
          <w:szCs w:val="32"/>
        </w:rPr>
        <w:t>2018</w:t>
      </w:r>
      <w:r>
        <w:rPr>
          <w:rFonts w:eastAsia="仿宋_GB2312"/>
          <w:sz w:val="32"/>
          <w:szCs w:val="32"/>
        </w:rPr>
        <w:t>年，省转贷新增债务限额</w:t>
      </w:r>
      <w:r>
        <w:rPr>
          <w:rFonts w:hint="eastAsia" w:eastAsia="仿宋_GB2312"/>
          <w:sz w:val="32"/>
          <w:szCs w:val="32"/>
        </w:rPr>
        <w:t>36400元</w:t>
      </w:r>
      <w:r>
        <w:rPr>
          <w:rFonts w:eastAsia="仿宋_GB2312"/>
          <w:sz w:val="32"/>
          <w:szCs w:val="32"/>
        </w:rPr>
        <w:t>，其中一般债务限额</w:t>
      </w:r>
      <w:r>
        <w:rPr>
          <w:rFonts w:hint="eastAsia" w:eastAsia="仿宋_GB2312"/>
          <w:sz w:val="32"/>
          <w:szCs w:val="32"/>
        </w:rPr>
        <w:t>26400万元</w:t>
      </w:r>
      <w:r>
        <w:rPr>
          <w:rFonts w:eastAsia="仿宋_GB2312"/>
          <w:sz w:val="32"/>
          <w:szCs w:val="32"/>
        </w:rPr>
        <w:t>，专项债务限额</w:t>
      </w:r>
      <w:r>
        <w:rPr>
          <w:rFonts w:hint="eastAsia" w:eastAsia="仿宋_GB2312"/>
          <w:sz w:val="32"/>
          <w:szCs w:val="32"/>
        </w:rPr>
        <w:t>10000万元</w:t>
      </w:r>
      <w:r>
        <w:rPr>
          <w:rFonts w:eastAsia="仿宋_GB2312"/>
          <w:sz w:val="32"/>
          <w:szCs w:val="32"/>
        </w:rPr>
        <w:t>，据此，发行一般债券</w:t>
      </w:r>
      <w:r>
        <w:rPr>
          <w:rFonts w:hint="eastAsia" w:eastAsia="仿宋_GB2312"/>
          <w:sz w:val="32"/>
          <w:szCs w:val="32"/>
        </w:rPr>
        <w:t>26400万元</w:t>
      </w:r>
      <w:r>
        <w:rPr>
          <w:rFonts w:eastAsia="仿宋_GB2312"/>
          <w:sz w:val="32"/>
          <w:szCs w:val="32"/>
        </w:rPr>
        <w:t>，专项债券</w:t>
      </w:r>
      <w:r>
        <w:rPr>
          <w:rFonts w:hint="eastAsia" w:eastAsia="仿宋_GB2312"/>
          <w:sz w:val="32"/>
          <w:szCs w:val="32"/>
        </w:rPr>
        <w:t>10000万元</w:t>
      </w:r>
      <w:r>
        <w:rPr>
          <w:rFonts w:eastAsia="仿宋_GB2312"/>
          <w:sz w:val="32"/>
          <w:szCs w:val="32"/>
        </w:rPr>
        <w:t>，平均期限</w:t>
      </w:r>
      <w:r>
        <w:rPr>
          <w:rFonts w:hint="eastAsia" w:eastAsia="仿宋_GB2312"/>
          <w:sz w:val="32"/>
          <w:szCs w:val="32"/>
        </w:rPr>
        <w:t>5</w:t>
      </w:r>
      <w:r>
        <w:rPr>
          <w:rFonts w:eastAsia="仿宋_GB2312"/>
          <w:sz w:val="32"/>
          <w:szCs w:val="32"/>
        </w:rPr>
        <w:t>年，平均利率</w:t>
      </w:r>
      <w:r>
        <w:rPr>
          <w:rFonts w:hint="eastAsia" w:eastAsia="仿宋_GB2312"/>
          <w:sz w:val="32"/>
          <w:szCs w:val="32"/>
        </w:rPr>
        <w:t>3.6%</w:t>
      </w:r>
      <w:r>
        <w:rPr>
          <w:rFonts w:eastAsia="仿宋_GB2312"/>
          <w:sz w:val="32"/>
          <w:szCs w:val="32"/>
        </w:rPr>
        <w:t>。</w:t>
      </w:r>
    </w:p>
    <w:p>
      <w:pPr>
        <w:spacing w:line="580" w:lineRule="exact"/>
        <w:ind w:firstLine="643" w:firstLineChars="200"/>
        <w:rPr>
          <w:rFonts w:eastAsia="楷体_GB2312"/>
          <w:b/>
          <w:color w:val="000000"/>
          <w:sz w:val="32"/>
          <w:szCs w:val="32"/>
        </w:rPr>
      </w:pPr>
      <w:r>
        <w:rPr>
          <w:rFonts w:eastAsia="楷体_GB2312"/>
          <w:b/>
          <w:color w:val="000000"/>
          <w:sz w:val="32"/>
          <w:szCs w:val="32"/>
        </w:rPr>
        <w:t>(三)地方政府债务还本付息情况</w:t>
      </w:r>
    </w:p>
    <w:p>
      <w:pPr>
        <w:spacing w:line="580" w:lineRule="exact"/>
        <w:ind w:firstLine="640" w:firstLineChars="200"/>
        <w:rPr>
          <w:rFonts w:eastAsia="仿宋_GB2312"/>
          <w:sz w:val="32"/>
          <w:szCs w:val="32"/>
        </w:rPr>
      </w:pPr>
      <w:r>
        <w:rPr>
          <w:rFonts w:hint="eastAsia" w:eastAsia="仿宋_GB2312"/>
          <w:sz w:val="32"/>
          <w:szCs w:val="32"/>
        </w:rPr>
        <w:t>2018</w:t>
      </w:r>
      <w:r>
        <w:rPr>
          <w:rFonts w:eastAsia="仿宋_GB2312"/>
          <w:sz w:val="32"/>
          <w:szCs w:val="32"/>
        </w:rPr>
        <w:t>年偿还地方政府债券本金</w:t>
      </w:r>
      <w:r>
        <w:rPr>
          <w:rFonts w:hint="eastAsia" w:eastAsia="仿宋_GB2312"/>
          <w:sz w:val="32"/>
          <w:szCs w:val="32"/>
        </w:rPr>
        <w:t>43635万元</w:t>
      </w:r>
      <w:r>
        <w:rPr>
          <w:rFonts w:eastAsia="仿宋_GB2312"/>
          <w:sz w:val="32"/>
          <w:szCs w:val="32"/>
        </w:rPr>
        <w:t>，其中一般债券</w:t>
      </w:r>
      <w:r>
        <w:rPr>
          <w:rFonts w:hint="eastAsia" w:eastAsia="仿宋_GB2312"/>
          <w:sz w:val="32"/>
          <w:szCs w:val="32"/>
        </w:rPr>
        <w:t>38414万元</w:t>
      </w:r>
      <w:r>
        <w:rPr>
          <w:rFonts w:eastAsia="仿宋_GB2312"/>
          <w:sz w:val="32"/>
          <w:szCs w:val="32"/>
        </w:rPr>
        <w:t>，专项债务</w:t>
      </w:r>
      <w:r>
        <w:rPr>
          <w:rFonts w:hint="eastAsia" w:eastAsia="仿宋_GB2312"/>
          <w:sz w:val="32"/>
          <w:szCs w:val="32"/>
        </w:rPr>
        <w:t>5221万元</w:t>
      </w:r>
      <w:r>
        <w:rPr>
          <w:rFonts w:eastAsia="仿宋_GB2312"/>
          <w:sz w:val="32"/>
          <w:szCs w:val="32"/>
        </w:rPr>
        <w:t>，支付地方政府债券利息</w:t>
      </w:r>
      <w:r>
        <w:rPr>
          <w:rFonts w:hint="eastAsia" w:eastAsia="仿宋_GB2312"/>
          <w:sz w:val="32"/>
          <w:szCs w:val="32"/>
        </w:rPr>
        <w:t>7944万元</w:t>
      </w:r>
      <w:r>
        <w:rPr>
          <w:rFonts w:eastAsia="仿宋_GB2312"/>
          <w:sz w:val="32"/>
          <w:szCs w:val="32"/>
        </w:rPr>
        <w:t>，其中一般债券利息</w:t>
      </w:r>
      <w:r>
        <w:rPr>
          <w:rFonts w:hint="eastAsia" w:eastAsia="仿宋_GB2312"/>
          <w:sz w:val="32"/>
          <w:szCs w:val="32"/>
        </w:rPr>
        <w:t>7353万元</w:t>
      </w:r>
      <w:r>
        <w:rPr>
          <w:rFonts w:eastAsia="仿宋_GB2312"/>
          <w:sz w:val="32"/>
          <w:szCs w:val="32"/>
        </w:rPr>
        <w:t>，专项债券利息</w:t>
      </w:r>
      <w:r>
        <w:rPr>
          <w:rFonts w:hint="eastAsia" w:eastAsia="仿宋_GB2312"/>
          <w:sz w:val="32"/>
          <w:szCs w:val="32"/>
        </w:rPr>
        <w:t>591万元</w:t>
      </w:r>
      <w:r>
        <w:rPr>
          <w:rFonts w:eastAsia="仿宋_GB2312"/>
          <w:sz w:val="32"/>
          <w:szCs w:val="32"/>
        </w:rPr>
        <w:t>。</w:t>
      </w:r>
    </w:p>
    <w:p>
      <w:pPr>
        <w:spacing w:line="580" w:lineRule="exact"/>
        <w:ind w:firstLine="640" w:firstLineChars="200"/>
        <w:rPr>
          <w:rFonts w:eastAsia="仿宋_GB2312"/>
          <w:sz w:val="32"/>
          <w:szCs w:val="32"/>
        </w:rPr>
      </w:pPr>
      <w:r>
        <w:rPr>
          <w:rFonts w:hint="eastAsia" w:eastAsia="仿宋_GB2312"/>
          <w:sz w:val="32"/>
          <w:szCs w:val="32"/>
        </w:rPr>
        <w:t>2019</w:t>
      </w:r>
      <w:r>
        <w:rPr>
          <w:rFonts w:eastAsia="仿宋_GB2312"/>
          <w:sz w:val="32"/>
          <w:szCs w:val="32"/>
        </w:rPr>
        <w:t>年偿还地方政府债券本金</w:t>
      </w:r>
      <w:r>
        <w:rPr>
          <w:rFonts w:hint="eastAsia" w:eastAsia="仿宋_GB2312"/>
          <w:sz w:val="32"/>
          <w:szCs w:val="32"/>
        </w:rPr>
        <w:t>2000万元</w:t>
      </w:r>
      <w:r>
        <w:rPr>
          <w:rFonts w:eastAsia="仿宋_GB2312"/>
          <w:sz w:val="32"/>
          <w:szCs w:val="32"/>
        </w:rPr>
        <w:t>，其中一般债券</w:t>
      </w:r>
      <w:r>
        <w:rPr>
          <w:rFonts w:hint="eastAsia" w:eastAsia="仿宋_GB2312"/>
          <w:sz w:val="32"/>
          <w:szCs w:val="32"/>
        </w:rPr>
        <w:t>2000万元</w:t>
      </w:r>
      <w:r>
        <w:rPr>
          <w:rFonts w:eastAsia="仿宋_GB2312"/>
          <w:sz w:val="32"/>
          <w:szCs w:val="32"/>
        </w:rPr>
        <w:t>，专项债务</w:t>
      </w:r>
      <w:r>
        <w:rPr>
          <w:rFonts w:hint="eastAsia" w:eastAsia="仿宋_GB2312"/>
          <w:sz w:val="32"/>
          <w:szCs w:val="32"/>
        </w:rPr>
        <w:t>0万元</w:t>
      </w:r>
      <w:r>
        <w:rPr>
          <w:rFonts w:eastAsia="仿宋_GB2312"/>
          <w:sz w:val="32"/>
          <w:szCs w:val="32"/>
        </w:rPr>
        <w:t>，支付地方政府债券利息</w:t>
      </w:r>
      <w:r>
        <w:rPr>
          <w:rFonts w:hint="eastAsia" w:eastAsia="仿宋_GB2312"/>
          <w:sz w:val="32"/>
          <w:szCs w:val="32"/>
        </w:rPr>
        <w:t>9800万元</w:t>
      </w:r>
      <w:r>
        <w:rPr>
          <w:rFonts w:eastAsia="仿宋_GB2312"/>
          <w:sz w:val="32"/>
          <w:szCs w:val="32"/>
        </w:rPr>
        <w:t>，其中一般债券利息</w:t>
      </w:r>
      <w:r>
        <w:rPr>
          <w:rFonts w:hint="eastAsia" w:eastAsia="仿宋_GB2312"/>
          <w:sz w:val="32"/>
          <w:szCs w:val="32"/>
        </w:rPr>
        <w:t>7800万元</w:t>
      </w:r>
      <w:r>
        <w:rPr>
          <w:rFonts w:eastAsia="仿宋_GB2312"/>
          <w:sz w:val="32"/>
          <w:szCs w:val="32"/>
        </w:rPr>
        <w:t>，专项债券利息</w:t>
      </w:r>
      <w:r>
        <w:rPr>
          <w:rFonts w:hint="eastAsia" w:eastAsia="仿宋_GB2312"/>
          <w:sz w:val="32"/>
          <w:szCs w:val="32"/>
        </w:rPr>
        <w:t>2000万元</w:t>
      </w:r>
      <w:r>
        <w:rPr>
          <w:rFonts w:eastAsia="仿宋_GB2312"/>
          <w:sz w:val="32"/>
          <w:szCs w:val="32"/>
        </w:rPr>
        <w:t>。</w:t>
      </w:r>
    </w:p>
    <w:p>
      <w:pPr>
        <w:spacing w:line="580" w:lineRule="exact"/>
        <w:ind w:firstLine="643" w:firstLineChars="200"/>
        <w:rPr>
          <w:rFonts w:eastAsia="仿宋_GB2312"/>
          <w:b/>
          <w:sz w:val="32"/>
          <w:szCs w:val="32"/>
        </w:rPr>
      </w:pPr>
      <w:r>
        <w:rPr>
          <w:rFonts w:hint="eastAsia" w:eastAsia="仿宋_GB2312"/>
          <w:b/>
          <w:sz w:val="32"/>
          <w:szCs w:val="32"/>
        </w:rPr>
        <w:t>（四）地方政府债券资金安排情况</w:t>
      </w:r>
    </w:p>
    <w:p>
      <w:pPr>
        <w:spacing w:line="580" w:lineRule="exact"/>
        <w:ind w:firstLine="640" w:firstLineChars="200"/>
        <w:rPr>
          <w:rFonts w:eastAsia="仿宋_GB2312"/>
          <w:sz w:val="32"/>
          <w:szCs w:val="32"/>
        </w:rPr>
      </w:pPr>
      <w:r>
        <w:rPr>
          <w:rFonts w:hint="eastAsia" w:eastAsia="仿宋_GB2312"/>
          <w:sz w:val="32"/>
          <w:szCs w:val="32"/>
        </w:rPr>
        <w:t>2019年根据债券发行情况，作如下安排：</w:t>
      </w:r>
    </w:p>
    <w:p>
      <w:pPr>
        <w:spacing w:line="580" w:lineRule="exact"/>
        <w:ind w:firstLine="640" w:firstLineChars="200"/>
        <w:rPr>
          <w:rFonts w:eastAsia="仿宋_GB2312"/>
          <w:sz w:val="32"/>
          <w:szCs w:val="32"/>
        </w:rPr>
      </w:pPr>
      <w:r>
        <w:rPr>
          <w:rFonts w:hint="eastAsia" w:eastAsia="仿宋_GB2312"/>
          <w:sz w:val="32"/>
          <w:szCs w:val="32"/>
        </w:rPr>
        <w:t>一般债券8200万元，主要用于新邵县芙蓉学校1200万元、新邵县太芝庙至雀塘公路工程项目3200万元、新邵县太芝庙至雀塘公路工程项目3800万元。</w:t>
      </w:r>
    </w:p>
    <w:p>
      <w:pPr>
        <w:spacing w:line="580" w:lineRule="exact"/>
        <w:ind w:firstLine="640" w:firstLineChars="200"/>
        <w:rPr>
          <w:rFonts w:eastAsia="仿宋_GB2312"/>
          <w:sz w:val="32"/>
          <w:szCs w:val="32"/>
        </w:rPr>
      </w:pPr>
      <w:r>
        <w:rPr>
          <w:rFonts w:hint="eastAsia" w:eastAsia="仿宋_GB2312"/>
          <w:sz w:val="32"/>
          <w:szCs w:val="32"/>
        </w:rPr>
        <w:t>专项债券33700万元，主要用于新邵县酿溪镇棚户区改造项目29600万元、湘商产业园污水处理厂及管网工程、路网工程2100万元、湘商产业园标准化厂房及配套路网2000万元。</w:t>
      </w:r>
    </w:p>
    <w:p>
      <w:pPr>
        <w:spacing w:line="580" w:lineRule="exact"/>
        <w:ind w:firstLine="640" w:firstLineChars="200"/>
        <w:rPr>
          <w:rFonts w:eastAsia="黑体"/>
          <w:color w:val="000000"/>
          <w:sz w:val="32"/>
          <w:szCs w:val="32"/>
        </w:rPr>
      </w:pPr>
      <w:r>
        <w:rPr>
          <w:rFonts w:eastAsia="黑体"/>
          <w:color w:val="000000"/>
          <w:sz w:val="32"/>
          <w:szCs w:val="32"/>
        </w:rPr>
        <w:t>三、预算绩效管理工作开展情况</w:t>
      </w:r>
    </w:p>
    <w:p>
      <w:pPr>
        <w:spacing w:line="560" w:lineRule="exact"/>
        <w:ind w:firstLine="640" w:firstLineChars="200"/>
        <w:rPr>
          <w:rFonts w:ascii="黑体" w:hAnsi="黑体" w:eastAsia="黑体" w:cs="宋体"/>
          <w:sz w:val="32"/>
          <w:szCs w:val="32"/>
        </w:rPr>
      </w:pPr>
      <w:r>
        <w:rPr>
          <w:rFonts w:hint="eastAsia" w:ascii="仿宋" w:hAnsi="仿宋" w:eastAsia="仿宋"/>
          <w:sz w:val="32"/>
          <w:szCs w:val="32"/>
        </w:rPr>
        <w:t>（一</w:t>
      </w:r>
      <w:r>
        <w:rPr>
          <w:rFonts w:hint="eastAsia" w:ascii="黑体" w:hAnsi="黑体" w:eastAsia="黑体" w:cs="宋体"/>
          <w:sz w:val="32"/>
          <w:szCs w:val="32"/>
        </w:rPr>
        <w:t>）2018年预算绩效管理工作总结</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过去一年，在上级财政部门的关心和指导下，在县委的正确领导和县人大的监督下，在各部门的共同努力下，我县预算绩效管理工作在强化绩效理念、突出工作重点、提升工作质量、强化结果应用、提高资金使用效益方面取得了较好的成效。</w:t>
      </w:r>
    </w:p>
    <w:p>
      <w:pPr>
        <w:spacing w:line="560" w:lineRule="exact"/>
        <w:ind w:left="643"/>
        <w:rPr>
          <w:rFonts w:ascii="仿宋" w:hAnsi="仿宋" w:eastAsia="仿宋" w:cs="宋体"/>
          <w:b/>
          <w:sz w:val="32"/>
          <w:szCs w:val="32"/>
        </w:rPr>
      </w:pPr>
      <w:r>
        <w:rPr>
          <w:rFonts w:hint="eastAsia" w:ascii="仿宋" w:hAnsi="仿宋" w:eastAsia="仿宋" w:cs="宋体"/>
          <w:b/>
          <w:sz w:val="32"/>
          <w:szCs w:val="32"/>
        </w:rPr>
        <w:t>1、预算绩效理念进一步强化</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通过财政部门对上级关于预算绩效管理工作精神的宣传贯彻和县人大对各部门预算绩效开展情况的监督检查，我县各部门高度重视，专门成立了预算绩效管理领导机构，预算绩效理念空前强化。</w:t>
      </w:r>
    </w:p>
    <w:p>
      <w:pPr>
        <w:spacing w:line="560" w:lineRule="exact"/>
        <w:ind w:left="643"/>
        <w:rPr>
          <w:rFonts w:ascii="仿宋" w:hAnsi="仿宋" w:eastAsia="仿宋" w:cs="宋体"/>
          <w:b/>
          <w:sz w:val="32"/>
          <w:szCs w:val="32"/>
        </w:rPr>
      </w:pPr>
      <w:r>
        <w:rPr>
          <w:rFonts w:hint="eastAsia" w:ascii="仿宋" w:hAnsi="仿宋" w:eastAsia="仿宋" w:cs="宋体"/>
          <w:b/>
          <w:sz w:val="32"/>
          <w:szCs w:val="32"/>
        </w:rPr>
        <w:t>2、绩效目标管理全面推进</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在2018年的预算绩效开展过程中，财政部门就预算绩效申报和公开专门下发了相关文件予以指导和落实。部门预算编制过程中，全县163个部门预算单位都申报了专项资金和部门整体支出绩效目标。县财政局组织人员对部门申报的绩效目标进行了审核，随后将审核意见批复到相关单位，实现了绩效目标部门全覆盖和财政预算资金全覆盖。各预算单位在进行预算公开时，均将绩效目标一并予以公开，同步做到了预算绩效目标公开全覆盖。</w:t>
      </w:r>
    </w:p>
    <w:p>
      <w:pPr>
        <w:spacing w:line="560" w:lineRule="exact"/>
        <w:ind w:left="993"/>
        <w:rPr>
          <w:rFonts w:ascii="仿宋" w:hAnsi="仿宋" w:eastAsia="仿宋" w:cs="宋体"/>
          <w:b/>
          <w:sz w:val="32"/>
          <w:szCs w:val="32"/>
        </w:rPr>
      </w:pPr>
      <w:r>
        <w:rPr>
          <w:rFonts w:hint="eastAsia" w:ascii="仿宋" w:hAnsi="仿宋" w:eastAsia="仿宋" w:cs="宋体"/>
          <w:b/>
          <w:sz w:val="32"/>
          <w:szCs w:val="32"/>
        </w:rPr>
        <w:t>3、绩效评价工作深入开展</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一是组织开展财政性资金绩效自评工作。2018年，全县121个预算单位对2017年度各自的专项资金和部门整体性支出开展了绩效自评。二是积极推进第三方绩效评价。2018年，县财政局委托湖南人和人会计师事务所对2017年卫生健康局的基本公共卫生服务资金、文化旅游局的送戏下乡资金、商务局的电子商务进农村资金、产粮大县资金（上级拨款和县级配套）以及市管中心和文化馆的整体性支出等开展了重点评价。</w:t>
      </w:r>
    </w:p>
    <w:p>
      <w:pPr>
        <w:spacing w:line="560" w:lineRule="exact"/>
        <w:ind w:left="993"/>
        <w:rPr>
          <w:rFonts w:ascii="仿宋" w:hAnsi="仿宋" w:eastAsia="仿宋" w:cs="宋体"/>
          <w:b/>
          <w:sz w:val="32"/>
          <w:szCs w:val="32"/>
        </w:rPr>
      </w:pPr>
      <w:r>
        <w:rPr>
          <w:rFonts w:hint="eastAsia" w:ascii="仿宋" w:hAnsi="仿宋" w:eastAsia="仿宋" w:cs="宋体"/>
          <w:b/>
          <w:sz w:val="32"/>
          <w:szCs w:val="32"/>
        </w:rPr>
        <w:t>4、绩效管理实效逐渐彰显</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一是公开评价结果。按照“谁评价谁公开”的原则，2018年，各预算单位将2017年的专项资金和部门整体支出绩效自评结果和评价报告在政府网站专栏自觉进行公开，做到“非涉密全公开”。二是自觉接受县人大对我县各预算单位预算绩效管理工作的监督和检查，通过强化人大监督，进一步推进我县预算绩效管理工作向纵深开展。三是注重评价结果的应用。财政局通过委托第三方对2017年部分专项资金进行客观公开的绩效评价，发现了一些问题，更是检验了财政资金所发挥的效应，同时将有关问题反馈到相关单位，要求各单位在规定的时间内进行整改，并将评价结果应用到了2019年的年初预算编制工作中。</w:t>
      </w:r>
    </w:p>
    <w:p>
      <w:pPr>
        <w:spacing w:line="560" w:lineRule="exact"/>
        <w:ind w:firstLine="643" w:firstLineChars="200"/>
        <w:rPr>
          <w:rFonts w:ascii="仿宋" w:hAnsi="仿宋" w:eastAsia="仿宋" w:cs="宋体"/>
          <w:b/>
          <w:sz w:val="32"/>
          <w:szCs w:val="32"/>
        </w:rPr>
      </w:pPr>
      <w:r>
        <w:rPr>
          <w:rFonts w:hint="eastAsia" w:ascii="仿宋" w:hAnsi="仿宋" w:eastAsia="仿宋" w:cs="宋体"/>
          <w:b/>
          <w:sz w:val="32"/>
          <w:szCs w:val="32"/>
        </w:rPr>
        <w:t>5、重点领域绩效管理成绩突出</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2018年，为做好扶贫资金的绩效管理，县委县政府高度重视，由财政局牵头，财政与各部门之间齐心协力，运用财政扶贫资金动态监控平台对我县92145万元（含上级资金）的扶贫资金进行绩效管理，各项指标均达到了上级要求，实现了4个百分百，即：绩效指标填报比例100%，绩效指标审核比例100%，绩效自评填报比例100%，绩效自评审核比例100%。我县该项工作各项指标的完成情况，均居全省前列，同时，也为上级据此对我县转移支付的考核做出了较大贡献。</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（二）2019年预算绩效工作思路</w:t>
      </w:r>
    </w:p>
    <w:p>
      <w:pPr>
        <w:spacing w:line="560" w:lineRule="exact"/>
        <w:ind w:left="643"/>
        <w:rPr>
          <w:rFonts w:ascii="仿宋" w:hAnsi="仿宋" w:eastAsia="仿宋" w:cs="宋体"/>
          <w:b/>
          <w:sz w:val="32"/>
          <w:szCs w:val="32"/>
        </w:rPr>
      </w:pPr>
      <w:r>
        <w:rPr>
          <w:rFonts w:hint="eastAsia" w:ascii="仿宋" w:hAnsi="仿宋" w:eastAsia="仿宋" w:cs="宋体"/>
          <w:b/>
          <w:sz w:val="32"/>
          <w:szCs w:val="32"/>
        </w:rPr>
        <w:t>1、强化绩效理念，夯实绩效管理基础</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一要加强宣传发动。通过下文、媒体宣传、举办培训活动等方式，让预算绩效管理这一理念在各部门和有财政资金使用的各领域由以往的被动接受变成主动要求，使之常态化。二要加强队伍建设。一方面通过培训来提高财政财务人员的绩效管理水平；另一方面有针对性地组织相关人员到我省其他县市学习先进经验，不断提高绩效管理队伍的素质。</w:t>
      </w:r>
    </w:p>
    <w:p>
      <w:pPr>
        <w:spacing w:line="560" w:lineRule="exact"/>
        <w:ind w:left="643"/>
        <w:rPr>
          <w:rFonts w:ascii="仿宋" w:hAnsi="仿宋" w:eastAsia="仿宋" w:cs="宋体"/>
          <w:b/>
          <w:sz w:val="32"/>
          <w:szCs w:val="32"/>
        </w:rPr>
      </w:pPr>
      <w:r>
        <w:rPr>
          <w:rFonts w:hint="eastAsia" w:ascii="仿宋" w:hAnsi="仿宋" w:eastAsia="仿宋" w:cs="宋体"/>
          <w:b/>
          <w:sz w:val="32"/>
          <w:szCs w:val="32"/>
        </w:rPr>
        <w:t>2、完善指标体系，做实绩效目标管理</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将上级绩效目标管理考核指标和我县实际相结合，各预算单位将县财政部门下发的指导性和硬性的考核指标与单位的实际情况相结合，在确保硬性指标的前提下，建立操作性强、针对性强、实效性强的具有地方（部门）特色兼具个性化的指标考核体系，进一步完善好绩效目标管理体系。同时，在实现项目支出绩效目标和部门整体支出绩效目标管理的基础上，进一步规范部门预算绩效目标的填报和审核工作。同时，将绩效目标申报结果与年初部门预算在政府网站专栏同步公开。</w:t>
      </w:r>
    </w:p>
    <w:p>
      <w:pPr>
        <w:spacing w:line="560" w:lineRule="exact"/>
        <w:ind w:left="643"/>
        <w:rPr>
          <w:rFonts w:ascii="仿宋" w:hAnsi="仿宋" w:eastAsia="仿宋" w:cs="宋体"/>
          <w:b/>
          <w:sz w:val="32"/>
          <w:szCs w:val="32"/>
        </w:rPr>
      </w:pPr>
      <w:r>
        <w:rPr>
          <w:rFonts w:hint="eastAsia" w:ascii="仿宋" w:hAnsi="仿宋" w:eastAsia="仿宋" w:cs="宋体"/>
          <w:b/>
          <w:sz w:val="32"/>
          <w:szCs w:val="32"/>
        </w:rPr>
        <w:t>3、完善评价方式，提高绩效评价质量</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一要加大指导力度。财政局各相关业务部门要对各预算单位从预算绩效申报和预算绩效自评全过程进行跟踪指导，定向培训，为提高绩效评价质量打好基础。二要严把绩效评价质量关。在把好自评质量关的前提下，要组织第三方对部门提交的绩效自评报告及相关佐证材料进行集中评审，对绩效评价质量进行考核。三是对于重点领域、关注度较高、金额较大的</w:t>
      </w:r>
      <w:bookmarkStart w:id="1" w:name="_GoBack"/>
      <w:bookmarkEnd w:id="1"/>
      <w:r>
        <w:rPr>
          <w:rFonts w:hint="eastAsia" w:ascii="仿宋" w:hAnsi="仿宋" w:eastAsia="仿宋" w:cs="宋体"/>
          <w:sz w:val="32"/>
          <w:szCs w:val="32"/>
        </w:rPr>
        <w:t>专项资金要开展重点绩效评价，财政和业务部门要加强跟踪指导，提升绩效评价水平。</w:t>
      </w:r>
    </w:p>
    <w:p>
      <w:pPr>
        <w:spacing w:line="560" w:lineRule="exact"/>
        <w:ind w:left="640"/>
        <w:rPr>
          <w:rFonts w:ascii="仿宋" w:hAnsi="仿宋" w:eastAsia="仿宋" w:cs="宋体"/>
          <w:b/>
          <w:sz w:val="32"/>
          <w:szCs w:val="32"/>
        </w:rPr>
      </w:pPr>
      <w:r>
        <w:rPr>
          <w:rFonts w:hint="eastAsia" w:ascii="仿宋" w:hAnsi="仿宋" w:eastAsia="仿宋" w:cs="宋体"/>
          <w:b/>
          <w:sz w:val="32"/>
          <w:szCs w:val="32"/>
        </w:rPr>
        <w:t>4、强化结果应用，树立绩效管理权威</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绩效评价结果应用是整个预算绩效管理的最终环节也是重要环节，它的作用主要体现在补强制度、改进管理、问责追责。一要完善绩效评价结果反馈整改及绩效报告机制。及时将绩效评价中发现的问题和意见反馈给资金主管部门，提出整改要求；将绩效评价综合情况按程序上报给政府和人大，自觉接受和配合人大监督检查。二是加大绩效评价公开力度。按照“谁组织实施，谁进行公开”的原则，各资金主管部门要在自己的门户网站和政府预决算公开专栏中同步公开，直面现实，敢于揭短，自觉接受社会公众的监督，切实提高资金使用效益。三要加强绩效评价结果与预算安排有机结合机制。在对各预算单位和相关项目进行预算安排时，应将绩效评价结果作为重要参考依据，提高绩效管理的实效性和权威性。四是将预算绩效评价与乡镇转移支付的考核挂钩。年底，政府对各乡镇分配转移支付资金时，应将预算绩效评价结果纳入到政府对乡镇的考核评估中，并将其作为资金分配的一个重要依据。五是将预算绩效评价结果与问责机制相结合，切实提高资金使用效益。应将预算绩效评价结果应用到对各单位和相关责任人的考核中，与政府绩效考核相结合，尤其是要与各单位的绩效文明考核挂钩，建立问责机制，做到奖罚分明，全方面提高政府效能，树立政府的公信力。</w:t>
      </w:r>
    </w:p>
    <w:p>
      <w:pPr>
        <w:spacing w:line="560" w:lineRule="exact"/>
        <w:ind w:left="643"/>
        <w:rPr>
          <w:rFonts w:ascii="仿宋" w:hAnsi="仿宋" w:eastAsia="仿宋" w:cs="宋体"/>
          <w:b/>
          <w:sz w:val="32"/>
          <w:szCs w:val="32"/>
        </w:rPr>
      </w:pPr>
      <w:r>
        <w:rPr>
          <w:rFonts w:hint="eastAsia" w:ascii="仿宋" w:hAnsi="仿宋" w:eastAsia="仿宋" w:cs="宋体"/>
          <w:b/>
          <w:sz w:val="32"/>
          <w:szCs w:val="32"/>
        </w:rPr>
        <w:t>5、完善机构设置，提升预算绩效管理水平</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当前我县财政部门的绩效评价股挂靠在预算股，相关业务工作由财政局预算股人员兼任。根据目前这一局面，今后要加强队伍建设，并在全县成立预算绩效评价领导小组，加强组织领导，为我县的预算绩效管理提升到更高水平提供组织保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9DBBF1"/>
    <w:multiLevelType w:val="singleLevel"/>
    <w:tmpl w:val="529DBBF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kNDhmZTYwNGExMTNmNzRhMmRhNGZkMWIyYTQyYjMifQ=="/>
  </w:docVars>
  <w:rsids>
    <w:rsidRoot w:val="69A969E4"/>
    <w:rsid w:val="000933B8"/>
    <w:rsid w:val="00114A26"/>
    <w:rsid w:val="0011534A"/>
    <w:rsid w:val="001764E0"/>
    <w:rsid w:val="001E4D16"/>
    <w:rsid w:val="00297183"/>
    <w:rsid w:val="002F2C2C"/>
    <w:rsid w:val="003458A9"/>
    <w:rsid w:val="00526CB3"/>
    <w:rsid w:val="00664506"/>
    <w:rsid w:val="006666EF"/>
    <w:rsid w:val="00757181"/>
    <w:rsid w:val="007A4D92"/>
    <w:rsid w:val="007A6247"/>
    <w:rsid w:val="009F3A72"/>
    <w:rsid w:val="00B825DB"/>
    <w:rsid w:val="00BE3429"/>
    <w:rsid w:val="00C23B8F"/>
    <w:rsid w:val="00CB369E"/>
    <w:rsid w:val="00CC6FDF"/>
    <w:rsid w:val="00DD61A9"/>
    <w:rsid w:val="00EE59DC"/>
    <w:rsid w:val="00FC7AEC"/>
    <w:rsid w:val="00FE40BF"/>
    <w:rsid w:val="44C82628"/>
    <w:rsid w:val="69A96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uiPriority w:val="0"/>
    <w:rPr>
      <w:kern w:val="2"/>
      <w:sz w:val="18"/>
      <w:szCs w:val="18"/>
    </w:rPr>
  </w:style>
  <w:style w:type="paragraph" w:styleId="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11</Pages>
  <Words>4816</Words>
  <Characters>5336</Characters>
  <Lines>38</Lines>
  <Paragraphs>10</Paragraphs>
  <TotalTime>1</TotalTime>
  <ScaleCrop>false</ScaleCrop>
  <LinksUpToDate>false</LinksUpToDate>
  <CharactersWithSpaces>5343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2022-07-27T08:22:00Z</dcterms:created>
  <dc:creator>Administrator</dc:creator>
  <cp:lastModifiedBy>user</cp:lastModifiedBy>
  <dcterms:modified xsi:type="dcterms:W3CDTF">2022-07-28T07:41:17Z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FABDEF2E730948FFA49600A28ED665B2</vt:lpwstr>
  </property>
</Properties>
</file>