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2249"/>
        <w:gridCol w:w="266"/>
        <w:gridCol w:w="1189"/>
        <w:gridCol w:w="12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事业单位登记及年检工作经费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26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加强对事业单位监管，促进事业单位政策履职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 xml:space="preserve"> 完成全县所有事业单位的年检工作，做好事业单位法人设立、更新等工作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全县所有事业单位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法人年度报告到位，全面做好事业单位设立、变更、撤销等等级工作，发放好证书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提升事业单位履职能力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提升事业单位履职能力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523AE"/>
    <w:rsid w:val="3D3523AE"/>
    <w:rsid w:val="4BB67EF6"/>
    <w:rsid w:val="7E46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2021-01-26T03:31:00Z</dcterms:created>
  <dc:creator>WPS_130869894</dc:creator>
  <cp:lastModifiedBy>WPS_130869894</cp:lastModifiedBy>
  <cp:lastPrinted>2021-01-26T06:30:00Z</cp:lastPrinted>
  <dcterms:modified xsi:type="dcterms:W3CDTF">2021-06-01T02:13:27Z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63E9E9F9856647E58A327D98A5AE0E37</vt:lpwstr>
  </property>
</Properties>
</file>