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160"/>
        <w:gridCol w:w="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应急救援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用于开展水上交通应急救援工作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新邵县水运事务中心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刘跃国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一次性□        新增□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2020年年初预算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认真履行水运事务职责，确保全县水上交通安全。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开展水上交通应急救援工作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加强水上应急救援建设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  <w:lang w:eastAsia="zh-CN"/>
              </w:rPr>
              <w:t>提升水上交通应急救援能力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2020年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0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66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>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2020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8967439"/>
    <w:rsid w:val="185438B7"/>
    <w:rsid w:val="297975C9"/>
    <w:rsid w:val="47361198"/>
    <w:rsid w:val="48A10E9A"/>
    <w:rsid w:val="63495D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飞翔</cp:lastModifiedBy>
  <cp:lastPrinted>2019-05-15T06:40:00Z</cp:lastPrinted>
  <dcterms:modified xsi:type="dcterms:W3CDTF">2020-04-03T03:18:57Z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