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新邵县地方海事处2019年度部门整体支出绩效自评报告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caps w:val="0"/>
          <w:color w:val="1E1E1E"/>
          <w:spacing w:val="0"/>
          <w:sz w:val="22"/>
          <w:szCs w:val="22"/>
        </w:rPr>
      </w:pPr>
      <w:r>
        <w:rPr>
          <w:rFonts w:hint="eastAsia" w:ascii="微软雅黑" w:hAnsi="微软雅黑" w:eastAsia="微软雅黑" w:cs="微软雅黑"/>
          <w:i w:val="0"/>
          <w:caps w:val="0"/>
          <w:color w:val="1E1E1E"/>
          <w:spacing w:val="0"/>
          <w:kern w:val="0"/>
          <w:sz w:val="22"/>
          <w:szCs w:val="22"/>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ascii="仿宋" w:hAnsi="仿宋" w:eastAsia="仿宋" w:cs="仿宋"/>
          <w:i w:val="0"/>
          <w:caps w:val="0"/>
          <w:color w:val="1E1E1E"/>
          <w:spacing w:val="0"/>
          <w:sz w:val="32"/>
          <w:szCs w:val="32"/>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（一）新邵县地方海事处于2012年成立，编制人数18人，现在职17人，根据编办核定，我处内设股室6个，分别为综合股、计财股、安全法规股、航道运输股、船舶船员管理股、水路交通指挥监控股。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   （二）主要工作职责。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1、宣传、贯彻和执行国家有关法律、法规、规章和政策，组织实施水路交通地方性规章、规划及技术规范。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2、依据法律法规授权和县交通局委托，负责和指导全县水路交通行政执法和监督检查工作。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3、负责辖区内水上交通安全监督和防止船舶污染水域工作；负责监督落实客渡船签单发航制度和学生乘船交接制度；负责监控、整改水上交通安全隐患；负责对码头、渡口、船舶和水上设施进行日常安全检查；负责水上交通一般等级事故的调查处理；参与较大事故的调查处理；负责挖砂船碍航性审核和水上水下活动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4、负责对辖区内水上交通，特别是重要码头、重要水域、重点船舶的监控，实现全天24小时值班，负责收集、整理和及时处理水上交通安全动态信息，做好相关情况的报送、请示和传达工作；负责水上搜寻救助、船舶大面积污染水域应急处理工作，负责调动专业和社会资源参与水上应急搜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5、负责辖区内渡工和小型船舶船员的培训、考试与发证工作；负责船舶登记资料收集和三类及在三类以上船员注册和船员适任证书申请受理工作。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6、负责辖区内长度20米以内非载客船舶、水上设施和20客位以内载客船舶的建造检验；负责船舶、水上设施的劳动检验。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7、负责辖区内水路运输及运输服务市场、港口装卸搬运市场的行业管理工作；负责港口安全生产监督和港口行政许可的初审；负责组织运力调配，协调水路战备军事运输工作。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8、负责辖区内航道行政管理、航道养护、航标设施及通航设施管理工作，参与协调水资源综合利用；负责辖区内中小型水路交通基础设施建设管理。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9、负责辖区内水路交通规费征收、管理工作。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10、负责辖区水路交通行业统计和信息采集上报工作。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11、承办县委、县政府和上级部门交办的其他工作。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（三）2019年度工作计划。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完成上级交办各项工作，合理</w:t>
      </w:r>
      <w:r>
        <w:rPr>
          <w:rFonts w:hint="eastAsia" w:ascii="仿宋" w:hAnsi="仿宋" w:eastAsia="仿宋" w:cs="仿宋"/>
          <w:i w:val="0"/>
          <w:caps w:val="0"/>
          <w:color w:val="1E1E1E"/>
          <w:spacing w:val="0"/>
          <w:sz w:val="32"/>
          <w:szCs w:val="32"/>
          <w:lang w:eastAsia="zh-CN"/>
        </w:rPr>
        <w:t>安</w:t>
      </w:r>
      <w:r>
        <w:rPr>
          <w:rFonts w:hint="eastAsia" w:ascii="仿宋" w:hAnsi="仿宋" w:eastAsia="仿宋" w:cs="仿宋"/>
          <w:i w:val="0"/>
          <w:caps w:val="0"/>
          <w:color w:val="1E1E1E"/>
          <w:spacing w:val="0"/>
          <w:sz w:val="32"/>
          <w:szCs w:val="32"/>
        </w:rPr>
        <w:t>排使用预算资金。确保单位各项工作有序进行。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二、部门整体支出规模、使用方向和内容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3"/>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以下所有表格可根据实际情况进行相应调整（金额：万元）。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（一）年度预算收支情况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1.年初预算收支</w:t>
      </w:r>
    </w:p>
    <w:tbl>
      <w:tblPr>
        <w:tblStyle w:val="5"/>
        <w:tblpPr w:vertAnchor="text" w:tblpXSpec="left"/>
        <w:tblW w:w="8685" w:type="dxa"/>
        <w:tblInd w:w="0" w:type="dxa"/>
        <w:shd w:val="clear" w:color="auto" w:fill="auto"/>
        <w:tblLayout w:type="autofit"/>
        <w:tblCellMar>
          <w:top w:w="0" w:type="dxa"/>
          <w:left w:w="0" w:type="dxa"/>
          <w:bottom w:w="0" w:type="dxa"/>
          <w:right w:w="0" w:type="dxa"/>
        </w:tblCellMar>
      </w:tblPr>
      <w:tblGrid>
        <w:gridCol w:w="2136"/>
        <w:gridCol w:w="1737"/>
        <w:gridCol w:w="1625"/>
        <w:gridCol w:w="1345"/>
        <w:gridCol w:w="1842"/>
      </w:tblGrid>
      <w:tr>
        <w:tblPrEx>
          <w:shd w:val="clear" w:color="auto" w:fill="auto"/>
          <w:tblCellMar>
            <w:top w:w="0" w:type="dxa"/>
            <w:left w:w="0" w:type="dxa"/>
            <w:bottom w:w="0" w:type="dxa"/>
            <w:right w:w="0" w:type="dxa"/>
          </w:tblCellMar>
        </w:tblPrEx>
        <w:trPr>
          <w:trHeight w:val="337" w:hRule="atLeast"/>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sz w:val="21"/>
                <w:szCs w:val="21"/>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sz w:val="21"/>
                <w:szCs w:val="21"/>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sz w:val="21"/>
                <w:szCs w:val="21"/>
              </w:rPr>
              <w:t>较上年增减变化</w:t>
            </w:r>
          </w:p>
        </w:tc>
      </w:tr>
      <w:tr>
        <w:tblPrEx>
          <w:shd w:val="clear" w:color="auto" w:fill="auto"/>
          <w:tblCellMar>
            <w:top w:w="0" w:type="dxa"/>
            <w:left w:w="0" w:type="dxa"/>
            <w:bottom w:w="0" w:type="dxa"/>
            <w:right w:w="0" w:type="dxa"/>
          </w:tblCellMar>
        </w:tblPrEx>
        <w:trPr>
          <w:trHeight w:val="397" w:hRule="atLeast"/>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sz w:val="21"/>
                <w:szCs w:val="21"/>
              </w:rPr>
              <w:t>2019年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sz w:val="21"/>
                <w:szCs w:val="21"/>
              </w:rPr>
              <w:t>2018年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sz w:val="21"/>
                <w:szCs w:val="21"/>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rPr>
                <w:rFonts w:hint="default" w:ascii="Times New Roman" w:hAnsi="Times New Roman" w:cs="Times New Roman"/>
                <w:sz w:val="21"/>
                <w:szCs w:val="21"/>
              </w:rPr>
            </w:pPr>
            <w:r>
              <w:rPr>
                <w:rFonts w:hint="eastAsia" w:ascii="仿宋" w:hAnsi="仿宋" w:eastAsia="仿宋" w:cs="仿宋"/>
                <w:b/>
                <w:sz w:val="21"/>
                <w:szCs w:val="21"/>
              </w:rPr>
              <w:t>比例</w:t>
            </w:r>
          </w:p>
        </w:tc>
      </w:tr>
      <w:tr>
        <w:tblPrEx>
          <w:shd w:val="clear" w:color="auto" w:fill="auto"/>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rPr>
                <w:rFonts w:hint="default" w:ascii="Times New Roman" w:hAnsi="Times New Roman" w:cs="Times New Roman"/>
                <w:sz w:val="21"/>
                <w:szCs w:val="21"/>
              </w:rPr>
            </w:pPr>
            <w:r>
              <w:rPr>
                <w:rFonts w:hint="eastAsia" w:ascii="仿宋" w:hAnsi="仿宋" w:eastAsia="仿宋" w:cs="仿宋"/>
                <w:b/>
                <w:sz w:val="21"/>
                <w:szCs w:val="21"/>
              </w:rPr>
              <w:t>收入预算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241.7125</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211.9624</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29.7501</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14%</w:t>
            </w:r>
          </w:p>
        </w:tc>
      </w:tr>
      <w:tr>
        <w:tblPrEx>
          <w:shd w:val="clear" w:color="auto" w:fill="auto"/>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sz w:val="21"/>
                <w:szCs w:val="21"/>
              </w:rPr>
              <w:t>其中：财政经费拨款</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241.7125</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211.9624</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29.7501</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14%</w:t>
            </w:r>
          </w:p>
        </w:tc>
      </w:tr>
      <w:tr>
        <w:tblPrEx>
          <w:shd w:val="clear" w:color="auto" w:fill="auto"/>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rPr>
                <w:rFonts w:hint="default" w:ascii="Times New Roman" w:hAnsi="Times New Roman" w:cs="Times New Roman"/>
                <w:sz w:val="21"/>
                <w:szCs w:val="21"/>
              </w:rPr>
            </w:pPr>
            <w:r>
              <w:rPr>
                <w:rFonts w:hint="eastAsia" w:ascii="仿宋" w:hAnsi="仿宋" w:eastAsia="仿宋" w:cs="仿宋"/>
                <w:b/>
                <w:sz w:val="21"/>
                <w:szCs w:val="21"/>
              </w:rPr>
              <w:t>支出预算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241.7125</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211.9624</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29.7501</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14%</w:t>
            </w:r>
          </w:p>
        </w:tc>
      </w:tr>
      <w:tr>
        <w:tblPrEx>
          <w:shd w:val="clear" w:color="auto" w:fill="auto"/>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sz w:val="21"/>
                <w:szCs w:val="21"/>
              </w:rPr>
              <w:t>其中：基本支出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125.0525</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95.3024</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29.7501</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31%</w:t>
            </w:r>
          </w:p>
        </w:tc>
      </w:tr>
      <w:tr>
        <w:tblPrEx>
          <w:shd w:val="clear" w:color="auto" w:fill="auto"/>
          <w:tblCellMar>
            <w:top w:w="0" w:type="dxa"/>
            <w:left w:w="0" w:type="dxa"/>
            <w:bottom w:w="0" w:type="dxa"/>
            <w:right w:w="0" w:type="dxa"/>
          </w:tblCellMar>
        </w:tblPrEx>
        <w:trPr>
          <w:trHeight w:val="512"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rPr>
                <w:rFonts w:hint="default" w:ascii="Times New Roman" w:hAnsi="Times New Roman" w:cs="Times New Roman"/>
                <w:sz w:val="21"/>
                <w:szCs w:val="21"/>
              </w:rPr>
            </w:pPr>
            <w:r>
              <w:rPr>
                <w:rFonts w:hint="eastAsia" w:ascii="仿宋" w:hAnsi="仿宋" w:eastAsia="仿宋" w:cs="仿宋"/>
                <w:sz w:val="21"/>
                <w:szCs w:val="21"/>
              </w:rPr>
              <w:t>其中：项目支出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116.66</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116.66</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rPr>
                <w:rFonts w:hint="default" w:ascii="Times New Roman" w:hAnsi="Times New Roman" w:cs="Times New Roman"/>
                <w:sz w:val="21"/>
                <w:szCs w:val="21"/>
              </w:rPr>
            </w:pPr>
            <w:r>
              <w:rPr>
                <w:rFonts w:hint="eastAsia" w:ascii="仿宋" w:hAnsi="仿宋" w:eastAsia="仿宋" w:cs="仿宋"/>
                <w:sz w:val="21"/>
                <w:szCs w:val="21"/>
              </w:rPr>
              <w:t>0</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根据年初预算批复，与上年比较，较上年增加29.7501万元，原因是人员工资增加。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2.财政预算整体支出使用范围、方向和内容</w:t>
      </w:r>
    </w:p>
    <w:tbl>
      <w:tblPr>
        <w:tblStyle w:val="5"/>
        <w:tblW w:w="0" w:type="auto"/>
        <w:jc w:val="center"/>
        <w:shd w:val="clear" w:color="auto" w:fill="auto"/>
        <w:tblLayout w:type="autofit"/>
        <w:tblCellMar>
          <w:top w:w="0" w:type="dxa"/>
          <w:left w:w="0" w:type="dxa"/>
          <w:bottom w:w="0" w:type="dxa"/>
          <w:right w:w="0" w:type="dxa"/>
        </w:tblCellMar>
      </w:tblPr>
      <w:tblGrid>
        <w:gridCol w:w="2859"/>
        <w:gridCol w:w="1748"/>
        <w:gridCol w:w="1331"/>
        <w:gridCol w:w="2379"/>
      </w:tblGrid>
      <w:tr>
        <w:tblPrEx>
          <w:shd w:val="clear" w:color="auto" w:fill="auto"/>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合计</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108.0525</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108.0525</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17</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106.1</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123.1</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10.56</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10.56</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合</w:t>
            </w:r>
            <w:r>
              <w:rPr>
                <w:rFonts w:hint="eastAsia" w:ascii="宋体" w:hAnsi="宋体" w:eastAsia="宋体" w:cs="宋体"/>
                <w:sz w:val="21"/>
                <w:szCs w:val="21"/>
              </w:rPr>
              <w:t> </w:t>
            </w:r>
            <w:r>
              <w:rPr>
                <w:rFonts w:hint="eastAsia" w:ascii="仿宋" w:hAnsi="仿宋" w:eastAsia="仿宋" w:cs="仿宋"/>
                <w:sz w:val="21"/>
                <w:szCs w:val="21"/>
              </w:rPr>
              <w:t>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125.0525</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116.66</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241.7125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（二）年度收支决算情况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1.年度收入决算</w:t>
      </w:r>
    </w:p>
    <w:tbl>
      <w:tblPr>
        <w:tblStyle w:val="5"/>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差额</w:t>
            </w:r>
          </w:p>
        </w:tc>
      </w:tr>
      <w:tr>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241.7125</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474.49417</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232.78167</w:t>
            </w:r>
          </w:p>
        </w:tc>
      </w:tr>
      <w:tr>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决算金额比预算金额增加232.78167万元，原因收入上缴拨入的渡口码头改造资金。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2.年度预算支出决算及结余</w:t>
      </w:r>
    </w:p>
    <w:tbl>
      <w:tblPr>
        <w:tblStyle w:val="5"/>
        <w:tblW w:w="7950" w:type="dxa"/>
        <w:tblInd w:w="0" w:type="dxa"/>
        <w:shd w:val="clear" w:color="auto" w:fill="auto"/>
        <w:tblLayout w:type="autofit"/>
        <w:tblCellMar>
          <w:top w:w="0" w:type="dxa"/>
          <w:left w:w="0" w:type="dxa"/>
          <w:bottom w:w="0" w:type="dxa"/>
          <w:right w:w="0" w:type="dxa"/>
        </w:tblCellMar>
      </w:tblPr>
      <w:tblGrid>
        <w:gridCol w:w="1738"/>
        <w:gridCol w:w="2268"/>
        <w:gridCol w:w="1983"/>
        <w:gridCol w:w="1961"/>
      </w:tblGrid>
      <w:tr>
        <w:tblPrEx>
          <w:shd w:val="clear" w:color="auto" w:fill="auto"/>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预算支出类别</w:t>
            </w:r>
          </w:p>
        </w:tc>
        <w:tc>
          <w:tcPr>
            <w:tcW w:w="227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预算金额</w:t>
            </w:r>
          </w:p>
        </w:tc>
        <w:tc>
          <w:tcPr>
            <w:tcW w:w="198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决算金额</w:t>
            </w:r>
          </w:p>
        </w:tc>
        <w:tc>
          <w:tcPr>
            <w:tcW w:w="196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增减金额</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基本支出</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125.0525</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328.07907</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203.02657</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项目支出</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116.66</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146.4151</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29.7551</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00" w:hRule="atLeast"/>
        </w:trPr>
        <w:tc>
          <w:tcPr>
            <w:tcW w:w="1739"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小计</w:t>
            </w:r>
          </w:p>
        </w:tc>
        <w:tc>
          <w:tcPr>
            <w:tcW w:w="227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241.7125</w:t>
            </w:r>
          </w:p>
        </w:tc>
        <w:tc>
          <w:tcPr>
            <w:tcW w:w="198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474.49417</w:t>
            </w:r>
          </w:p>
        </w:tc>
        <w:tc>
          <w:tcPr>
            <w:tcW w:w="196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232.78167</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决算金额比预算金额增加232.78167万元，原因支付了渡口码头改造资金。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仿宋" w:hAnsi="仿宋" w:eastAsia="仿宋" w:cs="仿宋"/>
          <w:b w:val="0"/>
          <w:i w:val="0"/>
          <w:caps w:val="0"/>
          <w:color w:val="1E1E1E"/>
          <w:spacing w:val="0"/>
          <w:sz w:val="32"/>
          <w:szCs w:val="32"/>
        </w:rPr>
        <w:t>（一）基本支出管理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b w:val="0"/>
          <w:i w:val="0"/>
          <w:caps w:val="0"/>
          <w:color w:val="1E1E1E"/>
          <w:spacing w:val="0"/>
          <w:sz w:val="32"/>
          <w:szCs w:val="32"/>
        </w:rPr>
        <w:t>1、基本支出总额使用和管理</w:t>
      </w:r>
    </w:p>
    <w:tbl>
      <w:tblPr>
        <w:tblStyle w:val="5"/>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宋体" w:hAnsi="宋体" w:eastAsia="宋体" w:cs="宋体"/>
                <w:sz w:val="21"/>
                <w:szCs w:val="21"/>
              </w:rPr>
              <w:t> </w:t>
            </w:r>
            <w:r>
              <w:rPr>
                <w:rFonts w:hint="eastAsia" w:ascii="仿宋" w:hAnsi="仿宋" w:eastAsia="仿宋" w:cs="仿宋"/>
                <w:sz w:val="21"/>
                <w:szCs w:val="21"/>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节约/超支金额</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108.0525</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174.7331</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66.6806</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17</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89.51367</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72.51367</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49.94</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49.94</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资本性支出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13.8923</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13.8923</w:t>
            </w:r>
          </w:p>
        </w:tc>
      </w:tr>
      <w:tr>
        <w:tblPrEx>
          <w:shd w:val="clear" w:color="auto" w:fill="auto"/>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125.0525</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328.07907</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rPr>
                <w:rFonts w:hint="default" w:ascii="Times New Roman" w:hAnsi="Times New Roman" w:cs="Times New Roman"/>
                <w:sz w:val="21"/>
                <w:szCs w:val="21"/>
              </w:rPr>
            </w:pPr>
            <w:r>
              <w:rPr>
                <w:rFonts w:hint="eastAsia" w:ascii="仿宋" w:hAnsi="仿宋" w:eastAsia="仿宋" w:cs="仿宋"/>
                <w:sz w:val="21"/>
                <w:szCs w:val="21"/>
              </w:rPr>
              <w:t>203.02657</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2、基本支出中各费用明细支出管理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（1）工资福利支出</w:t>
      </w:r>
    </w:p>
    <w:tbl>
      <w:tblPr>
        <w:tblStyle w:val="5"/>
        <w:tblW w:w="0" w:type="auto"/>
        <w:jc w:val="center"/>
        <w:shd w:val="clear" w:color="auto" w:fill="auto"/>
        <w:tblLayout w:type="autofit"/>
        <w:tblCellMar>
          <w:top w:w="0" w:type="dxa"/>
          <w:left w:w="0" w:type="dxa"/>
          <w:bottom w:w="0" w:type="dxa"/>
          <w:right w:w="0" w:type="dxa"/>
        </w:tblCellMar>
      </w:tblPr>
      <w:tblGrid>
        <w:gridCol w:w="2431"/>
        <w:gridCol w:w="1135"/>
        <w:gridCol w:w="1135"/>
        <w:gridCol w:w="1417"/>
        <w:gridCol w:w="1664"/>
      </w:tblGrid>
      <w:tr>
        <w:tblPrEx>
          <w:shd w:val="clear" w:color="auto" w:fill="auto"/>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费用项目</w:t>
            </w:r>
          </w:p>
        </w:tc>
        <w:tc>
          <w:tcPr>
            <w:tcW w:w="1135"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预算金额</w:t>
            </w:r>
          </w:p>
        </w:tc>
        <w:tc>
          <w:tcPr>
            <w:tcW w:w="1135"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决算金额</w:t>
            </w:r>
          </w:p>
        </w:tc>
        <w:tc>
          <w:tcPr>
            <w:tcW w:w="141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节约/支金额</w:t>
            </w:r>
          </w:p>
        </w:tc>
        <w:tc>
          <w:tcPr>
            <w:tcW w:w="166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节约/超支率</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基本工资</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46.6956</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52.806</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6.1104</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13%</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津贴补贴</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25.0692</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25.0692</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奖金</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3.8913</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54.998</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51.1067</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1313%</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伙食补助费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7.11</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7.11</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绩效工资</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26.775</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10.4042</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-16.3708</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-61%</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机关事业单位基本养老保险缴费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16.9891</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-16.9891</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职业年金缴费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职工基本医疗保险缴费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2.8017</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-2.8017</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-100%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公务员医疗补助缴费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其他社会保障缴费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1.6164</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0.148</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-1.4684</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-91%</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住房公积金</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9.2834</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-9.2834</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-100%</w:t>
            </w:r>
          </w:p>
        </w:tc>
      </w:tr>
      <w:tr>
        <w:tblPrEx>
          <w:shd w:val="clear" w:color="auto" w:fill="auto"/>
          <w:tblCellMar>
            <w:top w:w="0" w:type="dxa"/>
            <w:left w:w="0" w:type="dxa"/>
            <w:bottom w:w="0" w:type="dxa"/>
            <w:right w:w="0" w:type="dxa"/>
          </w:tblCellMar>
        </w:tblPrEx>
        <w:trPr>
          <w:trHeight w:val="90"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医疗费</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其他工资福利支出</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13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24.1977</w:t>
            </w:r>
          </w:p>
        </w:tc>
        <w:tc>
          <w:tcPr>
            <w:tcW w:w="141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24.1977</w:t>
            </w:r>
          </w:p>
        </w:tc>
        <w:tc>
          <w:tcPr>
            <w:tcW w:w="166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11" w:hRule="atLeast"/>
          <w:jc w:val="center"/>
        </w:trPr>
        <w:tc>
          <w:tcPr>
            <w:tcW w:w="2431"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合计</w:t>
            </w:r>
          </w:p>
        </w:tc>
        <w:tc>
          <w:tcPr>
            <w:tcW w:w="113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108.0525</w:t>
            </w:r>
          </w:p>
        </w:tc>
        <w:tc>
          <w:tcPr>
            <w:tcW w:w="113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174.7331</w:t>
            </w:r>
          </w:p>
        </w:tc>
        <w:tc>
          <w:tcPr>
            <w:tcW w:w="141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66.6806</w:t>
            </w:r>
          </w:p>
        </w:tc>
        <w:tc>
          <w:tcPr>
            <w:tcW w:w="166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62%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3"/>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工资福利支出超支原因是发放了年度考核奖金和一些加班补助。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（2）商品和服务支出</w:t>
      </w:r>
    </w:p>
    <w:tbl>
      <w:tblPr>
        <w:tblStyle w:val="5"/>
        <w:tblW w:w="0" w:type="auto"/>
        <w:jc w:val="center"/>
        <w:shd w:val="clear" w:color="auto" w:fill="auto"/>
        <w:tblLayout w:type="autofit"/>
        <w:tblCellMar>
          <w:top w:w="0" w:type="dxa"/>
          <w:left w:w="0" w:type="dxa"/>
          <w:bottom w:w="0" w:type="dxa"/>
          <w:right w:w="0" w:type="dxa"/>
        </w:tblCellMar>
      </w:tblPr>
      <w:tblGrid>
        <w:gridCol w:w="2133"/>
        <w:gridCol w:w="1398"/>
        <w:gridCol w:w="1537"/>
        <w:gridCol w:w="1429"/>
        <w:gridCol w:w="1643"/>
      </w:tblGrid>
      <w:tr>
        <w:tblPrEx>
          <w:shd w:val="clear" w:color="auto" w:fill="auto"/>
          <w:tblCellMar>
            <w:top w:w="0" w:type="dxa"/>
            <w:left w:w="0" w:type="dxa"/>
            <w:bottom w:w="0" w:type="dxa"/>
            <w:right w:w="0" w:type="dxa"/>
          </w:tblCellMar>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bookmarkStart w:id="0" w:name="_GoBack"/>
            <w:bookmarkEnd w:id="0"/>
            <w:r>
              <w:rPr>
                <w:rFonts w:hint="eastAsia" w:ascii="仿宋" w:hAnsi="仿宋" w:eastAsia="仿宋" w:cs="仿宋"/>
                <w:sz w:val="21"/>
                <w:szCs w:val="21"/>
              </w:rPr>
              <w:t>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增减率</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9.1552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6.1552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205%</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咨询费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手续费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1.45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1.45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取暖费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16.6853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14.6853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734%</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因公出国（境）费用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2.0135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2.0135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租赁费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9.7237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9.7237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1.56</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0.46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-71%</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0.993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-0.007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-0.7%</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0.696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-1.304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-65%</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专用材料费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6.2506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6.2506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被装购置费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专用燃料费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0.33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0.33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7.3035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7.3035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委托业务费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5.44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9.4437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4.0037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73%</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福利费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0.031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0.031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公务用车运行维护费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其他交通费用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15.6801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13.6801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684%</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税金及附加费用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9.298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9.298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17</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89.5136</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72.5136</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427%</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办公费、差旅费、专用材料费、劳务费、工会经费、其他交通费、其他商品和服务支出这几类超支较大主要原因是满足单位各项工作开展的需要。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（3）对个人和家庭的补助</w:t>
      </w:r>
    </w:p>
    <w:tbl>
      <w:tblPr>
        <w:tblStyle w:val="5"/>
        <w:tblW w:w="8370" w:type="dxa"/>
        <w:tblInd w:w="0" w:type="dxa"/>
        <w:shd w:val="clear" w:color="auto" w:fill="auto"/>
        <w:tblLayout w:type="autofit"/>
        <w:tblCellMar>
          <w:top w:w="0" w:type="dxa"/>
          <w:left w:w="0" w:type="dxa"/>
          <w:bottom w:w="0" w:type="dxa"/>
          <w:right w:w="0" w:type="dxa"/>
        </w:tblCellMar>
      </w:tblPr>
      <w:tblGrid>
        <w:gridCol w:w="1817"/>
        <w:gridCol w:w="1539"/>
        <w:gridCol w:w="1561"/>
        <w:gridCol w:w="1876"/>
        <w:gridCol w:w="1577"/>
      </w:tblGrid>
      <w:tr>
        <w:tblPrEx>
          <w:shd w:val="clear" w:color="auto" w:fill="auto"/>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结余/超支率</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离休费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退休费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退职（役）费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抚恤金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生活补助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3.59</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超支3.59</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救济费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0.2</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超支0.2</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医疗费补助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助学金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奖励金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个人农业生产补贴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其他对个人和家庭的补助支出</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46.15</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超支46.15</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49.94</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超支49.94</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生活补助超支原因是发放扶贫队员生活补助，其他对个人和家庭的补助超支原因是支付客船船主船舶拆解补助资金。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（二）“三公经费”支出使用和管理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1、“三公经费”预算执行</w:t>
      </w:r>
    </w:p>
    <w:tbl>
      <w:tblPr>
        <w:tblStyle w:val="5"/>
        <w:tblW w:w="8430" w:type="dxa"/>
        <w:jc w:val="center"/>
        <w:shd w:val="clear" w:color="auto" w:fill="auto"/>
        <w:tblLayout w:type="autofit"/>
        <w:tblCellMar>
          <w:top w:w="0" w:type="dxa"/>
          <w:left w:w="0" w:type="dxa"/>
          <w:bottom w:w="0" w:type="dxa"/>
          <w:right w:w="0" w:type="dxa"/>
        </w:tblCellMar>
      </w:tblPr>
      <w:tblGrid>
        <w:gridCol w:w="1630"/>
        <w:gridCol w:w="1064"/>
        <w:gridCol w:w="1124"/>
        <w:gridCol w:w="1004"/>
        <w:gridCol w:w="1169"/>
        <w:gridCol w:w="1149"/>
        <w:gridCol w:w="1290"/>
      </w:tblGrid>
      <w:tr>
        <w:tblPrEx>
          <w:shd w:val="clear" w:color="auto" w:fill="auto"/>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结余/超支</w:t>
            </w:r>
          </w:p>
        </w:tc>
      </w:tr>
      <w:tr>
        <w:tblPrEx>
          <w:shd w:val="clear" w:color="auto" w:fill="auto"/>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项目支出</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基本支出</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项目支出</w:t>
            </w:r>
          </w:p>
        </w:tc>
      </w:tr>
      <w:tr>
        <w:tblPrEx>
          <w:shd w:val="clear" w:color="auto" w:fill="auto"/>
          <w:tblCellMar>
            <w:top w:w="0" w:type="dxa"/>
            <w:left w:w="0" w:type="dxa"/>
            <w:bottom w:w="0" w:type="dxa"/>
            <w:right w:w="0" w:type="dxa"/>
          </w:tblCellMar>
        </w:tblPrEx>
        <w:trPr>
          <w:trHeight w:val="583"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公务接待费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0.696</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结余1.304</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公车运行维护费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公务车购置费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因公出国费用</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0.696</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结余1.304</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三公经费由于我单位严格控制支出，结余1.304万元。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2、“三公经费”与上年度比较</w:t>
      </w:r>
    </w:p>
    <w:tbl>
      <w:tblPr>
        <w:tblStyle w:val="5"/>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tblPrEx>
          <w:shd w:val="clear" w:color="auto" w:fill="auto"/>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费用项目</w:t>
            </w:r>
          </w:p>
        </w:tc>
        <w:tc>
          <w:tcPr>
            <w:tcW w:w="117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本年金额</w:t>
            </w:r>
          </w:p>
        </w:tc>
        <w:tc>
          <w:tcPr>
            <w:tcW w:w="12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上年金额</w:t>
            </w:r>
          </w:p>
        </w:tc>
        <w:tc>
          <w:tcPr>
            <w:tcW w:w="124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增减额</w:t>
            </w:r>
          </w:p>
        </w:tc>
        <w:tc>
          <w:tcPr>
            <w:tcW w:w="2477"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增减率%</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公务接待费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0.696</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3.2632</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-2.5672</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-78%</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公车运行维护费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公务车辆购置费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因公出国(境)费用</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 </w:t>
            </w:r>
          </w:p>
        </w:tc>
      </w:tr>
      <w:tr>
        <w:tblPrEx>
          <w:shd w:val="clear" w:color="auto" w:fill="auto"/>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合计</w:t>
            </w:r>
          </w:p>
        </w:tc>
        <w:tc>
          <w:tcPr>
            <w:tcW w:w="117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0.696</w:t>
            </w:r>
          </w:p>
        </w:tc>
        <w:tc>
          <w:tcPr>
            <w:tcW w:w="125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3.2632</w:t>
            </w:r>
          </w:p>
        </w:tc>
        <w:tc>
          <w:tcPr>
            <w:tcW w:w="124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-2.5672</w:t>
            </w:r>
          </w:p>
        </w:tc>
        <w:tc>
          <w:tcPr>
            <w:tcW w:w="2477"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-78%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三公经费由于其次我单位严格控制支出，较上年度减少78%。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（三）专项支出管理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1、专项资金基本情况及绩效目标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本年年初预算专项项目10个，分别是办公楼租赁5万元，渡工补助专项10.56万元，海事执法20万元，河道打捞专项9万元，执法监督艇使用与维护10万元，客渡船签单发航22.5万元，客渡船视频监控租赁20.6万元，培训费3万元，搜救中心设备购置及维护6万元，应急救援10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2、专项资金预算执行</w:t>
      </w:r>
    </w:p>
    <w:tbl>
      <w:tblPr>
        <w:tblStyle w:val="5"/>
        <w:tblW w:w="8955" w:type="dxa"/>
        <w:tblInd w:w="0" w:type="dxa"/>
        <w:shd w:val="clear" w:color="auto" w:fill="auto"/>
        <w:tblLayout w:type="autofit"/>
        <w:tblCellMar>
          <w:top w:w="0" w:type="dxa"/>
          <w:left w:w="0" w:type="dxa"/>
          <w:bottom w:w="0" w:type="dxa"/>
          <w:right w:w="0" w:type="dxa"/>
        </w:tblCellMar>
      </w:tblPr>
      <w:tblGrid>
        <w:gridCol w:w="2107"/>
        <w:gridCol w:w="816"/>
        <w:gridCol w:w="850"/>
        <w:gridCol w:w="750"/>
        <w:gridCol w:w="1067"/>
        <w:gridCol w:w="883"/>
        <w:gridCol w:w="1083"/>
        <w:gridCol w:w="1399"/>
      </w:tblGrid>
      <w:tr>
        <w:tblPrEx>
          <w:shd w:val="clear" w:color="auto" w:fill="auto"/>
          <w:tblCellMar>
            <w:top w:w="0" w:type="dxa"/>
            <w:left w:w="0" w:type="dxa"/>
            <w:bottom w:w="0" w:type="dxa"/>
            <w:right w:w="0" w:type="dxa"/>
          </w:tblCellMar>
        </w:tblPrEx>
        <w:trPr>
          <w:trHeight w:val="415" w:hRule="atLeast"/>
        </w:trPr>
        <w:tc>
          <w:tcPr>
            <w:tcW w:w="2110"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专项子目名称</w:t>
            </w:r>
          </w:p>
        </w:tc>
        <w:tc>
          <w:tcPr>
            <w:tcW w:w="3483" w:type="dxa"/>
            <w:gridSpan w:val="4"/>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本年预算可用指标</w:t>
            </w:r>
          </w:p>
        </w:tc>
        <w:tc>
          <w:tcPr>
            <w:tcW w:w="883" w:type="dxa"/>
            <w:vMerge w:val="restart"/>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本年实际支出</w:t>
            </w:r>
          </w:p>
        </w:tc>
        <w:tc>
          <w:tcPr>
            <w:tcW w:w="1084" w:type="dxa"/>
            <w:vMerge w:val="restart"/>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本年结余</w:t>
            </w:r>
          </w:p>
        </w:tc>
        <w:tc>
          <w:tcPr>
            <w:tcW w:w="1400" w:type="dxa"/>
            <w:vMerge w:val="restart"/>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投入进度</w:t>
            </w:r>
          </w:p>
        </w:tc>
      </w:tr>
      <w:tr>
        <w:tblPrEx>
          <w:shd w:val="clear" w:color="auto" w:fill="auto"/>
          <w:tblCellMar>
            <w:top w:w="0" w:type="dxa"/>
            <w:left w:w="0" w:type="dxa"/>
            <w:bottom w:w="0" w:type="dxa"/>
            <w:right w:w="0" w:type="dxa"/>
          </w:tblCellMar>
        </w:tblPrEx>
        <w:trPr>
          <w:trHeight w:val="756" w:hRule="atLeast"/>
        </w:trPr>
        <w:tc>
          <w:tcPr>
            <w:tcW w:w="2110"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81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上年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结余</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年初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预算</w:t>
            </w:r>
          </w:p>
        </w:tc>
        <w:tc>
          <w:tcPr>
            <w:tcW w:w="7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本年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追加</w:t>
            </w:r>
          </w:p>
        </w:tc>
        <w:tc>
          <w:tcPr>
            <w:tcW w:w="10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合计</w:t>
            </w:r>
          </w:p>
        </w:tc>
        <w:tc>
          <w:tcPr>
            <w:tcW w:w="883" w:type="dxa"/>
            <w:vMerge w:val="continue"/>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84" w:type="dxa"/>
            <w:vMerge w:val="continue"/>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00" w:type="dxa"/>
            <w:vMerge w:val="continue"/>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shd w:val="clear" w:color="auto" w:fill="auto"/>
          <w:tblCellMar>
            <w:top w:w="0" w:type="dxa"/>
            <w:left w:w="0" w:type="dxa"/>
            <w:bottom w:w="0" w:type="dxa"/>
            <w:right w:w="0" w:type="dxa"/>
          </w:tblCellMar>
        </w:tblPrEx>
        <w:trPr>
          <w:trHeight w:val="403" w:hRule="atLeast"/>
        </w:trPr>
        <w:tc>
          <w:tcPr>
            <w:tcW w:w="2110"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办公楼租赁</w:t>
            </w:r>
          </w:p>
        </w:tc>
        <w:tc>
          <w:tcPr>
            <w:tcW w:w="81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5万</w:t>
            </w:r>
          </w:p>
        </w:tc>
        <w:tc>
          <w:tcPr>
            <w:tcW w:w="7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5万</w:t>
            </w:r>
          </w:p>
        </w:tc>
        <w:tc>
          <w:tcPr>
            <w:tcW w:w="8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5万</w:t>
            </w:r>
          </w:p>
        </w:tc>
        <w:tc>
          <w:tcPr>
            <w:tcW w:w="10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00"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110"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渡工补助专项</w:t>
            </w:r>
          </w:p>
        </w:tc>
        <w:tc>
          <w:tcPr>
            <w:tcW w:w="81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10.56万</w:t>
            </w:r>
          </w:p>
        </w:tc>
        <w:tc>
          <w:tcPr>
            <w:tcW w:w="7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10.56万</w:t>
            </w:r>
          </w:p>
        </w:tc>
        <w:tc>
          <w:tcPr>
            <w:tcW w:w="8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10.56万</w:t>
            </w:r>
          </w:p>
        </w:tc>
        <w:tc>
          <w:tcPr>
            <w:tcW w:w="10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00"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110"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海事执法</w:t>
            </w:r>
          </w:p>
        </w:tc>
        <w:tc>
          <w:tcPr>
            <w:tcW w:w="81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20万</w:t>
            </w:r>
          </w:p>
        </w:tc>
        <w:tc>
          <w:tcPr>
            <w:tcW w:w="7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20万</w:t>
            </w:r>
          </w:p>
        </w:tc>
        <w:tc>
          <w:tcPr>
            <w:tcW w:w="8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20万</w:t>
            </w:r>
          </w:p>
        </w:tc>
        <w:tc>
          <w:tcPr>
            <w:tcW w:w="10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00"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110"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河道打捞专项</w:t>
            </w:r>
          </w:p>
        </w:tc>
        <w:tc>
          <w:tcPr>
            <w:tcW w:w="81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9万</w:t>
            </w:r>
          </w:p>
        </w:tc>
        <w:tc>
          <w:tcPr>
            <w:tcW w:w="7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9万</w:t>
            </w:r>
          </w:p>
        </w:tc>
        <w:tc>
          <w:tcPr>
            <w:tcW w:w="8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9万</w:t>
            </w:r>
          </w:p>
        </w:tc>
        <w:tc>
          <w:tcPr>
            <w:tcW w:w="10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00"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110"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70" w:right="0" w:hanging="270"/>
              <w:jc w:val="center"/>
              <w:rPr>
                <w:rFonts w:hint="default" w:ascii="Times New Roman" w:hAnsi="Times New Roman" w:cs="Times New Roman"/>
                <w:sz w:val="21"/>
                <w:szCs w:val="21"/>
              </w:rPr>
            </w:pPr>
            <w:r>
              <w:rPr>
                <w:rFonts w:hint="eastAsia" w:ascii="仿宋" w:hAnsi="仿宋" w:eastAsia="仿宋" w:cs="仿宋"/>
                <w:sz w:val="18"/>
                <w:szCs w:val="18"/>
              </w:rPr>
              <w:t>执法监督艇使用与维护</w:t>
            </w:r>
          </w:p>
        </w:tc>
        <w:tc>
          <w:tcPr>
            <w:tcW w:w="81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10万</w:t>
            </w:r>
          </w:p>
        </w:tc>
        <w:tc>
          <w:tcPr>
            <w:tcW w:w="7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10万</w:t>
            </w:r>
          </w:p>
        </w:tc>
        <w:tc>
          <w:tcPr>
            <w:tcW w:w="8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10万</w:t>
            </w:r>
          </w:p>
        </w:tc>
        <w:tc>
          <w:tcPr>
            <w:tcW w:w="10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00"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110"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客渡船签单发航</w:t>
            </w:r>
          </w:p>
        </w:tc>
        <w:tc>
          <w:tcPr>
            <w:tcW w:w="81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22.5万</w:t>
            </w:r>
          </w:p>
        </w:tc>
        <w:tc>
          <w:tcPr>
            <w:tcW w:w="7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22.5万</w:t>
            </w:r>
          </w:p>
        </w:tc>
        <w:tc>
          <w:tcPr>
            <w:tcW w:w="8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22.5万</w:t>
            </w:r>
          </w:p>
        </w:tc>
        <w:tc>
          <w:tcPr>
            <w:tcW w:w="10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00"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110"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客渡船视频监控租赁</w:t>
            </w:r>
          </w:p>
        </w:tc>
        <w:tc>
          <w:tcPr>
            <w:tcW w:w="81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20.6万</w:t>
            </w:r>
          </w:p>
        </w:tc>
        <w:tc>
          <w:tcPr>
            <w:tcW w:w="7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20.6万</w:t>
            </w:r>
          </w:p>
        </w:tc>
        <w:tc>
          <w:tcPr>
            <w:tcW w:w="8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20.6万</w:t>
            </w:r>
          </w:p>
        </w:tc>
        <w:tc>
          <w:tcPr>
            <w:tcW w:w="10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00"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110"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培训费</w:t>
            </w:r>
          </w:p>
        </w:tc>
        <w:tc>
          <w:tcPr>
            <w:tcW w:w="81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3万</w:t>
            </w:r>
          </w:p>
        </w:tc>
        <w:tc>
          <w:tcPr>
            <w:tcW w:w="7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3万</w:t>
            </w:r>
          </w:p>
        </w:tc>
        <w:tc>
          <w:tcPr>
            <w:tcW w:w="8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3万</w:t>
            </w:r>
          </w:p>
        </w:tc>
        <w:tc>
          <w:tcPr>
            <w:tcW w:w="10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00"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110"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搜救中心设备购置及维护</w:t>
            </w:r>
          </w:p>
        </w:tc>
        <w:tc>
          <w:tcPr>
            <w:tcW w:w="81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6万</w:t>
            </w:r>
          </w:p>
        </w:tc>
        <w:tc>
          <w:tcPr>
            <w:tcW w:w="7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6万</w:t>
            </w:r>
          </w:p>
        </w:tc>
        <w:tc>
          <w:tcPr>
            <w:tcW w:w="8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6万</w:t>
            </w:r>
          </w:p>
        </w:tc>
        <w:tc>
          <w:tcPr>
            <w:tcW w:w="10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00"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03" w:hRule="atLeast"/>
        </w:trPr>
        <w:tc>
          <w:tcPr>
            <w:tcW w:w="2110"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应急救援</w:t>
            </w:r>
          </w:p>
        </w:tc>
        <w:tc>
          <w:tcPr>
            <w:tcW w:w="81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10万</w:t>
            </w:r>
          </w:p>
        </w:tc>
        <w:tc>
          <w:tcPr>
            <w:tcW w:w="7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6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10万</w:t>
            </w:r>
          </w:p>
        </w:tc>
        <w:tc>
          <w:tcPr>
            <w:tcW w:w="88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sz w:val="21"/>
                <w:szCs w:val="21"/>
              </w:rPr>
              <w:t>10万</w:t>
            </w:r>
          </w:p>
        </w:tc>
        <w:tc>
          <w:tcPr>
            <w:tcW w:w="10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00"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r>
        <w:tblPrEx>
          <w:shd w:val="clear" w:color="auto" w:fill="auto"/>
          <w:tblCellMar>
            <w:top w:w="0" w:type="dxa"/>
            <w:left w:w="0" w:type="dxa"/>
            <w:bottom w:w="0" w:type="dxa"/>
            <w:right w:w="0" w:type="dxa"/>
          </w:tblCellMar>
        </w:tblPrEx>
        <w:trPr>
          <w:trHeight w:val="440" w:hRule="atLeast"/>
        </w:trPr>
        <w:tc>
          <w:tcPr>
            <w:tcW w:w="2110" w:type="dxa"/>
            <w:tcBorders>
              <w:top w:val="nil"/>
              <w:left w:val="single" w:color="000000" w:sz="12" w:space="0"/>
              <w:bottom w:val="single" w:color="000000" w:sz="12"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合</w:t>
            </w:r>
            <w:r>
              <w:rPr>
                <w:rFonts w:hint="eastAsia" w:ascii="宋体" w:hAnsi="宋体" w:eastAsia="宋体" w:cs="宋体"/>
                <w:color w:val="010101"/>
                <w:sz w:val="21"/>
                <w:szCs w:val="21"/>
              </w:rPr>
              <w:t> </w:t>
            </w:r>
            <w:r>
              <w:rPr>
                <w:rFonts w:hint="eastAsia" w:ascii="仿宋" w:hAnsi="仿宋" w:eastAsia="仿宋" w:cs="仿宋"/>
                <w:color w:val="010101"/>
                <w:sz w:val="21"/>
                <w:szCs w:val="21"/>
              </w:rPr>
              <w:t>计</w:t>
            </w:r>
          </w:p>
        </w:tc>
        <w:tc>
          <w:tcPr>
            <w:tcW w:w="816"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850"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116.66万</w:t>
            </w:r>
          </w:p>
        </w:tc>
        <w:tc>
          <w:tcPr>
            <w:tcW w:w="750"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067"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116.66万</w:t>
            </w:r>
          </w:p>
        </w:tc>
        <w:tc>
          <w:tcPr>
            <w:tcW w:w="883"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116.66万</w:t>
            </w:r>
          </w:p>
        </w:tc>
        <w:tc>
          <w:tcPr>
            <w:tcW w:w="1084"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 </w:t>
            </w:r>
          </w:p>
        </w:tc>
        <w:tc>
          <w:tcPr>
            <w:tcW w:w="1400" w:type="dxa"/>
            <w:tcBorders>
              <w:top w:val="nil"/>
              <w:left w:val="nil"/>
              <w:bottom w:val="single" w:color="000000" w:sz="12" w:space="0"/>
              <w:right w:val="single" w:color="000000" w:sz="12"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仿宋" w:hAnsi="仿宋" w:eastAsia="仿宋" w:cs="仿宋"/>
                <w:color w:val="010101"/>
                <w:sz w:val="21"/>
                <w:szCs w:val="21"/>
              </w:rPr>
              <w:t>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3、专项资金的管理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宋体" w:hAnsi="宋体" w:eastAsia="宋体" w:cs="宋体"/>
          <w:i w:val="0"/>
          <w:caps w:val="0"/>
          <w:color w:val="1E1E1E"/>
          <w:spacing w:val="0"/>
          <w:sz w:val="30"/>
          <w:szCs w:val="30"/>
          <w:shd w:val="clear" w:fill="FFFFFF"/>
        </w:rPr>
        <w:t>对专项资金实行专人专账管理，健全内控管理制度，保障项目资金的使用安全。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四、部门整体支出绩效评价 </w:t>
      </w:r>
      <w:r>
        <w:rPr>
          <w:rFonts w:hint="eastAsia" w:ascii="仿宋" w:hAnsi="仿宋" w:eastAsia="仿宋" w:cs="仿宋"/>
          <w:i w:val="0"/>
          <w:caps w:val="0"/>
          <w:color w:val="1E1E1E"/>
          <w:spacing w:val="0"/>
          <w:sz w:val="32"/>
          <w:szCs w:val="32"/>
        </w:rPr>
        <w:br w:type="textWrapping"/>
      </w:r>
      <w:r>
        <w:rPr>
          <w:rFonts w:hint="eastAsia" w:ascii="仿宋" w:hAnsi="仿宋" w:eastAsia="仿宋" w:cs="仿宋"/>
          <w:i w:val="0"/>
          <w:caps w:val="0"/>
          <w:color w:val="1E1E1E"/>
          <w:spacing w:val="0"/>
          <w:sz w:val="32"/>
          <w:szCs w:val="32"/>
        </w:rPr>
        <w:t>2019年，在县委、县政府的正确领导下，我们紧紧围绕年度目标任务，团结拼搏，锐意进取，扎实工作，全面完成了各项工作任务。 </w:t>
      </w:r>
      <w:r>
        <w:rPr>
          <w:rFonts w:hint="eastAsia" w:ascii="仿宋" w:hAnsi="仿宋" w:eastAsia="仿宋" w:cs="仿宋"/>
          <w:i w:val="0"/>
          <w:caps w:val="0"/>
          <w:color w:val="1E1E1E"/>
          <w:spacing w:val="0"/>
          <w:sz w:val="32"/>
          <w:szCs w:val="32"/>
        </w:rPr>
        <w:br w:type="textWrapping"/>
      </w:r>
      <w:r>
        <w:rPr>
          <w:rFonts w:hint="eastAsia" w:ascii="仿宋" w:hAnsi="仿宋" w:eastAsia="仿宋" w:cs="仿宋"/>
          <w:i w:val="0"/>
          <w:caps w:val="0"/>
          <w:color w:val="1E1E1E"/>
          <w:spacing w:val="0"/>
          <w:sz w:val="32"/>
          <w:szCs w:val="32"/>
        </w:rPr>
        <w:t>（一）有力推进码头改造项目建设,水上运输水平明显提升。 </w:t>
      </w:r>
      <w:r>
        <w:rPr>
          <w:rFonts w:hint="eastAsia" w:ascii="仿宋" w:hAnsi="仿宋" w:eastAsia="仿宋" w:cs="仿宋"/>
          <w:i w:val="0"/>
          <w:caps w:val="0"/>
          <w:color w:val="1E1E1E"/>
          <w:spacing w:val="0"/>
          <w:sz w:val="32"/>
          <w:szCs w:val="32"/>
        </w:rPr>
        <w:br w:type="textWrapping"/>
      </w:r>
      <w:r>
        <w:rPr>
          <w:rFonts w:hint="eastAsia" w:ascii="仿宋" w:hAnsi="仿宋" w:eastAsia="仿宋" w:cs="仿宋"/>
          <w:i w:val="0"/>
          <w:caps w:val="0"/>
          <w:color w:val="1E1E1E"/>
          <w:spacing w:val="0"/>
          <w:sz w:val="32"/>
          <w:szCs w:val="32"/>
        </w:rPr>
        <w:t>2019年，我处根据省市县要求，依次完成了对我县重点码头渡口的改造建设，确保了乘客能更安全的上下船舶。</w:t>
      </w:r>
      <w:r>
        <w:rPr>
          <w:rFonts w:hint="eastAsia" w:ascii="仿宋" w:hAnsi="仿宋" w:eastAsia="仿宋" w:cs="仿宋"/>
          <w:i w:val="0"/>
          <w:caps w:val="0"/>
          <w:color w:val="1E1E1E"/>
          <w:spacing w:val="0"/>
          <w:sz w:val="32"/>
          <w:szCs w:val="32"/>
        </w:rPr>
        <w:br w:type="textWrapping"/>
      </w:r>
      <w:r>
        <w:rPr>
          <w:rFonts w:hint="eastAsia" w:ascii="仿宋" w:hAnsi="仿宋" w:eastAsia="仿宋" w:cs="仿宋"/>
          <w:i w:val="0"/>
          <w:caps w:val="0"/>
          <w:color w:val="1E1E1E"/>
          <w:spacing w:val="0"/>
          <w:sz w:val="32"/>
          <w:szCs w:val="32"/>
        </w:rPr>
        <w:t>（二）依法行政工作不断规范。 </w:t>
      </w:r>
      <w:r>
        <w:rPr>
          <w:rFonts w:hint="eastAsia" w:ascii="仿宋" w:hAnsi="仿宋" w:eastAsia="仿宋" w:cs="仿宋"/>
          <w:i w:val="0"/>
          <w:caps w:val="0"/>
          <w:color w:val="1E1E1E"/>
          <w:spacing w:val="0"/>
          <w:sz w:val="32"/>
          <w:szCs w:val="32"/>
        </w:rPr>
        <w:br w:type="textWrapping"/>
      </w:r>
      <w:r>
        <w:rPr>
          <w:rFonts w:hint="eastAsia" w:ascii="仿宋" w:hAnsi="仿宋" w:eastAsia="仿宋" w:cs="仿宋"/>
          <w:i w:val="0"/>
          <w:caps w:val="0"/>
          <w:color w:val="1E1E1E"/>
          <w:spacing w:val="0"/>
          <w:sz w:val="32"/>
          <w:szCs w:val="32"/>
        </w:rPr>
        <w:t>主动向社会公开行政职责、办事程序、执法依据、监督方式等信息，促使各项执法工作在阳光下进行，接受社会监督。严格执行许可法规定的程序和期限，做到尽量简化程序和压缩审批时间。 </w:t>
      </w:r>
      <w:r>
        <w:rPr>
          <w:rFonts w:hint="eastAsia" w:ascii="仿宋" w:hAnsi="仿宋" w:eastAsia="仿宋" w:cs="仿宋"/>
          <w:i w:val="0"/>
          <w:caps w:val="0"/>
          <w:color w:val="1E1E1E"/>
          <w:spacing w:val="0"/>
          <w:sz w:val="32"/>
          <w:szCs w:val="32"/>
        </w:rPr>
        <w:br w:type="textWrapping"/>
      </w:r>
      <w:r>
        <w:rPr>
          <w:rFonts w:hint="eastAsia" w:ascii="仿宋" w:hAnsi="仿宋" w:eastAsia="仿宋" w:cs="仿宋"/>
          <w:i w:val="0"/>
          <w:caps w:val="0"/>
          <w:color w:val="1E1E1E"/>
          <w:spacing w:val="0"/>
          <w:sz w:val="32"/>
          <w:szCs w:val="32"/>
        </w:rPr>
        <w:t>（三）安全生产不断强化。 </w:t>
      </w:r>
      <w:r>
        <w:rPr>
          <w:rFonts w:hint="eastAsia" w:ascii="仿宋" w:hAnsi="仿宋" w:eastAsia="仿宋" w:cs="仿宋"/>
          <w:i w:val="0"/>
          <w:caps w:val="0"/>
          <w:color w:val="1E1E1E"/>
          <w:spacing w:val="0"/>
          <w:sz w:val="32"/>
          <w:szCs w:val="32"/>
        </w:rPr>
        <w:br w:type="textWrapping"/>
      </w:r>
      <w:r>
        <w:rPr>
          <w:rFonts w:hint="eastAsia" w:ascii="仿宋" w:hAnsi="仿宋" w:eastAsia="仿宋" w:cs="仿宋"/>
          <w:i w:val="0"/>
          <w:caps w:val="0"/>
          <w:color w:val="1E1E1E"/>
          <w:spacing w:val="0"/>
          <w:sz w:val="32"/>
          <w:szCs w:val="32"/>
        </w:rPr>
        <w:t>    强力推进以全方位、零容忍为主旨的安全隐患排查和治理，着力抓好以落实政策、履行职责、安全例会、现场安全、检查督导和内业资料为内容的日常管理。突出抓好春运、法定节假日等特殊时段的安全工作，深入开展对重点时段、学生渡口的安全专项治理，积极参加县委县政府组织的安全生产大检查、安全生产专项督导和安全生产月等活动。不断完善水上应急抢险、救援预案，有效防范安全事故，实现了全年无安全生产事故的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02"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（四）社会公众满意度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在我处全体干部职工的努力下，各项工作有序的开展，并取得了一些成绩，社会群众对我处的工作纷纷表示满意。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02" w:right="0" w:firstLine="16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（五）部门整体绩效得分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根据对我处2019年部门整体支出项目绩效评价指标体系和绩效情况的检查，2019年我处部门整体绩效自评分97.5分，为“优”等级。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五、存在的主要问题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一是资金使用效益有待进一步提高。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二是绩效目标设立不够明确、细化和量化。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六、有关建议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请财政根据水路运输事业发展的要求和实际情况，保障年初部门预算额度，确保各项工作能有序开展。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6" w:right="0" w:hanging="315"/>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rPr>
          <w:rFonts w:hint="default" w:ascii="Times New Roman" w:hAnsi="Times New Roman" w:cs="Times New Roman"/>
          <w:sz w:val="21"/>
          <w:szCs w:val="21"/>
        </w:rPr>
      </w:pPr>
      <w:r>
        <w:rPr>
          <w:rFonts w:hint="default" w:ascii="Times New Roman" w:hAnsi="Times New Roman" w:eastAsia="隶书"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rPr>
          <w:rFonts w:hint="default" w:ascii="Times New Roman" w:hAnsi="Times New Roman" w:cs="Times New Roman"/>
          <w:sz w:val="21"/>
          <w:szCs w:val="21"/>
        </w:rPr>
      </w:pPr>
      <w:r>
        <w:rPr>
          <w:rFonts w:hint="default" w:ascii="Times New Roman" w:hAnsi="Times New Roman" w:eastAsia="隶书"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rPr>
          <w:rFonts w:hint="default" w:ascii="Times New Roman" w:hAnsi="Times New Roman" w:cs="Times New Roman"/>
          <w:sz w:val="21"/>
          <w:szCs w:val="21"/>
        </w:rPr>
      </w:pPr>
      <w:r>
        <w:rPr>
          <w:rFonts w:hint="default" w:ascii="Times New Roman" w:hAnsi="Times New Roman" w:eastAsia="隶书" w:cs="Times New Roman"/>
          <w:i w:val="0"/>
          <w:caps w:val="0"/>
          <w:color w:val="1E1E1E"/>
          <w:spacing w:val="0"/>
          <w:sz w:val="36"/>
          <w:szCs w:val="36"/>
        </w:rPr>
        <w:t>2019</w:t>
      </w:r>
      <w:r>
        <w:rPr>
          <w:rFonts w:ascii="方正小标宋_GBK" w:hAnsi="方正小标宋_GBK" w:eastAsia="方正小标宋_GBK" w:cs="方正小标宋_GBK"/>
          <w:i w:val="0"/>
          <w:caps w:val="0"/>
          <w:color w:val="1E1E1E"/>
          <w:spacing w:val="0"/>
          <w:sz w:val="36"/>
          <w:szCs w:val="36"/>
        </w:rPr>
        <w:t>年度部门整体支出</w:t>
      </w:r>
      <w:r>
        <w:rPr>
          <w:rFonts w:hint="default" w:ascii="方正小标宋_GBK" w:hAnsi="方正小标宋_GBK" w:eastAsia="方正小标宋_GBK" w:cs="方正小标宋_GBK"/>
          <w:i w:val="0"/>
          <w:caps w:val="0"/>
          <w:color w:val="1E1E1E"/>
          <w:spacing w:val="-8"/>
          <w:sz w:val="36"/>
          <w:szCs w:val="36"/>
        </w:rPr>
        <w:t>绩效评价指标评分表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both"/>
        <w:rPr>
          <w:rFonts w:hint="default" w:ascii="Times New Roman" w:hAnsi="Times New Roman" w:cs="Times New Roman"/>
          <w:sz w:val="21"/>
          <w:szCs w:val="21"/>
        </w:rPr>
      </w:pPr>
      <w:r>
        <w:rPr>
          <w:rFonts w:ascii="楷体" w:hAnsi="楷体" w:eastAsia="楷体" w:cs="楷体"/>
          <w:i w:val="0"/>
          <w:caps w:val="0"/>
          <w:color w:val="1E1E1E"/>
          <w:spacing w:val="-8"/>
          <w:sz w:val="28"/>
          <w:szCs w:val="28"/>
        </w:rPr>
        <w:t>填报单位（盖章）：</w:t>
      </w:r>
    </w:p>
    <w:tbl>
      <w:tblPr>
        <w:tblStyle w:val="5"/>
        <w:tblW w:w="14280" w:type="dxa"/>
        <w:jc w:val="center"/>
        <w:shd w:val="clear" w:color="auto" w:fill="auto"/>
        <w:tblLayout w:type="autofit"/>
        <w:tblCellMar>
          <w:top w:w="0" w:type="dxa"/>
          <w:left w:w="0" w:type="dxa"/>
          <w:bottom w:w="0" w:type="dxa"/>
          <w:right w:w="0" w:type="dxa"/>
        </w:tblCellMar>
      </w:tblPr>
      <w:tblGrid>
        <w:gridCol w:w="689"/>
        <w:gridCol w:w="704"/>
        <w:gridCol w:w="960"/>
        <w:gridCol w:w="5337"/>
        <w:gridCol w:w="5822"/>
        <w:gridCol w:w="768"/>
      </w:tblGrid>
      <w:tr>
        <w:tblPrEx>
          <w:shd w:val="clear" w:color="auto" w:fill="auto"/>
          <w:tblCellMar>
            <w:top w:w="0" w:type="dxa"/>
            <w:left w:w="0" w:type="dxa"/>
            <w:bottom w:w="0" w:type="dxa"/>
            <w:right w:w="0" w:type="dxa"/>
          </w:tblCellMar>
        </w:tblPrEx>
        <w:trPr>
          <w:trHeight w:val="644" w:hRule="atLeast"/>
          <w:tblHeader/>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一级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二级指标</w:t>
            </w:r>
          </w:p>
        </w:tc>
        <w:tc>
          <w:tcPr>
            <w:tcW w:w="96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自评分</w:t>
            </w:r>
          </w:p>
        </w:tc>
      </w:tr>
      <w:tr>
        <w:tblPrEx>
          <w:shd w:val="clear" w:color="auto" w:fill="auto"/>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目标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绩效目标合理性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①符合国家法律法规、国民经济和社会发展总体规划计1分；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②符合部门“三定”方案确定的职责计0.5分；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绩效指标明确性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①将部门整体的绩效目标细化分解为具体的工作任务计1分；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②通过清晰、可衡量的指标值予以体现计0.5分；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③与部门年度的任务数或计划数相对应计0.5分；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配置（15分）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在职人员控制率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重点支出安排率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(23分)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完成率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调整率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shd w:val="clear" w:color="auto" w:fill="auto"/>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进度率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结转结余控制率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2.5</w:t>
            </w:r>
          </w:p>
        </w:tc>
      </w:tr>
      <w:tr>
        <w:tblPrEx>
          <w:shd w:val="clear" w:color="auto" w:fill="auto"/>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执行率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(12分)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①符合国家财经法规和财务管理制度规定以及有关专项资金管理办法的规定计1分；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②资金的拨付有完整的审批程序和手续计1分；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③项目的重大开支经过评估论证计1分；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④符合部门预算批复的用途计1分；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预决算信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①按规定内容公开预决算信息计1分；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基础信息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①基础数据信息和会计信息资料真实计1分；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②基础数据信息和会计信息资料完整计1分；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shd w:val="clear" w:color="auto" w:fill="auto"/>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①制定或具有资产管理制度计1分；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②相关资金管理制度合法、合规、完整计0.5分；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①资产保存完整计0.4分；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②资产配置合理计0.4分；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③资产处置规范计0.4分；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④资产账务管理合规、</w:t>
            </w:r>
            <w:r>
              <w:rPr>
                <w:rFonts w:hint="eastAsia" w:ascii="宋体" w:hAnsi="宋体" w:eastAsia="宋体" w:cs="宋体"/>
                <w:color w:val="000000"/>
                <w:sz w:val="21"/>
                <w:szCs w:val="21"/>
                <w:lang w:eastAsia="zh-CN"/>
              </w:rPr>
              <w:t>账</w:t>
            </w:r>
            <w:r>
              <w:rPr>
                <w:rFonts w:hint="eastAsia" w:ascii="宋体" w:hAnsi="宋体" w:eastAsia="宋体" w:cs="宋体"/>
                <w:color w:val="000000"/>
                <w:sz w:val="21"/>
                <w:szCs w:val="21"/>
              </w:rPr>
              <w:t>实相符计0.4分；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固定资产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利用率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w:t>
            </w:r>
          </w:p>
        </w:tc>
      </w:tr>
      <w:tr>
        <w:tblPrEx>
          <w:shd w:val="clear" w:color="auto" w:fill="auto"/>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产出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职责</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履行</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办结率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（6分）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6</w:t>
            </w:r>
          </w:p>
        </w:tc>
      </w:tr>
      <w:tr>
        <w:tblPrEx>
          <w:shd w:val="clear" w:color="auto" w:fill="auto"/>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履职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效益(20分)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both"/>
              <w:rPr>
                <w:rFonts w:hint="default" w:ascii="Times New Roman" w:hAnsi="Times New Roman" w:cs="Times New Roman"/>
                <w:sz w:val="21"/>
                <w:szCs w:val="21"/>
              </w:rPr>
            </w:pPr>
            <w:r>
              <w:rPr>
                <w:rFonts w:hint="eastAsia" w:ascii="宋体" w:hAnsi="宋体" w:eastAsia="宋体" w:cs="宋体"/>
                <w:color w:val="000000"/>
                <w:sz w:val="21"/>
                <w:szCs w:val="21"/>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宋体" w:hAnsi="宋体" w:eastAsia="宋体" w:cs="宋体"/>
                <w:color w:val="000000"/>
                <w:sz w:val="21"/>
                <w:szCs w:val="21"/>
              </w:rPr>
              <w:t>行政效能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Times New Roman" w:hAnsi="Times New Roman" w:cs="Times New Roman"/>
                <w:sz w:val="21"/>
                <w:szCs w:val="21"/>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社会公众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或服务对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sz w:val="18"/>
                <w:szCs w:val="18"/>
              </w:rPr>
              <w:t>90%</w:t>
            </w:r>
            <w:r>
              <w:rPr>
                <w:rFonts w:hint="eastAsia" w:ascii="宋体" w:hAnsi="宋体" w:eastAsia="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总分</w:t>
            </w:r>
          </w:p>
        </w:tc>
        <w:tc>
          <w:tcPr>
            <w:tcW w:w="704"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100</w:t>
            </w:r>
          </w:p>
        </w:tc>
        <w:tc>
          <w:tcPr>
            <w:tcW w:w="960"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768"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97.5</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704"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both"/>
        <w:rPr>
          <w:rFonts w:hint="default" w:ascii="Times New Roman" w:hAnsi="Times New Roman" w:cs="Times New Roman"/>
          <w:sz w:val="21"/>
          <w:szCs w:val="21"/>
        </w:rPr>
      </w:pPr>
      <w:r>
        <w:rPr>
          <w:rFonts w:hint="eastAsia" w:ascii="仿宋" w:hAnsi="仿宋" w:eastAsia="仿宋" w:cs="仿宋"/>
          <w:i w:val="0"/>
          <w:caps w:val="0"/>
          <w:color w:val="1E1E1E"/>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6" w:right="0" w:hanging="315"/>
        <w:jc w:val="both"/>
        <w:rPr>
          <w:rFonts w:hint="default" w:ascii="Times New Roman" w:hAnsi="Times New Roman" w:cs="Times New Roman"/>
          <w:sz w:val="21"/>
          <w:szCs w:val="21"/>
        </w:rPr>
      </w:pPr>
      <w:r>
        <w:rPr>
          <w:rFonts w:hint="default" w:ascii="Times New Roman" w:hAnsi="Times New Roman" w:eastAsia="隶书"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6" w:right="0" w:hanging="315"/>
        <w:jc w:val="both"/>
        <w:rPr>
          <w:rFonts w:hint="default" w:ascii="Times New Roman" w:hAnsi="Times New Roman" w:cs="Times New Roman"/>
          <w:sz w:val="21"/>
          <w:szCs w:val="21"/>
        </w:rPr>
      </w:pPr>
      <w:r>
        <w:rPr>
          <w:rFonts w:hint="default" w:ascii="Times New Roman" w:hAnsi="Times New Roman" w:eastAsia="隶书" w:cs="Times New Roman"/>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1E1E1E"/>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NDkxZjczODgxOWUzZWZiNDhmOGI2YTJiZDY5MTMifQ=="/>
  </w:docVars>
  <w:rsids>
    <w:rsidRoot w:val="00000000"/>
    <w:rsid w:val="1BDE5569"/>
    <w:rsid w:val="42333F3C"/>
    <w:rsid w:val="7E13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7098</Words>
  <Characters>8161</Characters>
  <Lines>0</Lines>
  <Paragraphs>0</Paragraphs>
  <TotalTime>0</TotalTime>
  <ScaleCrop>false</ScaleCrop>
  <LinksUpToDate>false</LinksUpToDate>
  <CharactersWithSpaces>8168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2021-06-06T04:15:00Z</dcterms:created>
  <dc:creator>Administrator</dc:creator>
  <cp:lastModifiedBy>user</cp:lastModifiedBy>
  <dcterms:modified xsi:type="dcterms:W3CDTF">2022-10-18T10:10:05Z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4B5F5AA0D83F4AF489F171262364E930</vt:lpwstr>
  </property>
</Properties>
</file>