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rPr>
          <w:rFonts w:ascii="微软雅黑" w:hAnsi="微软雅黑" w:eastAsia="微软雅黑" w:cs="微软雅黑"/>
          <w:b/>
          <w:color w:val="1E1E1E"/>
          <w:sz w:val="37"/>
          <w:szCs w:val="37"/>
        </w:rPr>
      </w:pPr>
      <w:r>
        <w:rPr>
          <w:rFonts w:hint="eastAsia" w:ascii="微软雅黑" w:hAnsi="微软雅黑" w:eastAsia="微软雅黑" w:cs="微软雅黑"/>
          <w:b/>
          <w:color w:val="1E1E1E"/>
          <w:kern w:val="0"/>
          <w:sz w:val="37"/>
          <w:szCs w:val="37"/>
          <w:lang w:bidi="ar"/>
        </w:rPr>
        <w:t>新邵县发展和改革局2019年度部门整体支出绩效自评报告</w:t>
      </w:r>
    </w:p>
    <w:p>
      <w:pPr>
        <w:pStyle w:val="5"/>
        <w:widowControl/>
        <w:spacing w:beforeAutospacing="0" w:afterAutospacing="0" w:line="600" w:lineRule="atLeast"/>
        <w:jc w:val="both"/>
        <w:rPr>
          <w:rFonts w:ascii="Times New Roman" w:hAnsi="Times New Roman"/>
          <w:sz w:val="21"/>
          <w:szCs w:val="21"/>
        </w:rPr>
      </w:pPr>
      <w:r>
        <w:rPr>
          <w:rFonts w:ascii="仿宋" w:hAnsi="仿宋" w:eastAsia="仿宋" w:cs="仿宋"/>
          <w:color w:val="1E1E1E"/>
          <w:sz w:val="28"/>
          <w:szCs w:val="28"/>
        </w:rPr>
        <w:t>一、部门概况</w:t>
      </w:r>
    </w:p>
    <w:p>
      <w:pPr>
        <w:pStyle w:val="5"/>
        <w:widowControl/>
        <w:spacing w:beforeAutospacing="0" w:afterAutospacing="0" w:line="520" w:lineRule="atLeast"/>
        <w:ind w:left="150" w:hanging="150"/>
        <w:jc w:val="both"/>
        <w:rPr>
          <w:rFonts w:ascii="Times New Roman" w:hAnsi="Times New Roman"/>
          <w:sz w:val="21"/>
          <w:szCs w:val="21"/>
        </w:rPr>
      </w:pPr>
      <w:r>
        <w:rPr>
          <w:rFonts w:hint="eastAsia" w:ascii="仿宋" w:hAnsi="仿宋" w:eastAsia="仿宋" w:cs="仿宋"/>
          <w:color w:val="1E1E1E"/>
          <w:sz w:val="28"/>
          <w:szCs w:val="28"/>
        </w:rPr>
        <w:t>（一）按照机构改革后的三定方案，我局现有13个内设股室，分别为办公室、财务股、法规股、国民经济综合股、固定资产投资股、农村经济股、工业和基础产业股、社会发展股、湘西地区开发股、能源股、收费管理股、价格管理股，粮食调控股，2个二级机构，分别为新邵县重点项目服务中心、新邵县价格认证中心。</w:t>
      </w:r>
    </w:p>
    <w:p>
      <w:pPr>
        <w:pStyle w:val="5"/>
        <w:widowControl/>
        <w:shd w:val="clear" w:color="auto" w:fill="FFFFFF"/>
        <w:spacing w:beforeAutospacing="0" w:afterAutospacing="0" w:line="520" w:lineRule="atLeast"/>
        <w:jc w:val="both"/>
        <w:rPr>
          <w:rFonts w:ascii="Times New Roman" w:hAnsi="Times New Roman"/>
        </w:rPr>
      </w:pPr>
      <w:r>
        <w:rPr>
          <w:rFonts w:hint="eastAsia" w:ascii="仿宋" w:hAnsi="仿宋" w:eastAsia="仿宋" w:cs="仿宋"/>
          <w:color w:val="1E1E1E"/>
          <w:sz w:val="28"/>
          <w:szCs w:val="28"/>
          <w:shd w:val="clear" w:color="auto" w:fill="FFFFFF"/>
        </w:rPr>
        <w:t>（二）主要工作职责。(1)拟订并组织实施全县国民经济和社会发展战略、中长期规划和年度计划，统筹协调相关总体规划、区域规划、主体功能区规划与专项规划；(2)研究全县宏观经济运行、总量平衡、经济安全和总体产业安全等重要问题并提出宏观调控政策建议，协调解决经济运行中的重大问题，调节国民经济运行。(3)汇总社会资金总体运行情况，参与制定财政、金融、土地政策并综合分析政策执行效果。(4)指导推进和综合协调全县经济体制改革。(5)拟订全县全社会固定资产投资总规模和投资结构的调控目标、政策及措施；统筹安排县级财政性建设资金和投资项目，编制下达政府投资年度计划。(6)组织拟订综合性产业政策，负责协调第一、二、三产业发展的重大问题并衔接平衡相关发展规划和重大政策。(7)贯彻落实国家中部崛起、比照西部开发、长江经济带开发建设和湘西地区开发的政策措施。(8)承担重要商品总量平衡和宏观调控。(9)负责社会发展与国民经济发展的政策衔接。(10)研究经济社会与资源、环境协调发展的重大问题。(11)拟订并组织实施全县能源发展战略、规划和政策。(12)编制和执行全县价格改革规划，拟订并组织实施价格政策；负责价格成本调查。(13)协调推进经济发展环境的优化，指导全县优化经济发展环境的相关工作。(14)研究制定推进社会信用体系建设的规划、政策措施。(15)研究拟订推进经济建设与国防建设协调发展的战略和规划，协调有关重大问题。(16)指导和协调全县公共资源交易，指导和协调全县招标投标工作。(17)负责粮食流通行业管理，协调推进粮食产业发展有关工作。（18）管理全县重要消费品储备和救灾物资储备，监测重要消费品和战略物资供求变化。(19)承办县人民政府交办的其他事项。</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二、部门整体支出规模、使用方向和内容</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（一）年度预算收支情况</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1.年初预算收支</w:t>
      </w:r>
    </w:p>
    <w:tbl>
      <w:tblPr>
        <w:tblStyle w:val="6"/>
        <w:tblpPr w:vertAnchor="text"/>
        <w:tblW w:w="8685" w:type="dxa"/>
        <w:tblInd w:w="0" w:type="dxa"/>
        <w:tblLayout w:type="autofit"/>
        <w:tblCellMar>
          <w:top w:w="0" w:type="dxa"/>
          <w:left w:w="0" w:type="dxa"/>
          <w:bottom w:w="0" w:type="dxa"/>
          <w:right w:w="0" w:type="dxa"/>
        </w:tblCellMar>
      </w:tblPr>
      <w:tblGrid>
        <w:gridCol w:w="2136"/>
        <w:gridCol w:w="1737"/>
        <w:gridCol w:w="1625"/>
        <w:gridCol w:w="1345"/>
        <w:gridCol w:w="1842"/>
      </w:tblGrid>
      <w:tr>
        <w:tblPrEx>
          <w:tblCellMar>
            <w:top w:w="0" w:type="dxa"/>
            <w:left w:w="0" w:type="dxa"/>
            <w:bottom w:w="0" w:type="dxa"/>
            <w:right w:w="0" w:type="dxa"/>
          </w:tblCellMar>
        </w:tblPrEx>
        <w:trPr>
          <w:trHeight w:val="337" w:hRule="atLeast"/>
        </w:trPr>
        <w:tc>
          <w:tcPr>
            <w:tcW w:w="2135"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2" w:hanging="422"/>
              <w:jc w:val="center"/>
              <w:textAlignment w:val="center"/>
              <w:rPr>
                <w:rFonts w:ascii="Times New Roman" w:hAnsi="Times New Roman"/>
                <w:sz w:val="21"/>
                <w:szCs w:val="21"/>
              </w:rPr>
            </w:pPr>
            <w:r>
              <w:rPr>
                <w:rFonts w:hint="eastAsia" w:ascii="仿宋" w:hAnsi="仿宋" w:eastAsia="仿宋" w:cs="仿宋"/>
                <w:b/>
                <w:sz w:val="28"/>
                <w:szCs w:val="28"/>
              </w:rPr>
              <w:t>预算项目</w:t>
            </w:r>
          </w:p>
        </w:tc>
        <w:tc>
          <w:tcPr>
            <w:tcW w:w="3360"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2" w:hanging="422"/>
              <w:jc w:val="center"/>
              <w:textAlignment w:val="center"/>
              <w:rPr>
                <w:rFonts w:ascii="Times New Roman" w:hAnsi="Times New Roman"/>
                <w:sz w:val="21"/>
                <w:szCs w:val="21"/>
              </w:rPr>
            </w:pPr>
            <w:r>
              <w:rPr>
                <w:rFonts w:hint="eastAsia" w:ascii="仿宋" w:hAnsi="仿宋" w:eastAsia="仿宋" w:cs="仿宋"/>
                <w:b/>
                <w:sz w:val="28"/>
                <w:szCs w:val="28"/>
              </w:rPr>
              <w:t>预算金额</w:t>
            </w:r>
          </w:p>
        </w:tc>
        <w:tc>
          <w:tcPr>
            <w:tcW w:w="3185"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2" w:hanging="422"/>
              <w:jc w:val="center"/>
              <w:textAlignment w:val="center"/>
              <w:rPr>
                <w:rFonts w:ascii="Times New Roman" w:hAnsi="Times New Roman"/>
                <w:sz w:val="21"/>
                <w:szCs w:val="21"/>
              </w:rPr>
            </w:pPr>
            <w:r>
              <w:rPr>
                <w:rFonts w:hint="eastAsia" w:ascii="仿宋" w:hAnsi="仿宋" w:eastAsia="仿宋" w:cs="仿宋"/>
                <w:b/>
                <w:sz w:val="28"/>
                <w:szCs w:val="28"/>
              </w:rPr>
              <w:t>较上年增减变化</w:t>
            </w:r>
          </w:p>
        </w:tc>
      </w:tr>
      <w:tr>
        <w:tblPrEx>
          <w:tblCellMar>
            <w:top w:w="0" w:type="dxa"/>
            <w:left w:w="0" w:type="dxa"/>
            <w:bottom w:w="0" w:type="dxa"/>
            <w:right w:w="0" w:type="dxa"/>
          </w:tblCellMar>
        </w:tblPrEx>
        <w:trPr>
          <w:trHeight w:val="397" w:hRule="atLeast"/>
        </w:trPr>
        <w:tc>
          <w:tcPr>
            <w:tcW w:w="2135"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ascii="宋体"/>
                <w:sz w:val="24"/>
              </w:rPr>
            </w:pPr>
          </w:p>
        </w:tc>
        <w:tc>
          <w:tcPr>
            <w:tcW w:w="1736"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2" w:hanging="422"/>
              <w:jc w:val="center"/>
              <w:textAlignment w:val="center"/>
              <w:rPr>
                <w:rFonts w:ascii="Times New Roman" w:hAnsi="Times New Roman"/>
                <w:sz w:val="21"/>
                <w:szCs w:val="21"/>
              </w:rPr>
            </w:pPr>
            <w:r>
              <w:rPr>
                <w:rFonts w:hint="eastAsia" w:ascii="仿宋" w:hAnsi="仿宋" w:eastAsia="仿宋" w:cs="仿宋"/>
                <w:b/>
                <w:sz w:val="28"/>
                <w:szCs w:val="28"/>
              </w:rPr>
              <w:t>2019年</w:t>
            </w:r>
          </w:p>
        </w:tc>
        <w:tc>
          <w:tcPr>
            <w:tcW w:w="1624"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2" w:hanging="422"/>
              <w:jc w:val="center"/>
              <w:textAlignment w:val="center"/>
              <w:rPr>
                <w:rFonts w:ascii="Times New Roman" w:hAnsi="Times New Roman"/>
                <w:sz w:val="21"/>
                <w:szCs w:val="21"/>
              </w:rPr>
            </w:pPr>
            <w:r>
              <w:rPr>
                <w:rFonts w:hint="eastAsia" w:ascii="仿宋" w:hAnsi="仿宋" w:eastAsia="仿宋" w:cs="仿宋"/>
                <w:b/>
                <w:sz w:val="28"/>
                <w:szCs w:val="28"/>
              </w:rPr>
              <w:t>2018年</w:t>
            </w:r>
          </w:p>
        </w:tc>
        <w:tc>
          <w:tcPr>
            <w:tcW w:w="1344"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2" w:hanging="422"/>
              <w:jc w:val="center"/>
              <w:textAlignment w:val="center"/>
              <w:rPr>
                <w:rFonts w:ascii="Times New Roman" w:hAnsi="Times New Roman"/>
                <w:sz w:val="21"/>
                <w:szCs w:val="21"/>
              </w:rPr>
            </w:pPr>
            <w:r>
              <w:rPr>
                <w:rFonts w:hint="eastAsia" w:ascii="仿宋" w:hAnsi="仿宋" w:eastAsia="仿宋" w:cs="仿宋"/>
                <w:b/>
                <w:sz w:val="28"/>
                <w:szCs w:val="28"/>
              </w:rPr>
              <w:t>金额</w:t>
            </w:r>
          </w:p>
        </w:tc>
        <w:tc>
          <w:tcPr>
            <w:tcW w:w="1841"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2" w:hanging="422"/>
              <w:jc w:val="center"/>
              <w:textAlignment w:val="center"/>
              <w:rPr>
                <w:rFonts w:ascii="Times New Roman" w:hAnsi="Times New Roman"/>
                <w:sz w:val="21"/>
                <w:szCs w:val="21"/>
              </w:rPr>
            </w:pPr>
            <w:r>
              <w:rPr>
                <w:rFonts w:hint="eastAsia" w:ascii="仿宋" w:hAnsi="仿宋" w:eastAsia="仿宋" w:cs="仿宋"/>
                <w:b/>
                <w:sz w:val="28"/>
                <w:szCs w:val="28"/>
              </w:rPr>
              <w:t>比例</w:t>
            </w:r>
          </w:p>
        </w:tc>
      </w:tr>
      <w:tr>
        <w:tblPrEx>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2" w:hanging="422"/>
              <w:rPr>
                <w:rFonts w:ascii="Times New Roman" w:hAnsi="Times New Roman"/>
                <w:sz w:val="21"/>
                <w:szCs w:val="21"/>
              </w:rPr>
            </w:pPr>
            <w:r>
              <w:rPr>
                <w:rFonts w:hint="eastAsia" w:ascii="仿宋" w:hAnsi="仿宋" w:eastAsia="仿宋" w:cs="仿宋"/>
                <w:b/>
                <w:sz w:val="28"/>
                <w:szCs w:val="28"/>
              </w:rPr>
              <w:t>收入预算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right="126" w:hanging="420"/>
              <w:jc w:val="center"/>
              <w:rPr>
                <w:rFonts w:ascii="Times New Roman" w:hAnsi="Times New Roman"/>
                <w:sz w:val="21"/>
                <w:szCs w:val="21"/>
              </w:rPr>
            </w:pPr>
            <w:r>
              <w:rPr>
                <w:rFonts w:hint="eastAsia" w:ascii="仿宋" w:hAnsi="仿宋" w:eastAsia="仿宋" w:cs="仿宋"/>
                <w:sz w:val="28"/>
                <w:szCs w:val="28"/>
              </w:rPr>
              <w:t>793.2</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right="126" w:hanging="420"/>
              <w:jc w:val="center"/>
              <w:rPr>
                <w:rFonts w:ascii="Times New Roman" w:hAnsi="Times New Roman"/>
                <w:sz w:val="21"/>
                <w:szCs w:val="21"/>
              </w:rPr>
            </w:pPr>
            <w:r>
              <w:rPr>
                <w:rFonts w:hint="eastAsia" w:ascii="仿宋" w:hAnsi="仿宋" w:eastAsia="仿宋" w:cs="仿宋"/>
                <w:sz w:val="28"/>
                <w:szCs w:val="28"/>
              </w:rPr>
              <w:t>818.1</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right="126" w:hanging="420"/>
              <w:jc w:val="center"/>
              <w:rPr>
                <w:rFonts w:ascii="Times New Roman" w:hAnsi="Times New Roman"/>
                <w:sz w:val="21"/>
                <w:szCs w:val="21"/>
              </w:rPr>
            </w:pPr>
            <w:r>
              <w:rPr>
                <w:rFonts w:hint="eastAsia" w:ascii="仿宋" w:hAnsi="仿宋" w:eastAsia="仿宋" w:cs="仿宋"/>
                <w:sz w:val="28"/>
                <w:szCs w:val="28"/>
              </w:rPr>
              <w:t>-24.9</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right="126" w:hanging="420"/>
              <w:jc w:val="center"/>
              <w:rPr>
                <w:rFonts w:ascii="Times New Roman" w:hAnsi="Times New Roman"/>
                <w:sz w:val="21"/>
                <w:szCs w:val="21"/>
              </w:rPr>
            </w:pPr>
            <w:r>
              <w:rPr>
                <w:rFonts w:hint="eastAsia" w:ascii="仿宋" w:hAnsi="仿宋" w:eastAsia="仿宋" w:cs="仿宋"/>
                <w:sz w:val="28"/>
                <w:szCs w:val="28"/>
              </w:rPr>
              <w:t>-3.04%</w:t>
            </w:r>
          </w:p>
        </w:tc>
      </w:tr>
      <w:tr>
        <w:tblPrEx>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rPr>
                <w:rFonts w:ascii="Times New Roman" w:hAnsi="Times New Roman"/>
                <w:sz w:val="21"/>
                <w:szCs w:val="21"/>
              </w:rPr>
            </w:pPr>
            <w:r>
              <w:rPr>
                <w:rFonts w:hint="eastAsia" w:ascii="仿宋" w:hAnsi="仿宋" w:eastAsia="仿宋" w:cs="仿宋"/>
                <w:sz w:val="28"/>
                <w:szCs w:val="28"/>
              </w:rPr>
              <w:t>其中：财政经费拨款</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right="126" w:hanging="420"/>
              <w:jc w:val="center"/>
              <w:rPr>
                <w:rFonts w:ascii="Times New Roman" w:hAnsi="Times New Roman"/>
                <w:sz w:val="21"/>
                <w:szCs w:val="21"/>
              </w:rPr>
            </w:pPr>
            <w:r>
              <w:rPr>
                <w:rFonts w:hint="eastAsia" w:ascii="仿宋" w:hAnsi="仿宋" w:eastAsia="仿宋" w:cs="仿宋"/>
                <w:sz w:val="28"/>
                <w:szCs w:val="28"/>
              </w:rPr>
              <w:t>793.2</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right="126" w:hanging="420"/>
              <w:jc w:val="center"/>
              <w:rPr>
                <w:rFonts w:ascii="Times New Roman" w:hAnsi="Times New Roman"/>
                <w:sz w:val="21"/>
                <w:szCs w:val="21"/>
              </w:rPr>
            </w:pPr>
            <w:r>
              <w:rPr>
                <w:rFonts w:hint="eastAsia" w:ascii="仿宋" w:hAnsi="仿宋" w:eastAsia="仿宋" w:cs="仿宋"/>
                <w:sz w:val="28"/>
                <w:szCs w:val="28"/>
              </w:rPr>
              <w:t>818.1</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right="126" w:hanging="420"/>
              <w:jc w:val="center"/>
              <w:rPr>
                <w:rFonts w:ascii="Times New Roman" w:hAnsi="Times New Roman"/>
                <w:sz w:val="21"/>
                <w:szCs w:val="21"/>
              </w:rPr>
            </w:pPr>
            <w:r>
              <w:rPr>
                <w:rFonts w:hint="eastAsia" w:ascii="仿宋" w:hAnsi="仿宋" w:eastAsia="仿宋" w:cs="仿宋"/>
                <w:sz w:val="28"/>
                <w:szCs w:val="28"/>
              </w:rPr>
              <w:t>-24.9</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right="126" w:hanging="420"/>
              <w:jc w:val="center"/>
              <w:rPr>
                <w:rFonts w:ascii="Times New Roman" w:hAnsi="Times New Roman"/>
                <w:sz w:val="21"/>
                <w:szCs w:val="21"/>
              </w:rPr>
            </w:pPr>
            <w:r>
              <w:rPr>
                <w:rFonts w:hint="eastAsia" w:ascii="仿宋" w:hAnsi="仿宋" w:eastAsia="仿宋" w:cs="仿宋"/>
                <w:sz w:val="28"/>
                <w:szCs w:val="28"/>
              </w:rPr>
              <w:t>-3.04%</w:t>
            </w:r>
          </w:p>
        </w:tc>
      </w:tr>
      <w:tr>
        <w:tblPrEx>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2" w:hanging="422"/>
              <w:rPr>
                <w:rFonts w:ascii="Times New Roman" w:hAnsi="Times New Roman"/>
                <w:sz w:val="21"/>
                <w:szCs w:val="21"/>
              </w:rPr>
            </w:pPr>
            <w:r>
              <w:rPr>
                <w:rFonts w:hint="eastAsia" w:ascii="仿宋" w:hAnsi="仿宋" w:eastAsia="仿宋" w:cs="仿宋"/>
                <w:b/>
                <w:sz w:val="28"/>
                <w:szCs w:val="28"/>
              </w:rPr>
              <w:t>支出预算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right="126" w:hanging="420"/>
              <w:jc w:val="center"/>
              <w:rPr>
                <w:rFonts w:ascii="Times New Roman" w:hAnsi="Times New Roman"/>
                <w:sz w:val="21"/>
                <w:szCs w:val="21"/>
              </w:rPr>
            </w:pPr>
            <w:r>
              <w:rPr>
                <w:rFonts w:hint="eastAsia" w:ascii="仿宋" w:hAnsi="仿宋" w:eastAsia="仿宋" w:cs="仿宋"/>
                <w:sz w:val="28"/>
                <w:szCs w:val="28"/>
              </w:rPr>
              <w:t>793.2</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right="126" w:hanging="420"/>
              <w:jc w:val="center"/>
              <w:rPr>
                <w:rFonts w:ascii="Times New Roman" w:hAnsi="Times New Roman"/>
                <w:sz w:val="21"/>
                <w:szCs w:val="21"/>
              </w:rPr>
            </w:pPr>
            <w:r>
              <w:rPr>
                <w:rFonts w:hint="eastAsia" w:ascii="仿宋" w:hAnsi="仿宋" w:eastAsia="仿宋" w:cs="仿宋"/>
                <w:sz w:val="28"/>
                <w:szCs w:val="28"/>
              </w:rPr>
              <w:t>818.1</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right="126" w:hanging="420"/>
              <w:jc w:val="center"/>
              <w:rPr>
                <w:rFonts w:ascii="Times New Roman" w:hAnsi="Times New Roman"/>
                <w:sz w:val="21"/>
                <w:szCs w:val="21"/>
              </w:rPr>
            </w:pPr>
            <w:r>
              <w:rPr>
                <w:rFonts w:hint="eastAsia" w:ascii="仿宋" w:hAnsi="仿宋" w:eastAsia="仿宋" w:cs="仿宋"/>
                <w:sz w:val="28"/>
                <w:szCs w:val="28"/>
              </w:rPr>
              <w:t>-24.9</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right="126" w:hanging="420"/>
              <w:jc w:val="center"/>
              <w:rPr>
                <w:rFonts w:ascii="Times New Roman" w:hAnsi="Times New Roman"/>
                <w:sz w:val="21"/>
                <w:szCs w:val="21"/>
              </w:rPr>
            </w:pPr>
            <w:r>
              <w:rPr>
                <w:rFonts w:hint="eastAsia" w:ascii="仿宋" w:hAnsi="仿宋" w:eastAsia="仿宋" w:cs="仿宋"/>
                <w:sz w:val="28"/>
                <w:szCs w:val="28"/>
              </w:rPr>
              <w:t>-3.04%</w:t>
            </w:r>
          </w:p>
        </w:tc>
      </w:tr>
      <w:tr>
        <w:tblPrEx>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rPr>
                <w:rFonts w:ascii="Times New Roman" w:hAnsi="Times New Roman"/>
                <w:sz w:val="21"/>
                <w:szCs w:val="21"/>
              </w:rPr>
            </w:pPr>
            <w:r>
              <w:rPr>
                <w:rFonts w:hint="eastAsia" w:ascii="仿宋" w:hAnsi="仿宋" w:eastAsia="仿宋" w:cs="仿宋"/>
                <w:sz w:val="28"/>
                <w:szCs w:val="28"/>
              </w:rPr>
              <w:t>其中：基本支出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right="126" w:hanging="420"/>
              <w:jc w:val="center"/>
              <w:rPr>
                <w:rFonts w:ascii="Times New Roman" w:hAnsi="Times New Roman"/>
                <w:sz w:val="21"/>
                <w:szCs w:val="21"/>
              </w:rPr>
            </w:pPr>
            <w:r>
              <w:rPr>
                <w:rFonts w:hint="eastAsia" w:ascii="仿宋" w:hAnsi="仿宋" w:eastAsia="仿宋" w:cs="仿宋"/>
                <w:sz w:val="28"/>
                <w:szCs w:val="28"/>
              </w:rPr>
              <w:t>496.2</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right="126" w:hanging="420"/>
              <w:jc w:val="center"/>
              <w:rPr>
                <w:rFonts w:ascii="Times New Roman" w:hAnsi="Times New Roman"/>
                <w:sz w:val="21"/>
                <w:szCs w:val="21"/>
              </w:rPr>
            </w:pPr>
            <w:r>
              <w:rPr>
                <w:rFonts w:hint="eastAsia" w:ascii="仿宋" w:hAnsi="仿宋" w:eastAsia="仿宋" w:cs="仿宋"/>
                <w:sz w:val="28"/>
                <w:szCs w:val="28"/>
              </w:rPr>
              <w:t>391.1</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right="126" w:hanging="420"/>
              <w:jc w:val="center"/>
              <w:rPr>
                <w:rFonts w:ascii="Times New Roman" w:hAnsi="Times New Roman"/>
                <w:sz w:val="21"/>
                <w:szCs w:val="21"/>
              </w:rPr>
            </w:pPr>
            <w:r>
              <w:rPr>
                <w:rFonts w:hint="eastAsia" w:ascii="仿宋" w:hAnsi="仿宋" w:eastAsia="仿宋" w:cs="仿宋"/>
                <w:sz w:val="28"/>
                <w:szCs w:val="28"/>
              </w:rPr>
              <w:t>105.1</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right="126" w:hanging="420"/>
              <w:jc w:val="center"/>
              <w:rPr>
                <w:rFonts w:ascii="Times New Roman" w:hAnsi="Times New Roman"/>
                <w:sz w:val="21"/>
                <w:szCs w:val="21"/>
              </w:rPr>
            </w:pPr>
            <w:r>
              <w:rPr>
                <w:rFonts w:hint="eastAsia" w:ascii="仿宋" w:hAnsi="仿宋" w:eastAsia="仿宋" w:cs="仿宋"/>
                <w:sz w:val="28"/>
                <w:szCs w:val="28"/>
              </w:rPr>
              <w:t>26.87%</w:t>
            </w:r>
          </w:p>
        </w:tc>
      </w:tr>
      <w:tr>
        <w:tblPrEx>
          <w:tblCellMar>
            <w:top w:w="0" w:type="dxa"/>
            <w:left w:w="0" w:type="dxa"/>
            <w:bottom w:w="0" w:type="dxa"/>
            <w:right w:w="0" w:type="dxa"/>
          </w:tblCellMar>
        </w:tblPrEx>
        <w:trPr>
          <w:trHeight w:val="512"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rPr>
                <w:rFonts w:ascii="Times New Roman" w:hAnsi="Times New Roman"/>
                <w:sz w:val="21"/>
                <w:szCs w:val="21"/>
              </w:rPr>
            </w:pPr>
            <w:r>
              <w:rPr>
                <w:rFonts w:hint="eastAsia" w:ascii="仿宋" w:hAnsi="仿宋" w:eastAsia="仿宋" w:cs="仿宋"/>
                <w:sz w:val="28"/>
                <w:szCs w:val="28"/>
              </w:rPr>
              <w:t>其中：项目支出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right="126" w:hanging="420"/>
              <w:jc w:val="center"/>
              <w:rPr>
                <w:rFonts w:ascii="Times New Roman" w:hAnsi="Times New Roman"/>
                <w:sz w:val="21"/>
                <w:szCs w:val="21"/>
              </w:rPr>
            </w:pPr>
            <w:r>
              <w:rPr>
                <w:rFonts w:hint="eastAsia" w:ascii="仿宋" w:hAnsi="仿宋" w:eastAsia="仿宋" w:cs="仿宋"/>
                <w:sz w:val="28"/>
                <w:szCs w:val="28"/>
              </w:rPr>
              <w:t>297</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right="126" w:hanging="420"/>
              <w:jc w:val="center"/>
              <w:rPr>
                <w:rFonts w:ascii="Times New Roman" w:hAnsi="Times New Roman"/>
                <w:sz w:val="21"/>
                <w:szCs w:val="21"/>
              </w:rPr>
            </w:pPr>
            <w:r>
              <w:rPr>
                <w:rFonts w:hint="eastAsia" w:ascii="仿宋" w:hAnsi="仿宋" w:eastAsia="仿宋" w:cs="仿宋"/>
                <w:sz w:val="28"/>
                <w:szCs w:val="28"/>
              </w:rPr>
              <w:t>427</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right="126" w:hanging="420"/>
              <w:jc w:val="center"/>
              <w:rPr>
                <w:rFonts w:ascii="Times New Roman" w:hAnsi="Times New Roman"/>
                <w:sz w:val="21"/>
                <w:szCs w:val="21"/>
              </w:rPr>
            </w:pPr>
            <w:r>
              <w:rPr>
                <w:rFonts w:hint="eastAsia" w:ascii="仿宋" w:hAnsi="仿宋" w:eastAsia="仿宋" w:cs="仿宋"/>
                <w:sz w:val="28"/>
                <w:szCs w:val="28"/>
              </w:rPr>
              <w:t>-130</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right="126" w:hanging="420"/>
              <w:jc w:val="center"/>
              <w:rPr>
                <w:rFonts w:ascii="Times New Roman" w:hAnsi="Times New Roman"/>
                <w:sz w:val="21"/>
                <w:szCs w:val="21"/>
              </w:rPr>
            </w:pPr>
            <w:r>
              <w:rPr>
                <w:rFonts w:hint="eastAsia" w:ascii="仿宋" w:hAnsi="仿宋" w:eastAsia="仿宋" w:cs="仿宋"/>
                <w:sz w:val="28"/>
                <w:szCs w:val="28"/>
              </w:rPr>
              <w:t>-30.44%</w:t>
            </w:r>
          </w:p>
        </w:tc>
      </w:tr>
    </w:tbl>
    <w:p>
      <w:pPr>
        <w:pStyle w:val="5"/>
        <w:widowControl/>
        <w:spacing w:beforeAutospacing="0" w:afterAutospacing="0" w:line="600" w:lineRule="atLeast"/>
        <w:ind w:left="150" w:firstLine="560"/>
        <w:jc w:val="both"/>
        <w:rPr>
          <w:rFonts w:ascii="Times New Roman" w:hAnsi="Times New Roman"/>
          <w:sz w:val="21"/>
          <w:szCs w:val="21"/>
        </w:rPr>
      </w:pPr>
      <w:r>
        <w:rPr>
          <w:rFonts w:ascii="Times New Roman" w:hAnsi="Times New Roman" w:eastAsia="微软雅黑"/>
          <w:color w:val="1E1E1E"/>
          <w:sz w:val="21"/>
          <w:szCs w:val="21"/>
        </w:rPr>
        <w:t> </w:t>
      </w:r>
    </w:p>
    <w:p>
      <w:pPr>
        <w:pStyle w:val="5"/>
        <w:widowControl/>
        <w:spacing w:beforeAutospacing="0" w:afterAutospacing="0" w:line="600" w:lineRule="atLeast"/>
        <w:ind w:left="150" w:firstLine="560"/>
        <w:jc w:val="both"/>
        <w:rPr>
          <w:rFonts w:ascii="Times New Roman" w:hAnsi="Times New Roman"/>
          <w:sz w:val="21"/>
          <w:szCs w:val="21"/>
        </w:rPr>
      </w:pPr>
      <w:r>
        <w:rPr>
          <w:rFonts w:ascii="Times New Roman" w:hAnsi="Times New Roman" w:eastAsia="微软雅黑"/>
          <w:color w:val="1E1E1E"/>
          <w:sz w:val="21"/>
          <w:szCs w:val="21"/>
        </w:rPr>
        <w:t> </w:t>
      </w:r>
    </w:p>
    <w:p>
      <w:pPr>
        <w:pStyle w:val="5"/>
        <w:widowControl/>
        <w:spacing w:beforeAutospacing="0" w:afterAutospacing="0" w:line="600" w:lineRule="atLeast"/>
        <w:ind w:left="150" w:firstLine="560"/>
        <w:jc w:val="both"/>
        <w:rPr>
          <w:rFonts w:ascii="Times New Roman" w:hAnsi="Times New Roman"/>
          <w:sz w:val="21"/>
          <w:szCs w:val="21"/>
        </w:rPr>
      </w:pPr>
      <w:r>
        <w:rPr>
          <w:rFonts w:ascii="Times New Roman" w:hAnsi="Times New Roman" w:eastAsia="微软雅黑"/>
          <w:color w:val="1E1E1E"/>
          <w:sz w:val="21"/>
          <w:szCs w:val="21"/>
        </w:rPr>
        <w:t> </w:t>
      </w:r>
    </w:p>
    <w:p>
      <w:pPr>
        <w:pStyle w:val="5"/>
        <w:widowControl/>
        <w:spacing w:beforeAutospacing="0" w:afterAutospacing="0" w:line="600" w:lineRule="atLeast"/>
        <w:ind w:left="150" w:firstLine="560"/>
        <w:jc w:val="both"/>
        <w:rPr>
          <w:rFonts w:ascii="Times New Roman" w:hAnsi="Times New Roman"/>
          <w:sz w:val="21"/>
          <w:szCs w:val="21"/>
        </w:rPr>
      </w:pPr>
      <w:r>
        <w:rPr>
          <w:rFonts w:ascii="Times New Roman" w:hAnsi="Times New Roman" w:eastAsia="微软雅黑"/>
          <w:color w:val="1E1E1E"/>
          <w:sz w:val="21"/>
          <w:szCs w:val="21"/>
        </w:rPr>
        <w:t> </w:t>
      </w:r>
    </w:p>
    <w:p>
      <w:pPr>
        <w:pStyle w:val="5"/>
        <w:widowControl/>
        <w:spacing w:beforeAutospacing="0" w:afterAutospacing="0" w:line="600" w:lineRule="atLeast"/>
        <w:ind w:left="150" w:firstLine="560"/>
        <w:jc w:val="both"/>
        <w:rPr>
          <w:rFonts w:ascii="Times New Roman" w:hAnsi="Times New Roman"/>
          <w:sz w:val="21"/>
          <w:szCs w:val="21"/>
        </w:rPr>
      </w:pPr>
      <w:r>
        <w:rPr>
          <w:rFonts w:ascii="Times New Roman" w:hAnsi="Times New Roman" w:eastAsia="微软雅黑"/>
          <w:color w:val="1E1E1E"/>
          <w:sz w:val="21"/>
          <w:szCs w:val="21"/>
        </w:rPr>
        <w:t> </w:t>
      </w:r>
    </w:p>
    <w:p>
      <w:pPr>
        <w:pStyle w:val="5"/>
        <w:widowControl/>
        <w:spacing w:beforeAutospacing="0" w:afterAutospacing="0" w:line="600" w:lineRule="atLeast"/>
        <w:ind w:left="150" w:firstLine="560"/>
        <w:jc w:val="both"/>
        <w:rPr>
          <w:rFonts w:ascii="Times New Roman" w:hAnsi="Times New Roman"/>
          <w:sz w:val="21"/>
          <w:szCs w:val="21"/>
        </w:rPr>
      </w:pPr>
      <w:r>
        <w:rPr>
          <w:rFonts w:ascii="Times New Roman" w:hAnsi="Times New Roman" w:eastAsia="微软雅黑"/>
          <w:color w:val="1E1E1E"/>
          <w:sz w:val="21"/>
          <w:szCs w:val="21"/>
        </w:rPr>
        <w:t> </w:t>
      </w:r>
    </w:p>
    <w:p>
      <w:pPr>
        <w:pStyle w:val="5"/>
        <w:widowControl/>
        <w:spacing w:beforeAutospacing="0" w:afterAutospacing="0" w:line="600" w:lineRule="atLeast"/>
        <w:ind w:left="150" w:firstLine="560"/>
        <w:jc w:val="both"/>
        <w:rPr>
          <w:rFonts w:ascii="Times New Roman" w:hAnsi="Times New Roman"/>
          <w:sz w:val="21"/>
          <w:szCs w:val="21"/>
        </w:rPr>
      </w:pPr>
      <w:r>
        <w:rPr>
          <w:rFonts w:ascii="Times New Roman" w:hAnsi="Times New Roman" w:eastAsia="微软雅黑"/>
          <w:color w:val="1E1E1E"/>
          <w:sz w:val="21"/>
          <w:szCs w:val="21"/>
        </w:rPr>
        <w:t> </w:t>
      </w:r>
    </w:p>
    <w:p>
      <w:pPr>
        <w:pStyle w:val="5"/>
        <w:widowControl/>
        <w:spacing w:beforeAutospacing="0" w:afterAutospacing="0" w:line="600" w:lineRule="atLeast"/>
        <w:ind w:left="150" w:firstLine="560"/>
        <w:jc w:val="both"/>
        <w:rPr>
          <w:rFonts w:ascii="Times New Roman" w:hAnsi="Times New Roman"/>
          <w:sz w:val="21"/>
          <w:szCs w:val="21"/>
        </w:rPr>
      </w:pPr>
      <w:r>
        <w:rPr>
          <w:rFonts w:ascii="Times New Roman" w:hAnsi="Times New Roman" w:eastAsia="微软雅黑"/>
          <w:color w:val="1E1E1E"/>
          <w:sz w:val="21"/>
          <w:szCs w:val="21"/>
        </w:rPr>
        <w:t> </w:t>
      </w:r>
    </w:p>
    <w:p>
      <w:pPr>
        <w:pStyle w:val="5"/>
        <w:widowControl/>
        <w:spacing w:beforeAutospacing="0" w:afterAutospacing="0" w:line="600" w:lineRule="atLeast"/>
        <w:ind w:left="150" w:firstLine="560"/>
        <w:jc w:val="both"/>
        <w:rPr>
          <w:rFonts w:ascii="Times New Roman" w:hAnsi="Times New Roman"/>
          <w:sz w:val="21"/>
          <w:szCs w:val="21"/>
        </w:rPr>
      </w:pPr>
      <w:r>
        <w:rPr>
          <w:rFonts w:ascii="Times New Roman" w:hAnsi="Times New Roman" w:eastAsia="微软雅黑"/>
          <w:color w:val="1E1E1E"/>
          <w:sz w:val="21"/>
          <w:szCs w:val="21"/>
        </w:rPr>
        <w:t> </w:t>
      </w:r>
    </w:p>
    <w:p>
      <w:pPr>
        <w:pStyle w:val="5"/>
        <w:widowControl/>
        <w:spacing w:beforeAutospacing="0" w:afterAutospacing="0" w:line="600" w:lineRule="atLeast"/>
        <w:ind w:left="150" w:firstLine="560"/>
        <w:jc w:val="both"/>
        <w:rPr>
          <w:rFonts w:ascii="Times New Roman" w:hAnsi="Times New Roman"/>
          <w:sz w:val="21"/>
          <w:szCs w:val="21"/>
        </w:rPr>
      </w:pPr>
      <w:r>
        <w:rPr>
          <w:rFonts w:ascii="Times New Roman" w:hAnsi="Times New Roman" w:eastAsia="微软雅黑"/>
          <w:color w:val="1E1E1E"/>
          <w:sz w:val="21"/>
          <w:szCs w:val="21"/>
        </w:rPr>
        <w:t> </w:t>
      </w:r>
    </w:p>
    <w:p>
      <w:pPr>
        <w:pStyle w:val="5"/>
        <w:widowControl/>
        <w:spacing w:beforeAutospacing="0" w:afterAutospacing="0" w:line="600" w:lineRule="atLeast"/>
        <w:ind w:left="150" w:firstLine="560"/>
        <w:jc w:val="both"/>
        <w:rPr>
          <w:rFonts w:ascii="Times New Roman" w:hAnsi="Times New Roman"/>
          <w:sz w:val="21"/>
          <w:szCs w:val="21"/>
        </w:rPr>
      </w:pPr>
      <w:r>
        <w:rPr>
          <w:rFonts w:ascii="Times New Roman" w:hAnsi="Times New Roman" w:eastAsia="微软雅黑"/>
          <w:color w:val="1E1E1E"/>
          <w:sz w:val="21"/>
          <w:szCs w:val="21"/>
        </w:rPr>
        <w:t> </w:t>
      </w:r>
    </w:p>
    <w:p>
      <w:pPr>
        <w:pStyle w:val="5"/>
        <w:widowControl/>
        <w:spacing w:beforeAutospacing="0" w:afterAutospacing="0" w:line="600" w:lineRule="atLeast"/>
        <w:ind w:left="150" w:firstLine="560"/>
        <w:jc w:val="both"/>
        <w:rPr>
          <w:rFonts w:ascii="Times New Roman" w:hAnsi="Times New Roman"/>
          <w:sz w:val="21"/>
          <w:szCs w:val="21"/>
        </w:rPr>
      </w:pPr>
      <w:r>
        <w:rPr>
          <w:rFonts w:hint="eastAsia" w:ascii="仿宋" w:hAnsi="仿宋" w:eastAsia="仿宋" w:cs="仿宋"/>
          <w:color w:val="1E1E1E"/>
          <w:sz w:val="28"/>
          <w:szCs w:val="28"/>
        </w:rPr>
        <w:t>根据年初预算批复，与上年比较，人员增加，基本支出增加。</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2.</w:t>
      </w:r>
      <w:r>
        <w:rPr>
          <w:rFonts w:ascii="Times New Roman" w:hAnsi="Times New Roman" w:eastAsia="仿宋"/>
          <w:color w:val="1E1E1E"/>
          <w:sz w:val="14"/>
          <w:szCs w:val="14"/>
        </w:rPr>
        <w:t> </w:t>
      </w:r>
      <w:r>
        <w:rPr>
          <w:rFonts w:hint="eastAsia" w:ascii="仿宋" w:hAnsi="仿宋" w:eastAsia="仿宋" w:cs="仿宋"/>
          <w:color w:val="1E1E1E"/>
          <w:sz w:val="28"/>
          <w:szCs w:val="28"/>
        </w:rPr>
        <w:t>财政预算整体支出使用范围、方向和内容</w:t>
      </w:r>
    </w:p>
    <w:p>
      <w:pPr>
        <w:pStyle w:val="5"/>
        <w:widowControl/>
        <w:spacing w:beforeAutospacing="0" w:afterAutospacing="0" w:line="600" w:lineRule="atLeast"/>
        <w:jc w:val="both"/>
        <w:rPr>
          <w:rFonts w:ascii="Times New Roman" w:hAnsi="Times New Roman"/>
          <w:sz w:val="21"/>
          <w:szCs w:val="21"/>
        </w:rPr>
      </w:pPr>
      <w:r>
        <w:rPr>
          <w:rFonts w:hint="eastAsia" w:ascii="仿宋" w:hAnsi="仿宋" w:eastAsia="仿宋" w:cs="仿宋"/>
          <w:color w:val="1E1E1E"/>
          <w:sz w:val="28"/>
          <w:szCs w:val="28"/>
        </w:rPr>
        <w:t> </w:t>
      </w:r>
    </w:p>
    <w:tbl>
      <w:tblPr>
        <w:tblStyle w:val="6"/>
        <w:tblW w:w="0" w:type="auto"/>
        <w:jc w:val="center"/>
        <w:tblLayout w:type="autofit"/>
        <w:tblCellMar>
          <w:top w:w="0" w:type="dxa"/>
          <w:left w:w="0" w:type="dxa"/>
          <w:bottom w:w="0" w:type="dxa"/>
          <w:right w:w="0" w:type="dxa"/>
        </w:tblCellMar>
      </w:tblPr>
      <w:tblGrid>
        <w:gridCol w:w="2859"/>
        <w:gridCol w:w="1748"/>
        <w:gridCol w:w="1597"/>
        <w:gridCol w:w="2113"/>
      </w:tblGrid>
      <w:tr>
        <w:tblPrEx>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支出项目</w:t>
            </w:r>
          </w:p>
        </w:tc>
        <w:tc>
          <w:tcPr>
            <w:tcW w:w="174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基本支出</w:t>
            </w:r>
          </w:p>
        </w:tc>
        <w:tc>
          <w:tcPr>
            <w:tcW w:w="159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项目支出</w:t>
            </w:r>
          </w:p>
        </w:tc>
        <w:tc>
          <w:tcPr>
            <w:tcW w:w="211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合计</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工资福利支出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357</w:t>
            </w:r>
          </w:p>
        </w:tc>
        <w:tc>
          <w:tcPr>
            <w:tcW w:w="159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21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357</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商品和服务支出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78.2</w:t>
            </w:r>
          </w:p>
        </w:tc>
        <w:tc>
          <w:tcPr>
            <w:tcW w:w="159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297</w:t>
            </w:r>
          </w:p>
        </w:tc>
        <w:tc>
          <w:tcPr>
            <w:tcW w:w="21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375.2</w:t>
            </w:r>
          </w:p>
        </w:tc>
      </w:tr>
      <w:tr>
        <w:tblPrEx>
          <w:tblCellMar>
            <w:top w:w="0" w:type="dxa"/>
            <w:left w:w="0" w:type="dxa"/>
            <w:bottom w:w="0" w:type="dxa"/>
            <w:right w:w="0" w:type="dxa"/>
          </w:tblCellMar>
        </w:tblPrEx>
        <w:trPr>
          <w:trHeight w:val="622"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对个人和家庭的补助</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61</w:t>
            </w:r>
          </w:p>
        </w:tc>
        <w:tc>
          <w:tcPr>
            <w:tcW w:w="159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21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61</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159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211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467" w:hRule="atLeast"/>
          <w:jc w:val="center"/>
        </w:trPr>
        <w:tc>
          <w:tcPr>
            <w:tcW w:w="285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合</w:t>
            </w:r>
            <w:r>
              <w:rPr>
                <w:rFonts w:hint="eastAsia" w:ascii="宋体" w:hAnsi="宋体" w:eastAsia="宋体" w:cs="宋体"/>
                <w:sz w:val="28"/>
                <w:szCs w:val="28"/>
              </w:rPr>
              <w:t> </w:t>
            </w:r>
            <w:r>
              <w:rPr>
                <w:rFonts w:hint="eastAsia" w:ascii="仿宋" w:hAnsi="仿宋" w:eastAsia="仿宋" w:cs="仿宋"/>
                <w:sz w:val="28"/>
                <w:szCs w:val="28"/>
              </w:rPr>
              <w:t>计</w:t>
            </w:r>
          </w:p>
        </w:tc>
        <w:tc>
          <w:tcPr>
            <w:tcW w:w="1748"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496.2</w:t>
            </w:r>
          </w:p>
        </w:tc>
        <w:tc>
          <w:tcPr>
            <w:tcW w:w="1597"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297</w:t>
            </w:r>
          </w:p>
        </w:tc>
        <w:tc>
          <w:tcPr>
            <w:tcW w:w="2113"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793.2</w:t>
            </w:r>
          </w:p>
        </w:tc>
      </w:tr>
    </w:tbl>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（二）年度收支决算情况</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1.年度收入决算</w:t>
      </w:r>
    </w:p>
    <w:tbl>
      <w:tblPr>
        <w:tblStyle w:val="6"/>
        <w:tblW w:w="0" w:type="auto"/>
        <w:jc w:val="center"/>
        <w:tblLayout w:type="autofit"/>
        <w:tblCellMar>
          <w:top w:w="0" w:type="dxa"/>
          <w:left w:w="0" w:type="dxa"/>
          <w:bottom w:w="0" w:type="dxa"/>
          <w:right w:w="0" w:type="dxa"/>
        </w:tblCellMar>
      </w:tblPr>
      <w:tblGrid>
        <w:gridCol w:w="2063"/>
        <w:gridCol w:w="1693"/>
        <w:gridCol w:w="1820"/>
        <w:gridCol w:w="2264"/>
      </w:tblGrid>
      <w:tr>
        <w:tblPrEx>
          <w:tblCellMar>
            <w:top w:w="0" w:type="dxa"/>
            <w:left w:w="0" w:type="dxa"/>
            <w:bottom w:w="0" w:type="dxa"/>
            <w:right w:w="0" w:type="dxa"/>
          </w:tblCellMar>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差额</w:t>
            </w:r>
          </w:p>
        </w:tc>
      </w:tr>
      <w:tr>
        <w:tblPrEx>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财政拨款收入</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793.2</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896.8</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103.6</w:t>
            </w:r>
          </w:p>
        </w:tc>
      </w:tr>
      <w:tr>
        <w:tblPrEx>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bl>
    <w:p>
      <w:pPr>
        <w:pStyle w:val="5"/>
        <w:widowControl/>
        <w:spacing w:beforeAutospacing="0" w:afterAutospacing="0" w:line="600" w:lineRule="atLeast"/>
        <w:ind w:left="150" w:firstLine="560"/>
        <w:jc w:val="both"/>
        <w:rPr>
          <w:rFonts w:ascii="Times New Roman" w:hAnsi="Times New Roman"/>
          <w:sz w:val="21"/>
          <w:szCs w:val="21"/>
        </w:rPr>
      </w:pPr>
      <w:r>
        <w:rPr>
          <w:rFonts w:hint="eastAsia" w:ascii="仿宋" w:hAnsi="仿宋" w:eastAsia="仿宋" w:cs="仿宋"/>
          <w:color w:val="1E1E1E"/>
          <w:sz w:val="28"/>
          <w:szCs w:val="28"/>
        </w:rPr>
        <w:t>2019年，粮食局整体合并到我局，人员工资福利支出大幅增加。</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2.年度预算支出决算及结余</w:t>
      </w:r>
    </w:p>
    <w:tbl>
      <w:tblPr>
        <w:tblStyle w:val="6"/>
        <w:tblW w:w="7995" w:type="dxa"/>
        <w:tblInd w:w="0" w:type="dxa"/>
        <w:tblLayout w:type="autofit"/>
        <w:tblCellMar>
          <w:top w:w="0" w:type="dxa"/>
          <w:left w:w="0" w:type="dxa"/>
          <w:bottom w:w="0" w:type="dxa"/>
          <w:right w:w="0" w:type="dxa"/>
        </w:tblCellMar>
      </w:tblPr>
      <w:tblGrid>
        <w:gridCol w:w="1749"/>
        <w:gridCol w:w="2280"/>
        <w:gridCol w:w="1994"/>
        <w:gridCol w:w="1972"/>
      </w:tblGrid>
      <w:tr>
        <w:tblPrEx>
          <w:tblCellMar>
            <w:top w:w="0" w:type="dxa"/>
            <w:left w:w="0" w:type="dxa"/>
            <w:bottom w:w="0" w:type="dxa"/>
            <w:right w:w="0" w:type="dxa"/>
          </w:tblCellMar>
        </w:tblPrEx>
        <w:trPr>
          <w:trHeight w:val="511" w:hRule="atLeast"/>
        </w:trPr>
        <w:tc>
          <w:tcPr>
            <w:tcW w:w="1750"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预算支出类别</w:t>
            </w:r>
          </w:p>
        </w:tc>
        <w:tc>
          <w:tcPr>
            <w:tcW w:w="2282"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预算金额</w:t>
            </w:r>
          </w:p>
        </w:tc>
        <w:tc>
          <w:tcPr>
            <w:tcW w:w="1996"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决算金额</w:t>
            </w:r>
          </w:p>
        </w:tc>
        <w:tc>
          <w:tcPr>
            <w:tcW w:w="1974"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增减金额</w:t>
            </w:r>
          </w:p>
        </w:tc>
      </w:tr>
      <w:tr>
        <w:tblPrEx>
          <w:tblCellMar>
            <w:top w:w="0" w:type="dxa"/>
            <w:left w:w="0" w:type="dxa"/>
            <w:bottom w:w="0" w:type="dxa"/>
            <w:right w:w="0" w:type="dxa"/>
          </w:tblCellMar>
        </w:tblPrEx>
        <w:trPr>
          <w:trHeight w:val="517" w:hRule="atLeast"/>
        </w:trPr>
        <w:tc>
          <w:tcPr>
            <w:tcW w:w="1750"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基本支出</w:t>
            </w:r>
          </w:p>
        </w:tc>
        <w:tc>
          <w:tcPr>
            <w:tcW w:w="228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496.2</w:t>
            </w:r>
          </w:p>
        </w:tc>
        <w:tc>
          <w:tcPr>
            <w:tcW w:w="199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852.4</w:t>
            </w:r>
          </w:p>
        </w:tc>
        <w:tc>
          <w:tcPr>
            <w:tcW w:w="197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356.2</w:t>
            </w:r>
          </w:p>
        </w:tc>
      </w:tr>
      <w:tr>
        <w:tblPrEx>
          <w:tblCellMar>
            <w:top w:w="0" w:type="dxa"/>
            <w:left w:w="0" w:type="dxa"/>
            <w:bottom w:w="0" w:type="dxa"/>
            <w:right w:w="0" w:type="dxa"/>
          </w:tblCellMar>
        </w:tblPrEx>
        <w:trPr>
          <w:trHeight w:val="517" w:hRule="atLeast"/>
        </w:trPr>
        <w:tc>
          <w:tcPr>
            <w:tcW w:w="1750"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项目支出</w:t>
            </w:r>
          </w:p>
        </w:tc>
        <w:tc>
          <w:tcPr>
            <w:tcW w:w="228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297</w:t>
            </w:r>
          </w:p>
        </w:tc>
        <w:tc>
          <w:tcPr>
            <w:tcW w:w="199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96.5</w:t>
            </w:r>
          </w:p>
        </w:tc>
        <w:tc>
          <w:tcPr>
            <w:tcW w:w="197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-200.5</w:t>
            </w:r>
          </w:p>
        </w:tc>
      </w:tr>
      <w:tr>
        <w:tblPrEx>
          <w:tblCellMar>
            <w:top w:w="0" w:type="dxa"/>
            <w:left w:w="0" w:type="dxa"/>
            <w:bottom w:w="0" w:type="dxa"/>
            <w:right w:w="0" w:type="dxa"/>
          </w:tblCellMar>
        </w:tblPrEx>
        <w:trPr>
          <w:trHeight w:val="517" w:hRule="atLeast"/>
        </w:trPr>
        <w:tc>
          <w:tcPr>
            <w:tcW w:w="1750"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228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199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197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96" w:hRule="atLeast"/>
        </w:trPr>
        <w:tc>
          <w:tcPr>
            <w:tcW w:w="1750"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小计</w:t>
            </w:r>
          </w:p>
        </w:tc>
        <w:tc>
          <w:tcPr>
            <w:tcW w:w="2282"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793.2</w:t>
            </w:r>
          </w:p>
        </w:tc>
        <w:tc>
          <w:tcPr>
            <w:tcW w:w="1996"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bottom"/>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948.9</w:t>
            </w:r>
          </w:p>
        </w:tc>
        <w:tc>
          <w:tcPr>
            <w:tcW w:w="197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bottom"/>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155.7</w:t>
            </w:r>
          </w:p>
        </w:tc>
      </w:tr>
    </w:tbl>
    <w:p>
      <w:pPr>
        <w:pStyle w:val="5"/>
        <w:widowControl/>
        <w:spacing w:beforeAutospacing="0" w:afterAutospacing="0" w:line="500" w:lineRule="atLeast"/>
        <w:ind w:left="150" w:firstLine="560"/>
        <w:jc w:val="both"/>
        <w:rPr>
          <w:rFonts w:ascii="Times New Roman" w:hAnsi="Times New Roman"/>
          <w:sz w:val="21"/>
          <w:szCs w:val="21"/>
        </w:rPr>
      </w:pPr>
      <w:r>
        <w:rPr>
          <w:rFonts w:hint="eastAsia" w:ascii="仿宋" w:hAnsi="仿宋" w:eastAsia="仿宋" w:cs="仿宋"/>
          <w:color w:val="1E1E1E"/>
          <w:sz w:val="28"/>
          <w:szCs w:val="28"/>
        </w:rPr>
        <w:t>由于记账时基本支出和项目支出无法明确分类记账，所以将部分项目支出列入了基本支出开支，导致基本支出增加，项目支出减少。</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三、部门整体支出管理及使用情况</w:t>
      </w:r>
    </w:p>
    <w:p>
      <w:pPr>
        <w:pStyle w:val="3"/>
        <w:widowControl/>
        <w:spacing w:beforeAutospacing="0" w:afterAutospacing="0" w:line="600" w:lineRule="atLeast"/>
        <w:jc w:val="both"/>
        <w:rPr>
          <w:rFonts w:hint="default"/>
        </w:rPr>
      </w:pPr>
      <w:r>
        <w:rPr>
          <w:rFonts w:ascii="仿宋" w:hAnsi="仿宋" w:eastAsia="仿宋" w:cs="仿宋"/>
          <w:b w:val="0"/>
          <w:color w:val="1E1E1E"/>
          <w:sz w:val="28"/>
          <w:szCs w:val="28"/>
        </w:rPr>
        <w:t>（一）基本支出管理</w:t>
      </w:r>
    </w:p>
    <w:p>
      <w:pPr>
        <w:pStyle w:val="4"/>
        <w:widowControl/>
        <w:spacing w:beforeAutospacing="0" w:afterAutospacing="0" w:line="600" w:lineRule="atLeast"/>
        <w:rPr>
          <w:rFonts w:hint="default"/>
        </w:rPr>
      </w:pPr>
      <w:r>
        <w:rPr>
          <w:rFonts w:ascii="仿宋" w:hAnsi="仿宋" w:eastAsia="仿宋" w:cs="仿宋"/>
          <w:b w:val="0"/>
          <w:color w:val="1E1E1E"/>
          <w:sz w:val="28"/>
          <w:szCs w:val="28"/>
        </w:rPr>
        <w:t>1、基本支出总额使用和管理</w:t>
      </w:r>
    </w:p>
    <w:tbl>
      <w:tblPr>
        <w:tblStyle w:val="6"/>
        <w:tblW w:w="0" w:type="auto"/>
        <w:jc w:val="center"/>
        <w:tblLayout w:type="autofit"/>
        <w:tblCellMar>
          <w:top w:w="0" w:type="dxa"/>
          <w:left w:w="0" w:type="dxa"/>
          <w:bottom w:w="0" w:type="dxa"/>
          <w:right w:w="0" w:type="dxa"/>
        </w:tblCellMar>
      </w:tblPr>
      <w:tblGrid>
        <w:gridCol w:w="2392"/>
        <w:gridCol w:w="1666"/>
        <w:gridCol w:w="1604"/>
        <w:gridCol w:w="2438"/>
      </w:tblGrid>
      <w:tr>
        <w:tblPrEx>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宋体" w:hAnsi="宋体" w:eastAsia="宋体" w:cs="宋体"/>
                <w:sz w:val="28"/>
                <w:szCs w:val="28"/>
              </w:rPr>
              <w:t> </w:t>
            </w:r>
            <w:r>
              <w:rPr>
                <w:rFonts w:hint="eastAsia" w:ascii="仿宋" w:hAnsi="仿宋" w:eastAsia="仿宋" w:cs="仿宋"/>
                <w:sz w:val="28"/>
                <w:szCs w:val="28"/>
              </w:rPr>
              <w:t>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节约/超支金额</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工资福利支出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357</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587.7</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230.7</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商品和服务支出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78.2</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207.5</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129.3</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对个人和家庭的补助</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61</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55.2</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-5.8</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资本性支出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0</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2</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2</w:t>
            </w:r>
          </w:p>
        </w:tc>
      </w:tr>
      <w:tr>
        <w:tblPrEx>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496.2</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852.4</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356.2</w:t>
            </w:r>
          </w:p>
        </w:tc>
      </w:tr>
    </w:tbl>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2、基本支出中各费用明细支出管理</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（1）工资福利支出</w:t>
      </w:r>
    </w:p>
    <w:tbl>
      <w:tblPr>
        <w:tblStyle w:val="6"/>
        <w:tblW w:w="0" w:type="auto"/>
        <w:jc w:val="center"/>
        <w:tblLayout w:type="autofit"/>
        <w:tblCellMar>
          <w:top w:w="0" w:type="dxa"/>
          <w:left w:w="0" w:type="dxa"/>
          <w:bottom w:w="0" w:type="dxa"/>
          <w:right w:w="0" w:type="dxa"/>
        </w:tblCellMar>
      </w:tblPr>
      <w:tblGrid>
        <w:gridCol w:w="2431"/>
        <w:gridCol w:w="1310"/>
        <w:gridCol w:w="1189"/>
        <w:gridCol w:w="1418"/>
        <w:gridCol w:w="1432"/>
      </w:tblGrid>
      <w:tr>
        <w:tblPrEx>
          <w:tblCellMar>
            <w:top w:w="0" w:type="dxa"/>
            <w:left w:w="0" w:type="dxa"/>
            <w:bottom w:w="0" w:type="dxa"/>
            <w:right w:w="0" w:type="dxa"/>
          </w:tblCellMar>
        </w:tblPrEx>
        <w:trPr>
          <w:trHeight w:val="888" w:hRule="atLeast"/>
          <w:jc w:val="center"/>
        </w:trPr>
        <w:tc>
          <w:tcPr>
            <w:tcW w:w="243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费用项目</w:t>
            </w:r>
          </w:p>
        </w:tc>
        <w:tc>
          <w:tcPr>
            <w:tcW w:w="1310"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预算金额</w:t>
            </w:r>
          </w:p>
        </w:tc>
        <w:tc>
          <w:tcPr>
            <w:tcW w:w="1189"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决算金额</w:t>
            </w:r>
          </w:p>
        </w:tc>
        <w:tc>
          <w:tcPr>
            <w:tcW w:w="1418"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节约/超支金额</w:t>
            </w:r>
          </w:p>
        </w:tc>
        <w:tc>
          <w:tcPr>
            <w:tcW w:w="1432"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节约/超支率</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基本工资</w:t>
            </w:r>
          </w:p>
        </w:tc>
        <w:tc>
          <w:tcPr>
            <w:tcW w:w="131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145</w:t>
            </w:r>
          </w:p>
        </w:tc>
        <w:tc>
          <w:tcPr>
            <w:tcW w:w="11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208</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63</w:t>
            </w:r>
          </w:p>
        </w:tc>
        <w:tc>
          <w:tcPr>
            <w:tcW w:w="143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43.45%</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津贴补贴</w:t>
            </w:r>
          </w:p>
        </w:tc>
        <w:tc>
          <w:tcPr>
            <w:tcW w:w="131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96.7</w:t>
            </w:r>
          </w:p>
        </w:tc>
        <w:tc>
          <w:tcPr>
            <w:tcW w:w="11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155.8</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59.1</w:t>
            </w:r>
          </w:p>
        </w:tc>
        <w:tc>
          <w:tcPr>
            <w:tcW w:w="143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61.12%</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奖金</w:t>
            </w:r>
          </w:p>
        </w:tc>
        <w:tc>
          <w:tcPr>
            <w:tcW w:w="131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12.1</w:t>
            </w:r>
          </w:p>
        </w:tc>
        <w:tc>
          <w:tcPr>
            <w:tcW w:w="11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147.2</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135.1</w:t>
            </w:r>
          </w:p>
        </w:tc>
        <w:tc>
          <w:tcPr>
            <w:tcW w:w="143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1116.53%</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伙食补助费</w:t>
            </w:r>
          </w:p>
        </w:tc>
        <w:tc>
          <w:tcPr>
            <w:tcW w:w="131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1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22.1</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22.1</w:t>
            </w:r>
          </w:p>
        </w:tc>
        <w:tc>
          <w:tcPr>
            <w:tcW w:w="143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绩效工资</w:t>
            </w:r>
          </w:p>
        </w:tc>
        <w:tc>
          <w:tcPr>
            <w:tcW w:w="131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1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143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机关事业单位基本养老保险缴费</w:t>
            </w:r>
          </w:p>
        </w:tc>
        <w:tc>
          <w:tcPr>
            <w:tcW w:w="131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48.4</w:t>
            </w:r>
          </w:p>
        </w:tc>
        <w:tc>
          <w:tcPr>
            <w:tcW w:w="11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24.6</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-23.8</w:t>
            </w:r>
          </w:p>
        </w:tc>
        <w:tc>
          <w:tcPr>
            <w:tcW w:w="143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-49.17%</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职业年金缴费</w:t>
            </w:r>
          </w:p>
        </w:tc>
        <w:tc>
          <w:tcPr>
            <w:tcW w:w="131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1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143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职工基本医疗保险缴费</w:t>
            </w:r>
          </w:p>
        </w:tc>
        <w:tc>
          <w:tcPr>
            <w:tcW w:w="131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1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143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公务员医疗补助缴费</w:t>
            </w:r>
          </w:p>
        </w:tc>
        <w:tc>
          <w:tcPr>
            <w:tcW w:w="131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19.7</w:t>
            </w:r>
          </w:p>
        </w:tc>
        <w:tc>
          <w:tcPr>
            <w:tcW w:w="11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17.5</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-2.2</w:t>
            </w:r>
          </w:p>
        </w:tc>
        <w:tc>
          <w:tcPr>
            <w:tcW w:w="143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-11.17%</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其他社会保障缴费</w:t>
            </w:r>
          </w:p>
        </w:tc>
        <w:tc>
          <w:tcPr>
            <w:tcW w:w="131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4.6</w:t>
            </w:r>
          </w:p>
        </w:tc>
        <w:tc>
          <w:tcPr>
            <w:tcW w:w="11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4</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-0.6</w:t>
            </w:r>
          </w:p>
        </w:tc>
        <w:tc>
          <w:tcPr>
            <w:tcW w:w="143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-13.04%</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住房公积金</w:t>
            </w:r>
          </w:p>
        </w:tc>
        <w:tc>
          <w:tcPr>
            <w:tcW w:w="131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30.5</w:t>
            </w:r>
          </w:p>
        </w:tc>
        <w:tc>
          <w:tcPr>
            <w:tcW w:w="11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-30.5</w:t>
            </w:r>
          </w:p>
        </w:tc>
        <w:tc>
          <w:tcPr>
            <w:tcW w:w="143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-100.00%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医疗费</w:t>
            </w:r>
          </w:p>
        </w:tc>
        <w:tc>
          <w:tcPr>
            <w:tcW w:w="131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1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143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其他工资福利支出</w:t>
            </w:r>
          </w:p>
        </w:tc>
        <w:tc>
          <w:tcPr>
            <w:tcW w:w="131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1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8.5</w:t>
            </w:r>
          </w:p>
        </w:tc>
        <w:tc>
          <w:tcPr>
            <w:tcW w:w="141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8.5</w:t>
            </w:r>
          </w:p>
        </w:tc>
        <w:tc>
          <w:tcPr>
            <w:tcW w:w="143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411" w:hRule="atLeast"/>
          <w:jc w:val="center"/>
        </w:trPr>
        <w:tc>
          <w:tcPr>
            <w:tcW w:w="2431"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合计</w:t>
            </w:r>
          </w:p>
        </w:tc>
        <w:tc>
          <w:tcPr>
            <w:tcW w:w="131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357</w:t>
            </w:r>
          </w:p>
        </w:tc>
        <w:tc>
          <w:tcPr>
            <w:tcW w:w="1189"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587.7</w:t>
            </w:r>
          </w:p>
        </w:tc>
        <w:tc>
          <w:tcPr>
            <w:tcW w:w="141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230.7</w:t>
            </w:r>
          </w:p>
        </w:tc>
        <w:tc>
          <w:tcPr>
            <w:tcW w:w="1432"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64.62%</w:t>
            </w:r>
          </w:p>
        </w:tc>
      </w:tr>
    </w:tbl>
    <w:p>
      <w:pPr>
        <w:pStyle w:val="5"/>
        <w:widowControl/>
        <w:spacing w:beforeAutospacing="0" w:afterAutospacing="0" w:line="600" w:lineRule="atLeast"/>
        <w:ind w:left="150" w:firstLine="560"/>
        <w:jc w:val="both"/>
        <w:rPr>
          <w:rFonts w:ascii="Times New Roman" w:hAnsi="Times New Roman"/>
          <w:sz w:val="21"/>
          <w:szCs w:val="21"/>
        </w:rPr>
      </w:pPr>
      <w:r>
        <w:rPr>
          <w:rFonts w:hint="eastAsia" w:ascii="仿宋" w:hAnsi="仿宋" w:eastAsia="仿宋" w:cs="仿宋"/>
          <w:color w:val="1E1E1E"/>
          <w:sz w:val="28"/>
          <w:szCs w:val="28"/>
        </w:rPr>
        <w:t>2019年，粮食局整体合并到我局，人员工资福利支出大幅增加。</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（2）商品和服务支出</w:t>
      </w:r>
    </w:p>
    <w:tbl>
      <w:tblPr>
        <w:tblStyle w:val="6"/>
        <w:tblW w:w="0" w:type="auto"/>
        <w:jc w:val="center"/>
        <w:tblLayout w:type="autofit"/>
        <w:tblCellMar>
          <w:top w:w="0" w:type="dxa"/>
          <w:left w:w="0" w:type="dxa"/>
          <w:bottom w:w="0" w:type="dxa"/>
          <w:right w:w="0" w:type="dxa"/>
        </w:tblCellMar>
      </w:tblPr>
      <w:tblGrid>
        <w:gridCol w:w="2133"/>
        <w:gridCol w:w="1398"/>
        <w:gridCol w:w="1537"/>
        <w:gridCol w:w="1429"/>
        <w:gridCol w:w="1643"/>
      </w:tblGrid>
      <w:tr>
        <w:tblPrEx>
          <w:tblCellMar>
            <w:top w:w="0" w:type="dxa"/>
            <w:left w:w="0" w:type="dxa"/>
            <w:bottom w:w="0" w:type="dxa"/>
            <w:right w:w="0" w:type="dxa"/>
          </w:tblCellMar>
        </w:tblPrEx>
        <w:trPr>
          <w:trHeight w:val="343" w:hRule="atLeast"/>
          <w:tblHeader/>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项目</w:t>
            </w:r>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决算金额</w:t>
            </w:r>
          </w:p>
        </w:tc>
        <w:tc>
          <w:tcPr>
            <w:tcW w:w="142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增减率</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办公费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17.8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12.8</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256.00%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印刷费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0.6</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-1.4</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-70.00%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咨询费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26.1</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26.1</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手续费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水电费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3.8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2.8</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280.00%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邮电费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7.8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7.8</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取暖费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物业管理费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差旅费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18</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25.7</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7.7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42.78%</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因公出国（境）费用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维修（护）费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租赁费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会议费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0.2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培训费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0.5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公务接待费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6</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-3.5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-58.33%</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专用材料费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被装购置费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专用燃料费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劳务费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5.8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3.8</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190.00%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委托业务费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工会经费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5.2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21.4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16.2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311.54%</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福利费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15.4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15.4</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公务用车运行维护费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其他交通费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25.8</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1.9</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-23.9</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-92.64%</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税金及附加费用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其他商品和服务支出</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13.2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78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64.8</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490.91%</w:t>
            </w:r>
          </w:p>
        </w:tc>
      </w:tr>
      <w:tr>
        <w:tblPrEx>
          <w:tblCellMar>
            <w:top w:w="0" w:type="dxa"/>
            <w:left w:w="0" w:type="dxa"/>
            <w:bottom w:w="0" w:type="dxa"/>
            <w:right w:w="0" w:type="dxa"/>
          </w:tblCellMar>
        </w:tblPrEx>
        <w:trPr>
          <w:trHeight w:val="359" w:hRule="atLeast"/>
          <w:jc w:val="center"/>
        </w:trPr>
        <w:tc>
          <w:tcPr>
            <w:tcW w:w="2133"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合计</w:t>
            </w:r>
          </w:p>
        </w:tc>
        <w:tc>
          <w:tcPr>
            <w:tcW w:w="1398"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78.2</w:t>
            </w:r>
          </w:p>
        </w:tc>
        <w:tc>
          <w:tcPr>
            <w:tcW w:w="1537"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207.5</w:t>
            </w:r>
          </w:p>
        </w:tc>
        <w:tc>
          <w:tcPr>
            <w:tcW w:w="1429"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129.3</w:t>
            </w:r>
          </w:p>
        </w:tc>
        <w:tc>
          <w:tcPr>
            <w:tcW w:w="1643"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5"/>
              <w:widowControl/>
              <w:spacing w:beforeAutospacing="0" w:afterAutospacing="0" w:line="600" w:lineRule="atLeast"/>
              <w:ind w:left="420" w:hanging="420"/>
              <w:jc w:val="center"/>
              <w:textAlignment w:val="center"/>
              <w:rPr>
                <w:rFonts w:ascii="Times New Roman" w:hAnsi="Times New Roman"/>
                <w:sz w:val="21"/>
                <w:szCs w:val="21"/>
              </w:rPr>
            </w:pPr>
            <w:r>
              <w:rPr>
                <w:rFonts w:hint="eastAsia" w:ascii="仿宋" w:hAnsi="仿宋" w:eastAsia="仿宋" w:cs="仿宋"/>
                <w:sz w:val="28"/>
                <w:szCs w:val="28"/>
              </w:rPr>
              <w:t>165.35%</w:t>
            </w:r>
          </w:p>
        </w:tc>
      </w:tr>
    </w:tbl>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2019年，粮食局整体合并到我局，各项支出大幅增加。</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（3）对个人和家庭的补助</w:t>
      </w:r>
    </w:p>
    <w:tbl>
      <w:tblPr>
        <w:tblStyle w:val="6"/>
        <w:tblW w:w="8370" w:type="dxa"/>
        <w:tblInd w:w="0" w:type="dxa"/>
        <w:tblLayout w:type="autofit"/>
        <w:tblCellMar>
          <w:top w:w="0" w:type="dxa"/>
          <w:left w:w="0" w:type="dxa"/>
          <w:bottom w:w="0" w:type="dxa"/>
          <w:right w:w="0" w:type="dxa"/>
        </w:tblCellMar>
      </w:tblPr>
      <w:tblGrid>
        <w:gridCol w:w="1817"/>
        <w:gridCol w:w="1539"/>
        <w:gridCol w:w="1561"/>
        <w:gridCol w:w="1876"/>
        <w:gridCol w:w="1577"/>
      </w:tblGrid>
      <w:tr>
        <w:tblPrEx>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支出项目</w:t>
            </w:r>
          </w:p>
        </w:tc>
        <w:tc>
          <w:tcPr>
            <w:tcW w:w="153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预算金额</w:t>
            </w:r>
          </w:p>
        </w:tc>
        <w:tc>
          <w:tcPr>
            <w:tcW w:w="1560"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决算金额</w:t>
            </w:r>
          </w:p>
        </w:tc>
        <w:tc>
          <w:tcPr>
            <w:tcW w:w="18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结余/超支金额</w:t>
            </w:r>
          </w:p>
        </w:tc>
        <w:tc>
          <w:tcPr>
            <w:tcW w:w="15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结余/超支率</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离休费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退休费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58.3</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4</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-54.3</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-93.14%</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退职（役）费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抚恤金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生活补助</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2.7</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42.8</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40.1</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1485.19%</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救济费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医疗费补助</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619"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助学金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奖励金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1.4</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1.4</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个人农业生产补贴</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其他对个人和家庭的补助支出</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7</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7</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bottom"/>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451" w:hRule="atLeast"/>
        </w:trPr>
        <w:tc>
          <w:tcPr>
            <w:tcW w:w="1816"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合计</w:t>
            </w:r>
          </w:p>
        </w:tc>
        <w:tc>
          <w:tcPr>
            <w:tcW w:w="153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61</w:t>
            </w:r>
          </w:p>
        </w:tc>
        <w:tc>
          <w:tcPr>
            <w:tcW w:w="156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55.2</w:t>
            </w:r>
          </w:p>
        </w:tc>
        <w:tc>
          <w:tcPr>
            <w:tcW w:w="18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bottom"/>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-5.8</w:t>
            </w:r>
          </w:p>
        </w:tc>
        <w:tc>
          <w:tcPr>
            <w:tcW w:w="15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bottom"/>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-9.51%</w:t>
            </w:r>
          </w:p>
        </w:tc>
      </w:tr>
    </w:tbl>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（二）“三公经费”支出使用和管理</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1、“三公经费”预算执行</w:t>
      </w:r>
    </w:p>
    <w:tbl>
      <w:tblPr>
        <w:tblStyle w:val="6"/>
        <w:tblW w:w="0" w:type="auto"/>
        <w:jc w:val="center"/>
        <w:tblLayout w:type="autofit"/>
        <w:tblCellMar>
          <w:top w:w="0" w:type="dxa"/>
          <w:left w:w="0" w:type="dxa"/>
          <w:bottom w:w="0" w:type="dxa"/>
          <w:right w:w="0" w:type="dxa"/>
        </w:tblCellMar>
      </w:tblPr>
      <w:tblGrid>
        <w:gridCol w:w="1604"/>
        <w:gridCol w:w="1054"/>
        <w:gridCol w:w="1113"/>
        <w:gridCol w:w="996"/>
        <w:gridCol w:w="1156"/>
        <w:gridCol w:w="1140"/>
        <w:gridCol w:w="1273"/>
      </w:tblGrid>
      <w:tr>
        <w:tblPrEx>
          <w:tblCellMar>
            <w:top w:w="0" w:type="dxa"/>
            <w:left w:w="0" w:type="dxa"/>
            <w:bottom w:w="0" w:type="dxa"/>
            <w:right w:w="0" w:type="dxa"/>
          </w:tblCellMar>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费用项目</w:t>
            </w:r>
          </w:p>
        </w:tc>
        <w:tc>
          <w:tcPr>
            <w:tcW w:w="2190"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本年预算</w:t>
            </w:r>
          </w:p>
        </w:tc>
        <w:tc>
          <w:tcPr>
            <w:tcW w:w="2175"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本年决算</w:t>
            </w:r>
          </w:p>
        </w:tc>
        <w:tc>
          <w:tcPr>
            <w:tcW w:w="2439"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结余/超支</w:t>
            </w:r>
          </w:p>
        </w:tc>
      </w:tr>
      <w:tr>
        <w:tblPrEx>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rPr>
                <w:rFonts w:ascii="宋体"/>
                <w:sz w:val="24"/>
              </w:rPr>
            </w:pP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基本支出</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项目支出</w:t>
            </w:r>
          </w:p>
        </w:tc>
        <w:tc>
          <w:tcPr>
            <w:tcW w:w="100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基本支出</w:t>
            </w:r>
          </w:p>
        </w:tc>
        <w:tc>
          <w:tcPr>
            <w:tcW w:w="1170"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项目支出</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基本支出</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项目支出</w:t>
            </w: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公务接待费</w:t>
            </w:r>
          </w:p>
        </w:tc>
        <w:tc>
          <w:tcPr>
            <w:tcW w:w="1065"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6</w:t>
            </w:r>
          </w:p>
        </w:tc>
        <w:tc>
          <w:tcPr>
            <w:tcW w:w="1125"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005"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2.5</w:t>
            </w:r>
          </w:p>
        </w:tc>
        <w:tc>
          <w:tcPr>
            <w:tcW w:w="1170"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149"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结余3.5</w:t>
            </w:r>
          </w:p>
        </w:tc>
        <w:tc>
          <w:tcPr>
            <w:tcW w:w="1290"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r>
      <w:tr>
        <w:tblPrEx>
          <w:tblCellMar>
            <w:top w:w="0" w:type="dxa"/>
            <w:left w:w="0" w:type="dxa"/>
            <w:bottom w:w="0" w:type="dxa"/>
            <w:right w:w="0" w:type="dxa"/>
          </w:tblCellMar>
        </w:tblPrEx>
        <w:trPr>
          <w:trHeight w:val="400"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公车运行维护费</w:t>
            </w:r>
          </w:p>
        </w:tc>
        <w:tc>
          <w:tcPr>
            <w:tcW w:w="1065"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125"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005"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170"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149"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290"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r>
      <w:tr>
        <w:tblPrEx>
          <w:tblCellMar>
            <w:top w:w="0" w:type="dxa"/>
            <w:left w:w="0" w:type="dxa"/>
            <w:bottom w:w="0" w:type="dxa"/>
            <w:right w:w="0" w:type="dxa"/>
          </w:tblCellMar>
        </w:tblPrEx>
        <w:trPr>
          <w:trHeight w:val="430"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公务车购置费</w:t>
            </w:r>
          </w:p>
        </w:tc>
        <w:tc>
          <w:tcPr>
            <w:tcW w:w="1065"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125"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005"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170"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149"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290"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因公出国费用</w:t>
            </w:r>
          </w:p>
        </w:tc>
        <w:tc>
          <w:tcPr>
            <w:tcW w:w="1065"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125"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005"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170"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149"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290"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065"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170"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99" w:hRule="atLeast"/>
          <w:jc w:val="center"/>
        </w:trPr>
        <w:tc>
          <w:tcPr>
            <w:tcW w:w="1632"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合计</w:t>
            </w:r>
          </w:p>
        </w:tc>
        <w:tc>
          <w:tcPr>
            <w:tcW w:w="1065" w:type="dxa"/>
            <w:tcBorders>
              <w:top w:val="nil"/>
              <w:left w:val="nil"/>
              <w:bottom w:val="single" w:color="000000" w:sz="8" w:space="0"/>
              <w:right w:val="single" w:color="000000" w:sz="8" w:space="0"/>
            </w:tcBorders>
            <w:shd w:val="clear" w:color="auto" w:fill="D9D9D9"/>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6</w:t>
            </w:r>
          </w:p>
        </w:tc>
        <w:tc>
          <w:tcPr>
            <w:tcW w:w="1125" w:type="dxa"/>
            <w:tcBorders>
              <w:top w:val="nil"/>
              <w:left w:val="nil"/>
              <w:bottom w:val="single" w:color="000000" w:sz="8" w:space="0"/>
              <w:right w:val="single" w:color="000000" w:sz="8" w:space="0"/>
            </w:tcBorders>
            <w:shd w:val="clear" w:color="auto" w:fill="D9D9D9"/>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005" w:type="dxa"/>
            <w:tcBorders>
              <w:top w:val="nil"/>
              <w:left w:val="nil"/>
              <w:bottom w:val="single" w:color="000000" w:sz="8" w:space="0"/>
              <w:right w:val="single" w:color="000000" w:sz="8" w:space="0"/>
            </w:tcBorders>
            <w:shd w:val="clear" w:color="auto" w:fill="D9D9D9"/>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2.5</w:t>
            </w:r>
          </w:p>
        </w:tc>
        <w:tc>
          <w:tcPr>
            <w:tcW w:w="1170" w:type="dxa"/>
            <w:tcBorders>
              <w:top w:val="nil"/>
              <w:left w:val="nil"/>
              <w:bottom w:val="single" w:color="000000" w:sz="8" w:space="0"/>
              <w:right w:val="single" w:color="000000" w:sz="8" w:space="0"/>
            </w:tcBorders>
            <w:shd w:val="clear" w:color="auto" w:fill="D9D9D9"/>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149" w:type="dxa"/>
            <w:tcBorders>
              <w:top w:val="nil"/>
              <w:left w:val="nil"/>
              <w:bottom w:val="single" w:color="000000" w:sz="8" w:space="0"/>
              <w:right w:val="single" w:color="000000" w:sz="8" w:space="0"/>
            </w:tcBorders>
            <w:shd w:val="clear" w:color="auto" w:fill="D9D9D9"/>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结余3.5</w:t>
            </w:r>
          </w:p>
        </w:tc>
        <w:tc>
          <w:tcPr>
            <w:tcW w:w="1290" w:type="dxa"/>
            <w:tcBorders>
              <w:top w:val="nil"/>
              <w:left w:val="nil"/>
              <w:bottom w:val="single" w:color="000000" w:sz="8" w:space="0"/>
              <w:right w:val="single" w:color="000000" w:sz="8" w:space="0"/>
            </w:tcBorders>
            <w:shd w:val="clear" w:color="auto" w:fill="D9D9D9"/>
            <w:tcMar>
              <w:left w:w="15" w:type="dxa"/>
              <w:right w:w="15" w:type="dxa"/>
            </w:tcMa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r>
    </w:tbl>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2、“三公经费”与上年度比较</w:t>
      </w:r>
    </w:p>
    <w:tbl>
      <w:tblPr>
        <w:tblStyle w:val="6"/>
        <w:tblW w:w="0" w:type="auto"/>
        <w:jc w:val="center"/>
        <w:tblLayout w:type="autofit"/>
        <w:tblCellMar>
          <w:top w:w="0" w:type="dxa"/>
          <w:left w:w="0" w:type="dxa"/>
          <w:bottom w:w="0" w:type="dxa"/>
          <w:right w:w="0" w:type="dxa"/>
        </w:tblCellMar>
      </w:tblPr>
      <w:tblGrid>
        <w:gridCol w:w="1795"/>
        <w:gridCol w:w="1179"/>
        <w:gridCol w:w="1255"/>
        <w:gridCol w:w="1249"/>
        <w:gridCol w:w="2477"/>
      </w:tblGrid>
      <w:tr>
        <w:tblPrEx>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费用项目</w:t>
            </w:r>
          </w:p>
        </w:tc>
        <w:tc>
          <w:tcPr>
            <w:tcW w:w="117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本年金额</w:t>
            </w:r>
          </w:p>
        </w:tc>
        <w:tc>
          <w:tcPr>
            <w:tcW w:w="1255"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上年金额</w:t>
            </w:r>
          </w:p>
        </w:tc>
        <w:tc>
          <w:tcPr>
            <w:tcW w:w="124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增减额</w:t>
            </w:r>
          </w:p>
        </w:tc>
        <w:tc>
          <w:tcPr>
            <w:tcW w:w="2477"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增减率%</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公务接待费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2.5</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11.6</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-9.1</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-78.45%</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公车运行维护费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3.4</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-3.4</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-100%</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公务车辆购置费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因公出国(境)费用</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369" w:hRule="atLeast"/>
          <w:jc w:val="center"/>
        </w:trPr>
        <w:tc>
          <w:tcPr>
            <w:tcW w:w="1795"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合计</w:t>
            </w:r>
          </w:p>
        </w:tc>
        <w:tc>
          <w:tcPr>
            <w:tcW w:w="1179"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2.5</w:t>
            </w:r>
          </w:p>
        </w:tc>
        <w:tc>
          <w:tcPr>
            <w:tcW w:w="125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15</w:t>
            </w:r>
          </w:p>
        </w:tc>
        <w:tc>
          <w:tcPr>
            <w:tcW w:w="1249"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-12.5</w:t>
            </w:r>
          </w:p>
        </w:tc>
        <w:tc>
          <w:tcPr>
            <w:tcW w:w="2477"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-83.33%</w:t>
            </w:r>
          </w:p>
        </w:tc>
      </w:tr>
    </w:tbl>
    <w:p>
      <w:pPr>
        <w:pStyle w:val="5"/>
        <w:widowControl/>
        <w:spacing w:beforeAutospacing="0" w:afterAutospacing="0" w:line="600" w:lineRule="atLeast"/>
        <w:ind w:left="150" w:firstLine="560"/>
        <w:jc w:val="both"/>
        <w:rPr>
          <w:rFonts w:ascii="Times New Roman" w:hAnsi="Times New Roman"/>
          <w:sz w:val="21"/>
          <w:szCs w:val="21"/>
        </w:rPr>
      </w:pPr>
      <w:r>
        <w:rPr>
          <w:rFonts w:hint="eastAsia" w:ascii="仿宋" w:hAnsi="仿宋" w:eastAsia="仿宋" w:cs="仿宋"/>
          <w:color w:val="1E1E1E"/>
          <w:sz w:val="28"/>
          <w:szCs w:val="28"/>
        </w:rPr>
        <w:t>厉行节约在我局得到贯彻落实。</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（三）专项支出管理</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1、专项资金基本情况及绩效目标</w:t>
      </w:r>
    </w:p>
    <w:p>
      <w:pPr>
        <w:pStyle w:val="5"/>
        <w:widowControl/>
        <w:spacing w:beforeAutospacing="0" w:afterAutospacing="0" w:line="600" w:lineRule="atLeast"/>
        <w:ind w:left="150" w:firstLine="560"/>
        <w:jc w:val="both"/>
        <w:rPr>
          <w:rFonts w:ascii="Times New Roman" w:hAnsi="Times New Roman"/>
          <w:sz w:val="21"/>
          <w:szCs w:val="21"/>
        </w:rPr>
      </w:pPr>
      <w:r>
        <w:rPr>
          <w:rFonts w:hint="eastAsia" w:ascii="仿宋" w:hAnsi="仿宋" w:eastAsia="仿宋" w:cs="仿宋"/>
          <w:color w:val="1E1E1E"/>
          <w:sz w:val="28"/>
          <w:szCs w:val="28"/>
        </w:rPr>
        <w:t>我局共15个项目，共297万元资金。资金用于各个项目的开展、实施。</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2、专项资金预算执行</w:t>
      </w:r>
    </w:p>
    <w:tbl>
      <w:tblPr>
        <w:tblStyle w:val="6"/>
        <w:tblW w:w="8955" w:type="dxa"/>
        <w:tblInd w:w="0" w:type="dxa"/>
        <w:tblLayout w:type="autofit"/>
        <w:tblCellMar>
          <w:top w:w="0" w:type="dxa"/>
          <w:left w:w="0" w:type="dxa"/>
          <w:bottom w:w="0" w:type="dxa"/>
          <w:right w:w="0" w:type="dxa"/>
        </w:tblCellMar>
      </w:tblPr>
      <w:tblGrid>
        <w:gridCol w:w="2446"/>
        <w:gridCol w:w="730"/>
        <w:gridCol w:w="730"/>
        <w:gridCol w:w="730"/>
        <w:gridCol w:w="730"/>
        <w:gridCol w:w="730"/>
        <w:gridCol w:w="1034"/>
        <w:gridCol w:w="1825"/>
      </w:tblGrid>
      <w:tr>
        <w:tblPrEx>
          <w:tblCellMar>
            <w:top w:w="0" w:type="dxa"/>
            <w:left w:w="0" w:type="dxa"/>
            <w:bottom w:w="0" w:type="dxa"/>
            <w:right w:w="0" w:type="dxa"/>
          </w:tblCellMar>
        </w:tblPrEx>
        <w:trPr>
          <w:trHeight w:val="415" w:hRule="atLeast"/>
        </w:trPr>
        <w:tc>
          <w:tcPr>
            <w:tcW w:w="2704" w:type="dxa"/>
            <w:vMerge w:val="restart"/>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专项子目名称</w:t>
            </w:r>
          </w:p>
        </w:tc>
        <w:tc>
          <w:tcPr>
            <w:tcW w:w="2421" w:type="dxa"/>
            <w:gridSpan w:val="4"/>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本年预算可用指标</w:t>
            </w:r>
          </w:p>
        </w:tc>
        <w:tc>
          <w:tcPr>
            <w:tcW w:w="725" w:type="dxa"/>
            <w:vMerge w:val="restart"/>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本年实际支出</w:t>
            </w:r>
          </w:p>
        </w:tc>
        <w:tc>
          <w:tcPr>
            <w:tcW w:w="1089" w:type="dxa"/>
            <w:vMerge w:val="restart"/>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本年结余</w:t>
            </w:r>
          </w:p>
        </w:tc>
        <w:tc>
          <w:tcPr>
            <w:tcW w:w="2021" w:type="dxa"/>
            <w:vMerge w:val="restart"/>
            <w:tcBorders>
              <w:top w:val="single" w:color="000000" w:sz="12"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投入进度</w:t>
            </w:r>
          </w:p>
        </w:tc>
      </w:tr>
      <w:tr>
        <w:tblPrEx>
          <w:tblCellMar>
            <w:top w:w="0" w:type="dxa"/>
            <w:left w:w="0" w:type="dxa"/>
            <w:bottom w:w="0" w:type="dxa"/>
            <w:right w:w="0" w:type="dxa"/>
          </w:tblCellMar>
        </w:tblPrEx>
        <w:trPr>
          <w:trHeight w:val="756" w:hRule="atLeast"/>
        </w:trPr>
        <w:tc>
          <w:tcPr>
            <w:tcW w:w="2704" w:type="dxa"/>
            <w:vMerge w:val="continue"/>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ascii="宋体"/>
                <w:sz w:val="24"/>
              </w:rPr>
            </w:pPr>
          </w:p>
        </w:tc>
        <w:tc>
          <w:tcPr>
            <w:tcW w:w="57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上年</w:t>
            </w:r>
          </w:p>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结余</w:t>
            </w:r>
          </w:p>
        </w:tc>
        <w:tc>
          <w:tcPr>
            <w:tcW w:w="6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年初</w:t>
            </w:r>
          </w:p>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预算</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本年</w:t>
            </w:r>
          </w:p>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追加</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合计</w:t>
            </w:r>
          </w:p>
        </w:tc>
        <w:tc>
          <w:tcPr>
            <w:tcW w:w="725" w:type="dxa"/>
            <w:vMerge w:val="continue"/>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ascii="宋体"/>
                <w:sz w:val="24"/>
              </w:rPr>
            </w:pPr>
          </w:p>
        </w:tc>
        <w:tc>
          <w:tcPr>
            <w:tcW w:w="1089" w:type="dxa"/>
            <w:vMerge w:val="continue"/>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ascii="宋体"/>
                <w:sz w:val="24"/>
              </w:rPr>
            </w:pPr>
          </w:p>
        </w:tc>
        <w:tc>
          <w:tcPr>
            <w:tcW w:w="2021" w:type="dxa"/>
            <w:vMerge w:val="continue"/>
            <w:tcBorders>
              <w:top w:val="single" w:color="000000" w:sz="12"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rPr>
                <w:rFonts w:ascii="宋体"/>
                <w:sz w:val="24"/>
              </w:rPr>
            </w:pP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500" w:lineRule="atLeast"/>
              <w:ind w:left="420" w:hanging="420"/>
              <w:jc w:val="center"/>
              <w:rPr>
                <w:rFonts w:ascii="Times New Roman" w:hAnsi="Times New Roman"/>
                <w:sz w:val="21"/>
                <w:szCs w:val="21"/>
              </w:rPr>
            </w:pPr>
            <w:r>
              <w:rPr>
                <w:rFonts w:hint="eastAsia" w:ascii="仿宋" w:hAnsi="仿宋" w:eastAsia="仿宋" w:cs="仿宋"/>
                <w:sz w:val="28"/>
                <w:szCs w:val="28"/>
              </w:rPr>
              <w:t>石漠化治理</w:t>
            </w:r>
          </w:p>
        </w:tc>
        <w:tc>
          <w:tcPr>
            <w:tcW w:w="57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25</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25</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25</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20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100%</w:t>
            </w: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500" w:lineRule="atLeast"/>
              <w:ind w:left="420" w:hanging="420"/>
              <w:jc w:val="center"/>
              <w:rPr>
                <w:rFonts w:ascii="Times New Roman" w:hAnsi="Times New Roman"/>
                <w:sz w:val="21"/>
                <w:szCs w:val="21"/>
              </w:rPr>
            </w:pPr>
            <w:r>
              <w:rPr>
                <w:rFonts w:hint="eastAsia" w:ascii="仿宋" w:hAnsi="仿宋" w:eastAsia="仿宋" w:cs="仿宋"/>
                <w:sz w:val="28"/>
                <w:szCs w:val="28"/>
              </w:rPr>
              <w:t>价格管理</w:t>
            </w:r>
          </w:p>
        </w:tc>
        <w:tc>
          <w:tcPr>
            <w:tcW w:w="57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5</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5</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5</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20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100%</w:t>
            </w: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500" w:lineRule="atLeast"/>
              <w:ind w:left="420" w:hanging="420"/>
              <w:jc w:val="center"/>
              <w:rPr>
                <w:rFonts w:ascii="Times New Roman" w:hAnsi="Times New Roman"/>
                <w:sz w:val="21"/>
                <w:szCs w:val="21"/>
              </w:rPr>
            </w:pPr>
            <w:r>
              <w:rPr>
                <w:rFonts w:hint="eastAsia" w:ascii="仿宋" w:hAnsi="仿宋" w:eastAsia="仿宋" w:cs="仿宋"/>
                <w:sz w:val="28"/>
                <w:szCs w:val="28"/>
              </w:rPr>
              <w:t>衡邵干旱走廊年度实施规划编制</w:t>
            </w:r>
          </w:p>
        </w:tc>
        <w:tc>
          <w:tcPr>
            <w:tcW w:w="57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18</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18</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18</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20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100%</w:t>
            </w: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500" w:lineRule="atLeast"/>
              <w:ind w:left="420" w:hanging="420"/>
              <w:jc w:val="center"/>
              <w:rPr>
                <w:rFonts w:ascii="Times New Roman" w:hAnsi="Times New Roman"/>
                <w:sz w:val="21"/>
                <w:szCs w:val="21"/>
              </w:rPr>
            </w:pPr>
            <w:r>
              <w:rPr>
                <w:rFonts w:hint="eastAsia" w:ascii="仿宋" w:hAnsi="仿宋" w:eastAsia="仿宋" w:cs="仿宋"/>
                <w:sz w:val="28"/>
                <w:szCs w:val="28"/>
              </w:rPr>
              <w:t>重点项目考核</w:t>
            </w:r>
          </w:p>
        </w:tc>
        <w:tc>
          <w:tcPr>
            <w:tcW w:w="57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19</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19</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19</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20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100%</w:t>
            </w: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500" w:lineRule="atLeast"/>
              <w:ind w:left="420" w:hanging="420"/>
              <w:jc w:val="center"/>
              <w:rPr>
                <w:rFonts w:hint="eastAsia" w:ascii="Times New Roman" w:hAnsi="Times New Roman" w:eastAsia="仿宋"/>
                <w:sz w:val="21"/>
                <w:szCs w:val="21"/>
                <w:lang w:eastAsia="zh-CN"/>
              </w:rPr>
            </w:pPr>
            <w:r>
              <w:rPr>
                <w:rFonts w:hint="eastAsia" w:ascii="仿宋" w:hAnsi="仿宋" w:eastAsia="仿宋" w:cs="仿宋"/>
                <w:sz w:val="28"/>
                <w:szCs w:val="28"/>
              </w:rPr>
              <w:t>武陵山片区区域发展和</w:t>
            </w:r>
            <w:r>
              <w:rPr>
                <w:rFonts w:hint="eastAsia" w:ascii="仿宋" w:hAnsi="仿宋" w:eastAsia="仿宋" w:cs="仿宋"/>
                <w:sz w:val="28"/>
                <w:szCs w:val="28"/>
                <w:lang w:eastAsia="zh-CN"/>
              </w:rPr>
              <w:t>脱贫攻坚</w:t>
            </w:r>
          </w:p>
        </w:tc>
        <w:tc>
          <w:tcPr>
            <w:tcW w:w="57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20</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20</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20</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20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100%</w:t>
            </w: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500" w:lineRule="atLeast"/>
              <w:ind w:left="420" w:hanging="420"/>
              <w:jc w:val="center"/>
              <w:rPr>
                <w:rFonts w:ascii="Times New Roman" w:hAnsi="Times New Roman"/>
                <w:sz w:val="21"/>
                <w:szCs w:val="21"/>
              </w:rPr>
            </w:pPr>
            <w:r>
              <w:rPr>
                <w:rFonts w:hint="eastAsia" w:ascii="仿宋" w:hAnsi="仿宋" w:eastAsia="仿宋" w:cs="仿宋"/>
                <w:sz w:val="28"/>
                <w:szCs w:val="28"/>
              </w:rPr>
              <w:t>社会信用体系建设</w:t>
            </w:r>
          </w:p>
        </w:tc>
        <w:tc>
          <w:tcPr>
            <w:tcW w:w="57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20</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20</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20</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20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100%</w:t>
            </w: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500" w:lineRule="atLeast"/>
              <w:ind w:left="420" w:hanging="420"/>
              <w:jc w:val="center"/>
              <w:rPr>
                <w:rFonts w:ascii="Times New Roman" w:hAnsi="Times New Roman"/>
                <w:sz w:val="21"/>
                <w:szCs w:val="21"/>
              </w:rPr>
            </w:pPr>
            <w:r>
              <w:rPr>
                <w:rFonts w:hint="eastAsia" w:ascii="仿宋" w:hAnsi="仿宋" w:eastAsia="仿宋" w:cs="仿宋"/>
                <w:sz w:val="28"/>
                <w:szCs w:val="28"/>
              </w:rPr>
              <w:t>退耕还林成果巩固专项（含设计费）</w:t>
            </w:r>
          </w:p>
        </w:tc>
        <w:tc>
          <w:tcPr>
            <w:tcW w:w="57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30</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30</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30</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20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100%</w:t>
            </w: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500" w:lineRule="atLeast"/>
              <w:ind w:left="420" w:hanging="420"/>
              <w:jc w:val="center"/>
              <w:rPr>
                <w:rFonts w:ascii="Times New Roman" w:hAnsi="Times New Roman"/>
                <w:sz w:val="21"/>
                <w:szCs w:val="21"/>
              </w:rPr>
            </w:pPr>
            <w:r>
              <w:rPr>
                <w:rFonts w:hint="eastAsia" w:ascii="仿宋" w:hAnsi="仿宋" w:eastAsia="仿宋" w:cs="仿宋"/>
                <w:sz w:val="28"/>
                <w:szCs w:val="28"/>
              </w:rPr>
              <w:t>千亿斤粮食工程和节能减排经费</w:t>
            </w:r>
          </w:p>
        </w:tc>
        <w:tc>
          <w:tcPr>
            <w:tcW w:w="57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10</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10</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10</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20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100%</w:t>
            </w: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500" w:lineRule="atLeast"/>
              <w:ind w:left="420" w:hanging="420"/>
              <w:jc w:val="center"/>
              <w:rPr>
                <w:rFonts w:ascii="Times New Roman" w:hAnsi="Times New Roman"/>
                <w:sz w:val="21"/>
                <w:szCs w:val="21"/>
              </w:rPr>
            </w:pPr>
            <w:r>
              <w:rPr>
                <w:rFonts w:hint="eastAsia" w:ascii="仿宋" w:hAnsi="仿宋" w:eastAsia="仿宋" w:cs="仿宋"/>
                <w:sz w:val="28"/>
                <w:szCs w:val="28"/>
              </w:rPr>
              <w:t>固定资产投资评审</w:t>
            </w:r>
          </w:p>
        </w:tc>
        <w:tc>
          <w:tcPr>
            <w:tcW w:w="57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10</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10</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10</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20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100%</w:t>
            </w: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500" w:lineRule="atLeast"/>
              <w:ind w:left="420" w:hanging="420"/>
              <w:jc w:val="center"/>
              <w:rPr>
                <w:rFonts w:ascii="Times New Roman" w:hAnsi="Times New Roman"/>
                <w:sz w:val="21"/>
                <w:szCs w:val="21"/>
              </w:rPr>
            </w:pPr>
            <w:r>
              <w:rPr>
                <w:rFonts w:hint="eastAsia" w:ascii="仿宋" w:hAnsi="仿宋" w:eastAsia="仿宋" w:cs="仿宋"/>
                <w:sz w:val="28"/>
                <w:szCs w:val="28"/>
              </w:rPr>
              <w:t>项目前期费</w:t>
            </w:r>
          </w:p>
        </w:tc>
        <w:tc>
          <w:tcPr>
            <w:tcW w:w="57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35</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35</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35</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20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100%</w:t>
            </w: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500" w:lineRule="atLeast"/>
              <w:ind w:left="420" w:hanging="420"/>
              <w:jc w:val="center"/>
              <w:rPr>
                <w:rFonts w:ascii="Times New Roman" w:hAnsi="Times New Roman"/>
                <w:sz w:val="21"/>
                <w:szCs w:val="21"/>
              </w:rPr>
            </w:pPr>
            <w:r>
              <w:rPr>
                <w:rFonts w:hint="eastAsia" w:ascii="仿宋" w:hAnsi="仿宋" w:eastAsia="仿宋" w:cs="仿宋"/>
                <w:sz w:val="28"/>
                <w:szCs w:val="28"/>
              </w:rPr>
              <w:t>专项经费</w:t>
            </w:r>
          </w:p>
        </w:tc>
        <w:tc>
          <w:tcPr>
            <w:tcW w:w="57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59</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59</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59</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20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100%</w:t>
            </w: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500" w:lineRule="atLeast"/>
              <w:ind w:left="420" w:hanging="420"/>
              <w:jc w:val="center"/>
              <w:rPr>
                <w:rFonts w:ascii="Times New Roman" w:hAnsi="Times New Roman"/>
                <w:sz w:val="21"/>
                <w:szCs w:val="21"/>
              </w:rPr>
            </w:pPr>
            <w:r>
              <w:rPr>
                <w:rFonts w:hint="eastAsia" w:ascii="仿宋" w:hAnsi="仿宋" w:eastAsia="仿宋" w:cs="仿宋"/>
                <w:sz w:val="28"/>
                <w:szCs w:val="28"/>
              </w:rPr>
              <w:t>市场监测</w:t>
            </w:r>
          </w:p>
        </w:tc>
        <w:tc>
          <w:tcPr>
            <w:tcW w:w="57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8</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8</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8</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20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100%</w:t>
            </w: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500" w:lineRule="atLeast"/>
              <w:ind w:left="420" w:hanging="420"/>
              <w:jc w:val="center"/>
              <w:rPr>
                <w:rFonts w:ascii="Times New Roman" w:hAnsi="Times New Roman"/>
                <w:sz w:val="21"/>
                <w:szCs w:val="21"/>
              </w:rPr>
            </w:pPr>
            <w:r>
              <w:rPr>
                <w:rFonts w:hint="eastAsia" w:ascii="仿宋" w:hAnsi="仿宋" w:eastAsia="仿宋" w:cs="仿宋"/>
                <w:sz w:val="28"/>
                <w:szCs w:val="28"/>
              </w:rPr>
              <w:t>涉案物价格鉴定</w:t>
            </w:r>
          </w:p>
        </w:tc>
        <w:tc>
          <w:tcPr>
            <w:tcW w:w="57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8</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8</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8</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20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100%</w:t>
            </w: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500" w:lineRule="atLeast"/>
              <w:ind w:left="315" w:hanging="315"/>
              <w:jc w:val="center"/>
              <w:rPr>
                <w:rFonts w:ascii="Times New Roman" w:hAnsi="Times New Roman"/>
                <w:sz w:val="21"/>
                <w:szCs w:val="21"/>
              </w:rPr>
            </w:pPr>
            <w:r>
              <w:rPr>
                <w:rFonts w:hint="eastAsia" w:ascii="仿宋" w:hAnsi="仿宋" w:eastAsia="仿宋" w:cs="仿宋"/>
                <w:sz w:val="28"/>
                <w:szCs w:val="28"/>
              </w:rPr>
              <w:t>价格行政执法</w:t>
            </w:r>
          </w:p>
        </w:tc>
        <w:tc>
          <w:tcPr>
            <w:tcW w:w="57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25</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25</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25</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20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100%</w:t>
            </w: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500" w:lineRule="atLeast"/>
              <w:ind w:left="315" w:hanging="315"/>
              <w:jc w:val="center"/>
              <w:rPr>
                <w:rFonts w:ascii="Times New Roman" w:hAnsi="Times New Roman"/>
                <w:sz w:val="21"/>
                <w:szCs w:val="21"/>
              </w:rPr>
            </w:pPr>
            <w:r>
              <w:rPr>
                <w:rFonts w:hint="eastAsia" w:ascii="仿宋" w:hAnsi="仿宋" w:eastAsia="仿宋" w:cs="仿宋"/>
                <w:sz w:val="28"/>
                <w:szCs w:val="28"/>
              </w:rPr>
              <w:t>行政事业性收费管理</w:t>
            </w:r>
          </w:p>
        </w:tc>
        <w:tc>
          <w:tcPr>
            <w:tcW w:w="57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0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5</w:t>
            </w:r>
          </w:p>
        </w:tc>
        <w:tc>
          <w:tcPr>
            <w:tcW w:w="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5</w:t>
            </w:r>
          </w:p>
        </w:tc>
        <w:tc>
          <w:tcPr>
            <w:tcW w:w="7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5</w:t>
            </w:r>
          </w:p>
        </w:tc>
        <w:tc>
          <w:tcPr>
            <w:tcW w:w="108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2021" w:type="dxa"/>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100%</w:t>
            </w: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12"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合</w:t>
            </w:r>
            <w:r>
              <w:rPr>
                <w:rFonts w:hint="eastAsia" w:ascii="宋体" w:hAnsi="宋体" w:eastAsia="宋体" w:cs="宋体"/>
                <w:sz w:val="28"/>
                <w:szCs w:val="28"/>
              </w:rPr>
              <w:t> </w:t>
            </w:r>
            <w:r>
              <w:rPr>
                <w:rFonts w:hint="eastAsia" w:ascii="仿宋" w:hAnsi="仿宋" w:eastAsia="仿宋" w:cs="仿宋"/>
                <w:sz w:val="28"/>
                <w:szCs w:val="28"/>
              </w:rPr>
              <w:t>计</w:t>
            </w:r>
          </w:p>
        </w:tc>
        <w:tc>
          <w:tcPr>
            <w:tcW w:w="572"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04"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297</w:t>
            </w:r>
          </w:p>
        </w:tc>
        <w:tc>
          <w:tcPr>
            <w:tcW w:w="575"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670"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297</w:t>
            </w:r>
          </w:p>
        </w:tc>
        <w:tc>
          <w:tcPr>
            <w:tcW w:w="725"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297</w:t>
            </w:r>
          </w:p>
        </w:tc>
        <w:tc>
          <w:tcPr>
            <w:tcW w:w="1089" w:type="dxa"/>
            <w:tcBorders>
              <w:top w:val="nil"/>
              <w:left w:val="nil"/>
              <w:bottom w:val="single" w:color="000000" w:sz="12" w:space="0"/>
              <w:right w:val="single" w:color="000000" w:sz="8"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0</w:t>
            </w:r>
          </w:p>
        </w:tc>
        <w:tc>
          <w:tcPr>
            <w:tcW w:w="2021" w:type="dxa"/>
            <w:tcBorders>
              <w:top w:val="nil"/>
              <w:left w:val="nil"/>
              <w:bottom w:val="single" w:color="000000" w:sz="12" w:space="0"/>
              <w:right w:val="single" w:color="000000" w:sz="12" w:space="0"/>
            </w:tcBorders>
            <w:shd w:val="clear" w:color="auto" w:fill="auto"/>
            <w:tcMar>
              <w:top w:w="15" w:type="dxa"/>
              <w:left w:w="15" w:type="dxa"/>
              <w:bottom w:w="15" w:type="dxa"/>
              <w:right w:w="15"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sz w:val="28"/>
                <w:szCs w:val="28"/>
              </w:rPr>
              <w:t> </w:t>
            </w:r>
          </w:p>
        </w:tc>
      </w:tr>
    </w:tbl>
    <w:p>
      <w:pPr>
        <w:pStyle w:val="2"/>
        <w:widowControl/>
        <w:spacing w:beforeAutospacing="0" w:afterAutospacing="0" w:line="600" w:lineRule="atLeast"/>
        <w:jc w:val="both"/>
        <w:rPr>
          <w:rFonts w:hint="default"/>
          <w:color w:val="F29F05"/>
          <w:sz w:val="225"/>
          <w:szCs w:val="225"/>
        </w:rPr>
      </w:pPr>
      <w:r>
        <w:rPr>
          <w:rFonts w:ascii="仿宋" w:hAnsi="仿宋" w:eastAsia="仿宋" w:cs="仿宋"/>
          <w:b w:val="0"/>
          <w:color w:val="F29F05"/>
          <w:sz w:val="28"/>
          <w:szCs w:val="28"/>
        </w:rPr>
        <w:t>四、部门整体支出绩效评价</w:t>
      </w:r>
    </w:p>
    <w:p>
      <w:pPr>
        <w:pStyle w:val="5"/>
        <w:widowControl/>
        <w:shd w:val="clear" w:color="auto" w:fill="FFFFFF"/>
        <w:spacing w:beforeAutospacing="0" w:afterAutospacing="0" w:line="560" w:lineRule="atLeast"/>
        <w:ind w:firstLine="560"/>
        <w:jc w:val="both"/>
        <w:rPr>
          <w:rFonts w:ascii="Times New Roman" w:hAnsi="Times New Roman"/>
        </w:rPr>
      </w:pPr>
      <w:r>
        <w:rPr>
          <w:rFonts w:hint="eastAsia" w:ascii="仿宋" w:hAnsi="仿宋" w:eastAsia="仿宋" w:cs="仿宋"/>
          <w:color w:val="1E1E1E"/>
          <w:sz w:val="28"/>
          <w:szCs w:val="28"/>
          <w:shd w:val="clear" w:color="auto" w:fill="FFFFFF"/>
        </w:rPr>
        <w:t>一是在宏观经济管理上取得新成效。认真贯彻</w:t>
      </w:r>
      <w:r>
        <w:rPr>
          <w:rFonts w:hint="eastAsia" w:ascii="仿宋" w:hAnsi="仿宋" w:eastAsia="仿宋" w:cs="仿宋"/>
          <w:color w:val="1E1E1E"/>
          <w:sz w:val="28"/>
          <w:szCs w:val="28"/>
          <w:shd w:val="clear" w:color="auto" w:fill="FFFFFF"/>
          <w:lang w:eastAsia="zh-CN"/>
        </w:rPr>
        <w:t>县委、县政府</w:t>
      </w:r>
      <w:r>
        <w:rPr>
          <w:rFonts w:hint="eastAsia" w:ascii="仿宋" w:hAnsi="仿宋" w:eastAsia="仿宋" w:cs="仿宋"/>
          <w:color w:val="1E1E1E"/>
          <w:sz w:val="28"/>
          <w:szCs w:val="28"/>
          <w:shd w:val="clear" w:color="auto" w:fill="FFFFFF"/>
        </w:rPr>
        <w:t>决策部署，围绕“六大本子”战略目标，加强宏观综合、整体谋划，认真开展月度分析、季度研判和半年调研，密切跟踪经济运行走势，先后向</w:t>
      </w:r>
      <w:r>
        <w:rPr>
          <w:rFonts w:hint="eastAsia" w:ascii="仿宋" w:hAnsi="仿宋" w:eastAsia="仿宋" w:cs="仿宋"/>
          <w:color w:val="1E1E1E"/>
          <w:sz w:val="28"/>
          <w:szCs w:val="28"/>
          <w:shd w:val="clear" w:color="auto" w:fill="FFFFFF"/>
          <w:lang w:eastAsia="zh-CN"/>
        </w:rPr>
        <w:t>县委、县政府</w:t>
      </w:r>
      <w:r>
        <w:rPr>
          <w:rFonts w:hint="eastAsia" w:ascii="仿宋" w:hAnsi="仿宋" w:eastAsia="仿宋" w:cs="仿宋"/>
          <w:color w:val="1E1E1E"/>
          <w:sz w:val="28"/>
          <w:szCs w:val="28"/>
          <w:shd w:val="clear" w:color="auto" w:fill="FFFFFF"/>
        </w:rPr>
        <w:t>提交综合性或规范性报告10多篇，为县委、县政府科学决策提供了有效参考。加强与上级部门的对接，与同级部门的协调与协作，全面落实与推动我县社会经济建设的平稳发展，预计全年生产总值可以实现6%的增长，固定资产投资年底可完成110亿元，同比增长10%，社会消费的零售总额同比增长12.1%，居民收入增长10%。</w:t>
      </w:r>
    </w:p>
    <w:p>
      <w:pPr>
        <w:pStyle w:val="5"/>
        <w:widowControl/>
        <w:spacing w:beforeAutospacing="0" w:afterAutospacing="0" w:line="560" w:lineRule="atLeast"/>
        <w:ind w:left="150" w:firstLine="560"/>
        <w:jc w:val="both"/>
        <w:rPr>
          <w:rFonts w:ascii="Times New Roman" w:hAnsi="Times New Roman"/>
          <w:sz w:val="21"/>
          <w:szCs w:val="21"/>
        </w:rPr>
      </w:pPr>
      <w:r>
        <w:rPr>
          <w:rFonts w:hint="eastAsia" w:ascii="仿宋" w:hAnsi="仿宋" w:eastAsia="仿宋" w:cs="仿宋"/>
          <w:color w:val="1E1E1E"/>
          <w:sz w:val="28"/>
          <w:szCs w:val="28"/>
        </w:rPr>
        <w:t>二是在推进项目建设上取得新成效。一是建立县级重大前期项目库。按照“县每万人1个”的标准，新储备项目数量85个；市政府下达我县的市级重点前期项目9个均按计划完成前期工作，其中新邵智能制造基地项目、胶管制品生产项目已动土开工。二是争资工作超额完成年度任务。1-9月份到位资金12.12亿元，为年度目标任务的75.75%，预计全年可到位16.2亿元。三是重点工程建设快速推进。今年我县独立实施的省市重点建设项目22个，1-9月份完成投资24.39亿元，为年度投资计划32.43亿元的75.21%，在全市排第四位，中东部排第二名，预计全年可完成投资33亿元，投资完成率可超过全市平均水平；省市重点建设项目中的15个产业项目，1-9月完成投资17.81亿元，为年度投资计划25.15亿元的70.82%，预计全年可完成25.5亿元。</w:t>
      </w:r>
    </w:p>
    <w:p>
      <w:pPr>
        <w:pStyle w:val="5"/>
        <w:widowControl/>
        <w:spacing w:beforeAutospacing="0" w:afterAutospacing="0" w:line="600" w:lineRule="atLeast"/>
        <w:ind w:left="150" w:firstLine="560"/>
        <w:jc w:val="both"/>
        <w:rPr>
          <w:rFonts w:ascii="Times New Roman" w:hAnsi="Times New Roman"/>
          <w:sz w:val="21"/>
          <w:szCs w:val="21"/>
        </w:rPr>
      </w:pPr>
      <w:r>
        <w:rPr>
          <w:rFonts w:hint="eastAsia" w:ascii="仿宋" w:hAnsi="仿宋" w:eastAsia="仿宋" w:cs="仿宋"/>
          <w:color w:val="1E1E1E"/>
          <w:sz w:val="28"/>
          <w:szCs w:val="28"/>
        </w:rPr>
        <w:t>三是在</w:t>
      </w:r>
      <w:r>
        <w:rPr>
          <w:rFonts w:hint="eastAsia" w:ascii="仿宋" w:hAnsi="仿宋" w:eastAsia="仿宋" w:cs="仿宋"/>
          <w:color w:val="1E1E1E"/>
          <w:sz w:val="28"/>
          <w:szCs w:val="28"/>
          <w:lang w:eastAsia="zh-CN"/>
        </w:rPr>
        <w:t>脱贫攻坚</w:t>
      </w:r>
      <w:r>
        <w:rPr>
          <w:rFonts w:hint="eastAsia" w:ascii="仿宋" w:hAnsi="仿宋" w:eastAsia="仿宋" w:cs="仿宋"/>
          <w:color w:val="1E1E1E"/>
          <w:sz w:val="28"/>
          <w:szCs w:val="28"/>
        </w:rPr>
        <w:t>工作上取得新成效。为进一步贯彻落实党中央和上级政府的部署要求，巩固易地扶贫搬迁成果，研究下发了《2019年易地扶贫搬迁工作要点》，就重点工作作出了部署和安排。我县代表湖南省已摘帽县市之一迎接了国家第三方评估检查，工作成绩得到上级首肯，顺利通过了实地考核。完成了对全县“十三五”易地扶贫搬迁对象和搬迁项目工程质量安全集中排查工作，并由发改、住建、国土、扶贫等部门及各乡镇有关人员组成排查工作组，对全县易地扶贫搬迁项目进行了地质灾害风险隐患排查。我县易地搬迁工作得到了上级领导的认可,其中潭府水口集中安置点被国家发改委报告为最美安置点案例，党组成员、副局长段仁国被评为最美扶贫干部案例。</w:t>
      </w:r>
    </w:p>
    <w:p>
      <w:pPr>
        <w:pStyle w:val="5"/>
        <w:widowControl/>
        <w:shd w:val="clear" w:color="auto" w:fill="FFFFFF"/>
        <w:spacing w:beforeAutospacing="0" w:afterAutospacing="0" w:line="520" w:lineRule="atLeast"/>
        <w:ind w:firstLine="560"/>
        <w:jc w:val="both"/>
        <w:rPr>
          <w:rFonts w:ascii="Times New Roman" w:hAnsi="Times New Roman"/>
        </w:rPr>
      </w:pPr>
      <w:r>
        <w:rPr>
          <w:rFonts w:hint="eastAsia" w:ascii="仿宋" w:hAnsi="仿宋" w:eastAsia="仿宋" w:cs="仿宋"/>
          <w:color w:val="1E1E1E"/>
          <w:sz w:val="28"/>
          <w:szCs w:val="28"/>
          <w:shd w:val="clear" w:color="auto" w:fill="FFFFFF"/>
        </w:rPr>
        <w:t>四是在推动产业发展上取得新成效。一是以发改牵头，成立了县承接湘西南产业转移示范办公室，建立了工作专班，工作步入正轨。二是农业产业化进程不断加快，顺利完成了2016年——2018年岩溶地区石漠化综合治理工程的中期评估工作，完成水稻种植面积71.7万亩、玉米16.5万亩、油菜12.5万亩，创建小籽花生示范区150亩、苦荞示范区270亩、小米示范区50亩等一批特色粮油示范基地。三是第三产业快速发展，“一核一环三线四区多点”全域旅游格局加快构建。白水洞景区基础设施、棠溪河东岸景观改造、白龙洞提质改造、白水洞旅游特色小镇等建设项目快速推进。</w:t>
      </w:r>
    </w:p>
    <w:p>
      <w:pPr>
        <w:pStyle w:val="5"/>
        <w:widowControl/>
        <w:spacing w:beforeAutospacing="0" w:afterAutospacing="0" w:line="560" w:lineRule="atLeast"/>
        <w:ind w:left="148" w:firstLine="560"/>
        <w:jc w:val="both"/>
        <w:rPr>
          <w:rFonts w:ascii="Times New Roman" w:hAnsi="Times New Roman"/>
          <w:sz w:val="21"/>
          <w:szCs w:val="21"/>
        </w:rPr>
      </w:pPr>
      <w:r>
        <w:rPr>
          <w:rFonts w:hint="eastAsia" w:ascii="仿宋" w:hAnsi="仿宋" w:eastAsia="仿宋" w:cs="仿宋"/>
          <w:color w:val="1E1E1E"/>
          <w:sz w:val="28"/>
          <w:szCs w:val="28"/>
        </w:rPr>
        <w:t>五是价费工作成效显著。加强商品及服务价格管理工作。重新发布了《关于继续执行白云岩景区原门票价格和停车场收费标准的通知》（新发改费[2019] 36号）和《关于重新发布新邵县县城生活垃圾处理费征收方式和征收标准的通知》（新发改费[2019] 49号）文件。五月份取消环卫所征收的卫生费（原批复新发改费字[2006]24号文件作废），转为全部由财政买单，全年切实减轻企业及个人负担100万元。出台相应的文件进一步规范教育收费管理工作；加强价格监测工作，设立价格监测网点20多个，对100余种商品价格进行监测上报。</w:t>
      </w:r>
    </w:p>
    <w:p>
      <w:pPr>
        <w:pStyle w:val="5"/>
        <w:widowControl/>
        <w:spacing w:beforeAutospacing="0" w:afterAutospacing="0" w:line="560" w:lineRule="atLeast"/>
        <w:ind w:left="148" w:firstLine="560"/>
        <w:jc w:val="both"/>
        <w:rPr>
          <w:rFonts w:ascii="Times New Roman" w:hAnsi="Times New Roman"/>
          <w:sz w:val="21"/>
          <w:szCs w:val="21"/>
        </w:rPr>
      </w:pPr>
      <w:r>
        <w:rPr>
          <w:rFonts w:hint="eastAsia" w:ascii="仿宋" w:hAnsi="仿宋" w:eastAsia="仿宋" w:cs="仿宋"/>
          <w:color w:val="1E1E1E"/>
          <w:sz w:val="28"/>
          <w:szCs w:val="28"/>
        </w:rPr>
        <w:t>六是粮食工作有序开展。一是加强宏观调控，保障粮食安全。认真做好地方储备粮的轮换管理。二是加强行业发展指导。全力推进“智慧粮仓”建设工作，2018年项目建设工作全面铺开，我县共得到省里投资共计200余万元，分为局机关、大成公司雷家坳粮库、军粮供应站新田铺、陈家坊粮库，共计四个项目建设点，今年三月已经初验完成。切实深化安全专项整治工作，共计开展检查活动11次，对我县30余家大小粮油加工销售企业，进行了全面检查，在检查中共查出问题10余处，发出隐患整改通知书4份，并严格按照要求限时整改完毕，切实做到了不走过场。</w:t>
      </w:r>
    </w:p>
    <w:p>
      <w:pPr>
        <w:pStyle w:val="5"/>
        <w:widowControl/>
        <w:spacing w:beforeAutospacing="0" w:afterAutospacing="0" w:line="560" w:lineRule="atLeast"/>
        <w:ind w:left="148" w:firstLine="560"/>
        <w:jc w:val="both"/>
        <w:rPr>
          <w:rFonts w:ascii="Times New Roman" w:hAnsi="Times New Roman"/>
          <w:sz w:val="21"/>
          <w:szCs w:val="21"/>
        </w:rPr>
      </w:pPr>
      <w:r>
        <w:rPr>
          <w:rFonts w:hint="eastAsia" w:ascii="仿宋" w:hAnsi="仿宋" w:eastAsia="仿宋" w:cs="仿宋"/>
          <w:color w:val="1E1E1E"/>
          <w:sz w:val="28"/>
          <w:szCs w:val="28"/>
        </w:rPr>
        <w:t>七是在深化改革工作上取得新成效。牵头做好经济体制改革专项工作，对县委确定改革任务进行了细化，明确责任单位与人员，及时报送改革信息推进情况。继续巩固公车改革成果，我县制订出台了《新邵县县属国有企业公务用车制度改革实施意见》和《新邵县事业单位公务用车制度改革实施意见》。目前，我县国企车改全面完成，事业单位车改正在积极地推进中。我县社会信用体系建设得到有效开展，建立信用建设考核体系。4月份，制定下发了《新邵县2019年诚信建设主题活动实施方案》，在全县各行各业全面开展诚信建设宣传活动。5月份，召开了全县信用体系建设工作推进会，全面推动诚信建设。7月份，按照市信用办要求，积极开展诚信示范企业申报工作，全县18家优秀企业递交了申报资料，部分企业有望得到诚信示范企业授牌。</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（五）社会公众满意度100%</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（六）部门整体绩效得分:98分</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五、存在的主要问题</w:t>
      </w:r>
    </w:p>
    <w:p>
      <w:pPr>
        <w:pStyle w:val="5"/>
        <w:widowControl/>
        <w:shd w:val="clear" w:color="auto" w:fill="FFFFFF"/>
        <w:spacing w:beforeAutospacing="0" w:afterAutospacing="0" w:line="500" w:lineRule="atLeast"/>
        <w:ind w:firstLine="560"/>
        <w:rPr>
          <w:rFonts w:ascii="Times New Roman" w:hAnsi="Times New Roman"/>
        </w:rPr>
      </w:pPr>
      <w:r>
        <w:rPr>
          <w:rFonts w:hint="eastAsia" w:ascii="仿宋" w:hAnsi="仿宋" w:eastAsia="仿宋" w:cs="仿宋"/>
          <w:color w:val="1E1E1E"/>
          <w:sz w:val="28"/>
          <w:szCs w:val="28"/>
          <w:shd w:val="clear" w:color="auto" w:fill="FFFFFF"/>
        </w:rPr>
        <w:t>通过本次绩效自评，发现还存在以下方面问题：由于年初财政预算公用经费资金不足，部分项目不能足额编制，如：基本支出中的公务接待费、公车运行维护费、办公费、印刷费和差旅费等。年初安排的人头经费开支远远不够，导致部分项目开支较年初预算金额超支。</w:t>
      </w:r>
    </w:p>
    <w:p>
      <w:pPr>
        <w:pStyle w:val="5"/>
        <w:widowControl/>
        <w:spacing w:beforeAutospacing="0" w:afterAutospacing="0" w:line="600" w:lineRule="atLeast"/>
        <w:ind w:left="148" w:hanging="148"/>
        <w:jc w:val="both"/>
        <w:rPr>
          <w:rFonts w:ascii="Times New Roman" w:hAnsi="Times New Roman"/>
          <w:sz w:val="21"/>
          <w:szCs w:val="21"/>
        </w:rPr>
      </w:pPr>
      <w:r>
        <w:rPr>
          <w:rFonts w:hint="eastAsia" w:ascii="仿宋" w:hAnsi="仿宋" w:eastAsia="仿宋" w:cs="仿宋"/>
          <w:color w:val="1E1E1E"/>
          <w:sz w:val="28"/>
          <w:szCs w:val="28"/>
        </w:rPr>
        <w:t>六、改进意见及建议</w:t>
      </w:r>
    </w:p>
    <w:p>
      <w:pPr>
        <w:pStyle w:val="5"/>
        <w:widowControl/>
        <w:shd w:val="clear" w:color="auto" w:fill="FFFFFF"/>
        <w:spacing w:beforeAutospacing="0" w:afterAutospacing="0" w:line="500" w:lineRule="atLeast"/>
        <w:ind w:left="480" w:hanging="480"/>
        <w:rPr>
          <w:rFonts w:ascii="Times New Roman" w:hAnsi="Times New Roman"/>
        </w:rPr>
      </w:pPr>
      <w:r>
        <w:rPr>
          <w:rFonts w:hint="eastAsia" w:ascii="仿宋" w:hAnsi="仿宋" w:eastAsia="仿宋" w:cs="仿宋"/>
          <w:color w:val="1E1E1E"/>
          <w:sz w:val="28"/>
          <w:szCs w:val="28"/>
          <w:shd w:val="clear" w:color="auto" w:fill="FFFFFF"/>
        </w:rPr>
        <w:t>　1、规范财务管理，提高财务信息质量</w:t>
      </w:r>
    </w:p>
    <w:p>
      <w:pPr>
        <w:pStyle w:val="5"/>
        <w:widowControl/>
        <w:shd w:val="clear" w:color="auto" w:fill="FFFFFF"/>
        <w:spacing w:beforeAutospacing="0" w:afterAutospacing="0" w:line="500" w:lineRule="atLeast"/>
        <w:rPr>
          <w:rFonts w:ascii="Times New Roman" w:hAnsi="Times New Roman"/>
        </w:rPr>
      </w:pPr>
      <w:r>
        <w:rPr>
          <w:rFonts w:hint="eastAsia" w:ascii="仿宋" w:hAnsi="仿宋" w:eastAsia="仿宋" w:cs="仿宋"/>
          <w:color w:val="1E1E1E"/>
          <w:sz w:val="28"/>
          <w:szCs w:val="28"/>
          <w:shd w:val="clear" w:color="auto" w:fill="FFFFFF"/>
        </w:rPr>
        <w:t>　　严格按照《会计法》、《行政单位会计制度》、《行政单位财务规则》等规定，结合实际情况，严格执行单位经费支出制度，规范财务核算，完整披露相关信息。</w:t>
      </w:r>
    </w:p>
    <w:p>
      <w:pPr>
        <w:pStyle w:val="5"/>
        <w:widowControl/>
        <w:shd w:val="clear" w:color="auto" w:fill="FFFFFF"/>
        <w:spacing w:beforeAutospacing="0" w:afterAutospacing="0" w:line="500" w:lineRule="atLeast"/>
        <w:rPr>
          <w:rFonts w:ascii="Times New Roman" w:hAnsi="Times New Roman"/>
        </w:rPr>
      </w:pPr>
      <w:r>
        <w:rPr>
          <w:rFonts w:hint="eastAsia" w:ascii="仿宋" w:hAnsi="仿宋" w:eastAsia="仿宋" w:cs="仿宋"/>
          <w:color w:val="1E1E1E"/>
          <w:sz w:val="28"/>
          <w:szCs w:val="28"/>
          <w:shd w:val="clear" w:color="auto" w:fill="FFFFFF"/>
        </w:rPr>
        <w:t>　　2、加强学习和培训</w:t>
      </w:r>
    </w:p>
    <w:p>
      <w:pPr>
        <w:pStyle w:val="5"/>
        <w:widowControl/>
        <w:shd w:val="clear" w:color="auto" w:fill="FFFFFF"/>
        <w:spacing w:beforeAutospacing="0" w:afterAutospacing="0" w:line="500" w:lineRule="atLeast"/>
        <w:ind w:left="480" w:hanging="480"/>
        <w:rPr>
          <w:rFonts w:ascii="Times New Roman" w:hAnsi="Times New Roman"/>
        </w:rPr>
      </w:pPr>
      <w:r>
        <w:rPr>
          <w:rFonts w:hint="eastAsia" w:ascii="仿宋" w:hAnsi="仿宋" w:eastAsia="仿宋" w:cs="仿宋"/>
          <w:color w:val="1E1E1E"/>
          <w:sz w:val="28"/>
          <w:szCs w:val="28"/>
          <w:shd w:val="clear" w:color="auto" w:fill="FFFFFF"/>
        </w:rPr>
        <w:t>　　年初制定学习和培训计划，定期在我局开展新制度、新法规学习、培训。</w:t>
      </w:r>
    </w:p>
    <w:p>
      <w:pPr>
        <w:pStyle w:val="5"/>
        <w:widowControl/>
        <w:shd w:val="clear" w:color="auto" w:fill="FFFFFF"/>
        <w:spacing w:beforeAutospacing="0" w:afterAutospacing="0" w:line="500" w:lineRule="atLeast"/>
        <w:rPr>
          <w:rFonts w:ascii="Times New Roman" w:hAnsi="Times New Roman"/>
        </w:rPr>
      </w:pPr>
      <w:r>
        <w:rPr>
          <w:rFonts w:hint="eastAsia" w:ascii="仿宋" w:hAnsi="仿宋" w:eastAsia="仿宋" w:cs="仿宋"/>
          <w:color w:val="1E1E1E"/>
          <w:sz w:val="28"/>
          <w:szCs w:val="28"/>
          <w:shd w:val="clear" w:color="auto" w:fill="FFFFFF"/>
        </w:rPr>
        <w:t>　　3、加强预算的约束力，细化预算编制工作。</w:t>
      </w:r>
    </w:p>
    <w:p>
      <w:pPr>
        <w:pStyle w:val="5"/>
        <w:widowControl/>
        <w:shd w:val="clear" w:color="auto" w:fill="FFFFFF"/>
        <w:spacing w:beforeAutospacing="0" w:afterAutospacing="0" w:line="500" w:lineRule="atLeast"/>
        <w:ind w:left="480" w:hanging="480"/>
        <w:rPr>
          <w:rFonts w:ascii="Times New Roman" w:hAnsi="Times New Roman"/>
        </w:rPr>
      </w:pPr>
      <w:r>
        <w:rPr>
          <w:rFonts w:hint="eastAsia" w:ascii="仿宋" w:hAnsi="仿宋" w:eastAsia="仿宋" w:cs="仿宋"/>
          <w:color w:val="1E1E1E"/>
          <w:sz w:val="28"/>
          <w:szCs w:val="28"/>
          <w:shd w:val="clear" w:color="auto" w:fill="FFFFFF"/>
        </w:rPr>
        <w:t>　　进一步加强全局内部机构各股室的预算管理意识，严格按照预算编制的相关制度和要求，公用经费根据单位的年度工作重点和项目专项工作规划，本着“勤俭节约、保障运转”的原则进行预算的编制。编制范围尽可能地全面，不漏项。严格控制，尽力避免超预算开支的情况发生，进一步提高预算编制的科学性、合理性、严谨性和可控性。</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 </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 </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 </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 </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 </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 </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 </w:t>
      </w:r>
    </w:p>
    <w:p>
      <w:pPr>
        <w:pStyle w:val="5"/>
        <w:widowControl/>
        <w:spacing w:beforeAutospacing="0" w:afterAutospacing="0" w:line="600" w:lineRule="atLeast"/>
        <w:ind w:left="420" w:hanging="420"/>
        <w:jc w:val="both"/>
        <w:rPr>
          <w:rFonts w:ascii="Times New Roman" w:hAnsi="Times New Roman"/>
          <w:sz w:val="21"/>
          <w:szCs w:val="21"/>
        </w:rPr>
      </w:pPr>
      <w:r>
        <w:rPr>
          <w:rFonts w:hint="eastAsia" w:ascii="仿宋" w:hAnsi="仿宋" w:eastAsia="仿宋" w:cs="仿宋"/>
          <w:color w:val="1E1E1E"/>
          <w:sz w:val="28"/>
          <w:szCs w:val="28"/>
        </w:rPr>
        <w:t> </w:t>
      </w:r>
    </w:p>
    <w:p>
      <w:pPr>
        <w:pStyle w:val="5"/>
        <w:widowControl/>
        <w:spacing w:beforeAutospacing="0" w:afterAutospacing="0" w:line="600" w:lineRule="atLeast"/>
        <w:ind w:left="420" w:hanging="420"/>
        <w:jc w:val="center"/>
        <w:rPr>
          <w:rFonts w:ascii="Times New Roman" w:hAnsi="Times New Roman"/>
          <w:sz w:val="21"/>
          <w:szCs w:val="21"/>
        </w:rPr>
      </w:pPr>
      <w:r>
        <w:rPr>
          <w:rFonts w:hint="eastAsia" w:ascii="仿宋" w:hAnsi="仿宋" w:eastAsia="仿宋" w:cs="仿宋"/>
          <w:color w:val="1E1E1E"/>
          <w:sz w:val="28"/>
          <w:szCs w:val="28"/>
        </w:rPr>
        <w:t> </w:t>
      </w:r>
      <w:r>
        <w:rPr>
          <w:rFonts w:ascii="Times New Roman" w:hAnsi="Times New Roman" w:eastAsia="微软雅黑"/>
          <w:color w:val="1E1E1E"/>
          <w:sz w:val="28"/>
          <w:szCs w:val="28"/>
        </w:rPr>
        <w:t>2019</w:t>
      </w:r>
      <w:r>
        <w:rPr>
          <w:rFonts w:ascii="方正小标宋_GBK" w:hAnsi="方正小标宋_GBK" w:eastAsia="方正小标宋_GBK" w:cs="方正小标宋_GBK"/>
          <w:color w:val="1E1E1E"/>
          <w:sz w:val="28"/>
          <w:szCs w:val="28"/>
        </w:rPr>
        <w:t>年度部门整体支出</w:t>
      </w:r>
      <w:r>
        <w:rPr>
          <w:rFonts w:ascii="方正小标宋_GBK" w:hAnsi="方正小标宋_GBK" w:eastAsia="方正小标宋_GBK" w:cs="方正小标宋_GBK"/>
          <w:color w:val="1E1E1E"/>
          <w:spacing w:val="-8"/>
          <w:sz w:val="28"/>
          <w:szCs w:val="28"/>
        </w:rPr>
        <w:t>绩效评价指标评分表</w:t>
      </w:r>
    </w:p>
    <w:p>
      <w:pPr>
        <w:pStyle w:val="5"/>
        <w:widowControl/>
        <w:spacing w:beforeAutospacing="0" w:afterAutospacing="0" w:line="600" w:lineRule="atLeast"/>
        <w:ind w:left="396" w:hanging="396"/>
        <w:jc w:val="both"/>
        <w:rPr>
          <w:rFonts w:ascii="Times New Roman" w:hAnsi="Times New Roman"/>
          <w:sz w:val="21"/>
          <w:szCs w:val="21"/>
        </w:rPr>
      </w:pPr>
      <w:r>
        <w:rPr>
          <w:rFonts w:ascii="楷体" w:hAnsi="楷体" w:eastAsia="楷体" w:cs="楷体"/>
          <w:color w:val="1E1E1E"/>
          <w:spacing w:val="-8"/>
          <w:sz w:val="28"/>
          <w:szCs w:val="28"/>
        </w:rPr>
        <w:t>填报单位（盖章）：</w:t>
      </w:r>
    </w:p>
    <w:tbl>
      <w:tblPr>
        <w:tblStyle w:val="6"/>
        <w:tblW w:w="14280" w:type="dxa"/>
        <w:jc w:val="center"/>
        <w:tblLayout w:type="autofit"/>
        <w:tblCellMar>
          <w:top w:w="0" w:type="dxa"/>
          <w:left w:w="0" w:type="dxa"/>
          <w:bottom w:w="0" w:type="dxa"/>
          <w:right w:w="0" w:type="dxa"/>
        </w:tblCellMar>
      </w:tblPr>
      <w:tblGrid>
        <w:gridCol w:w="689"/>
        <w:gridCol w:w="703"/>
        <w:gridCol w:w="1000"/>
        <w:gridCol w:w="5317"/>
        <w:gridCol w:w="5805"/>
        <w:gridCol w:w="766"/>
      </w:tblGrid>
      <w:tr>
        <w:tblPrEx>
          <w:tblCellMar>
            <w:top w:w="0" w:type="dxa"/>
            <w:left w:w="0" w:type="dxa"/>
            <w:bottom w:w="0" w:type="dxa"/>
            <w:right w:w="0" w:type="dxa"/>
          </w:tblCellMar>
        </w:tblPrEx>
        <w:trPr>
          <w:trHeight w:val="644" w:hRule="atLeast"/>
          <w:tblHeader/>
          <w:jc w:val="center"/>
        </w:trPr>
        <w:tc>
          <w:tcPr>
            <w:tcW w:w="690"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一级</w:t>
            </w:r>
            <w:r>
              <w:rPr>
                <w:rFonts w:hint="eastAsia" w:ascii="宋体" w:hAnsi="宋体" w:eastAsia="宋体" w:cs="宋体"/>
                <w:sz w:val="28"/>
                <w:szCs w:val="28"/>
              </w:rPr>
              <w:br w:type="textWrapping"/>
            </w:r>
            <w:r>
              <w:rPr>
                <w:rFonts w:hint="eastAsia" w:ascii="宋体" w:hAnsi="宋体" w:eastAsia="宋体" w:cs="宋体"/>
                <w:sz w:val="28"/>
                <w:szCs w:val="28"/>
              </w:rPr>
              <w:t>指标</w:t>
            </w:r>
          </w:p>
        </w:tc>
        <w:tc>
          <w:tcPr>
            <w:tcW w:w="704"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二级指标</w:t>
            </w:r>
          </w:p>
        </w:tc>
        <w:tc>
          <w:tcPr>
            <w:tcW w:w="96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三级指标</w:t>
            </w:r>
          </w:p>
        </w:tc>
        <w:tc>
          <w:tcPr>
            <w:tcW w:w="534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指标解释</w:t>
            </w:r>
          </w:p>
        </w:tc>
        <w:tc>
          <w:tcPr>
            <w:tcW w:w="5825"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指标说明</w:t>
            </w:r>
          </w:p>
        </w:tc>
        <w:tc>
          <w:tcPr>
            <w:tcW w:w="768" w:type="dxa"/>
            <w:tcBorders>
              <w:top w:val="single" w:color="auto" w:sz="8" w:space="0"/>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自评分</w:t>
            </w:r>
          </w:p>
        </w:tc>
      </w:tr>
      <w:tr>
        <w:tblPrEx>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投入(20分)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目标</w:t>
            </w:r>
            <w:r>
              <w:rPr>
                <w:rFonts w:hint="eastAsia" w:ascii="宋体" w:hAnsi="宋体" w:eastAsia="宋体" w:cs="宋体"/>
                <w:sz w:val="28"/>
                <w:szCs w:val="28"/>
              </w:rPr>
              <w:br w:type="textWrapping"/>
            </w:r>
            <w:r>
              <w:rPr>
                <w:rFonts w:hint="eastAsia" w:ascii="宋体" w:hAnsi="宋体" w:eastAsia="宋体" w:cs="宋体"/>
                <w:sz w:val="28"/>
                <w:szCs w:val="28"/>
              </w:rPr>
              <w:t>设定</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绩效目标合理性</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①符合国家法律法规、国民经济和社会发展总体规划计1分；</w:t>
            </w:r>
          </w:p>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②符合部门“三定”方案确定的职责计0.5分；</w:t>
            </w:r>
          </w:p>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③是否符合部门制定的中长期实施规划计0.5分。</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2</w:t>
            </w:r>
          </w:p>
        </w:tc>
      </w:tr>
      <w:tr>
        <w:tblPrEx>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绩效指标明确性</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①将部门整体的绩效目标细化分解为具体的工作任务计1分；</w:t>
            </w:r>
          </w:p>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②通过清晰、可衡量的指标值予以体现计0.5分；</w:t>
            </w:r>
          </w:p>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③与部门年度的任务数或计划数相对应计0.5分；</w:t>
            </w:r>
          </w:p>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④与本年度部门预算资金相匹配计1分。</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3</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预算</w:t>
            </w:r>
            <w:r>
              <w:rPr>
                <w:rFonts w:hint="eastAsia" w:ascii="宋体" w:hAnsi="宋体" w:eastAsia="宋体" w:cs="宋体"/>
                <w:sz w:val="28"/>
                <w:szCs w:val="28"/>
              </w:rPr>
              <w:br w:type="textWrapping"/>
            </w:r>
            <w:r>
              <w:rPr>
                <w:rFonts w:hint="eastAsia" w:ascii="宋体" w:hAnsi="宋体" w:eastAsia="宋体" w:cs="宋体"/>
                <w:sz w:val="28"/>
                <w:szCs w:val="28"/>
              </w:rPr>
              <w:t>配置（15分）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在职人员控制率</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5</w:t>
            </w:r>
          </w:p>
        </w:tc>
      </w:tr>
      <w:tr>
        <w:tblPrEx>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“三公经费”变动率（5分）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5</w:t>
            </w:r>
          </w:p>
        </w:tc>
      </w:tr>
      <w:tr>
        <w:tblPrEx>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重点支出安排率</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5</w:t>
            </w:r>
          </w:p>
        </w:tc>
      </w:tr>
      <w:tr>
        <w:tblPrEx>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过程</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(40分)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预算</w:t>
            </w:r>
            <w:r>
              <w:rPr>
                <w:rFonts w:hint="eastAsia" w:ascii="宋体" w:hAnsi="宋体" w:eastAsia="宋体" w:cs="宋体"/>
                <w:sz w:val="28"/>
                <w:szCs w:val="28"/>
              </w:rPr>
              <w:br w:type="textWrapping"/>
            </w:r>
            <w:r>
              <w:rPr>
                <w:rFonts w:hint="eastAsia" w:ascii="宋体" w:hAnsi="宋体" w:eastAsia="宋体" w:cs="宋体"/>
                <w:sz w:val="28"/>
                <w:szCs w:val="28"/>
              </w:rPr>
              <w:t>执行</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(23分)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预算</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完成率</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4</w:t>
            </w:r>
          </w:p>
        </w:tc>
      </w:tr>
      <w:tr>
        <w:tblPrEx>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预算</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调整率</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2</w:t>
            </w:r>
          </w:p>
        </w:tc>
      </w:tr>
      <w:tr>
        <w:tblPrEx>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支付</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进度率</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2</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结转结余控制率</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4</w:t>
            </w:r>
          </w:p>
        </w:tc>
      </w:tr>
      <w:tr>
        <w:tblPrEx>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公用经费</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控制率</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4</w:t>
            </w:r>
          </w:p>
        </w:tc>
      </w:tr>
      <w:tr>
        <w:tblPrEx>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“三公经费”控制率（3分）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4</w:t>
            </w:r>
          </w:p>
        </w:tc>
      </w:tr>
      <w:tr>
        <w:tblPrEx>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政府采购</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执行率</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3</w:t>
            </w:r>
          </w:p>
        </w:tc>
      </w:tr>
      <w:tr>
        <w:tblPrEx>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预算</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管理</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(12分)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管理制度</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健全性</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1</w:t>
            </w:r>
          </w:p>
        </w:tc>
      </w:tr>
      <w:tr>
        <w:tblPrEx>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资金使用</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合规性</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①符合国家财经法规和财务管理制度规定以及有关专项资金管理办法的规定计1分；</w:t>
            </w:r>
          </w:p>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②资金的拨付有完整的审批程序和手续计1分；</w:t>
            </w:r>
          </w:p>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③项目的重大开支经过评估论证计1分；</w:t>
            </w:r>
          </w:p>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④符合部门预算批复的用途计1分；</w:t>
            </w:r>
          </w:p>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⑤不存在截留、挤占、挪用、虚列支出等情况计1分。</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5</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预决算信</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息公开性（2分）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①按规定内容公开预决算信息计1分；</w:t>
            </w:r>
          </w:p>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2</w:t>
            </w:r>
          </w:p>
        </w:tc>
      </w:tr>
      <w:tr>
        <w:tblPrEx>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基础信息</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完善性</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①基础数据信息和会计信息资料真实计1分；</w:t>
            </w:r>
          </w:p>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②基础数据信息和会计信息资料完整计1分；</w:t>
            </w:r>
          </w:p>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③基础数据信息和会计信息资料准确计1分。</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3</w:t>
            </w:r>
          </w:p>
        </w:tc>
      </w:tr>
      <w:tr>
        <w:tblPrEx>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资产</w:t>
            </w:r>
            <w:r>
              <w:rPr>
                <w:rFonts w:hint="eastAsia" w:ascii="宋体" w:hAnsi="宋体" w:eastAsia="宋体" w:cs="宋体"/>
                <w:sz w:val="28"/>
                <w:szCs w:val="28"/>
              </w:rPr>
              <w:br w:type="textWrapping"/>
            </w:r>
            <w:r>
              <w:rPr>
                <w:rFonts w:hint="eastAsia" w:ascii="宋体" w:hAnsi="宋体" w:eastAsia="宋体" w:cs="宋体"/>
                <w:sz w:val="28"/>
                <w:szCs w:val="28"/>
              </w:rPr>
              <w:t>管理</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管理制度</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健全性</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①制定或具有资产管理制度计1分；</w:t>
            </w:r>
          </w:p>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②相关资金管理制度合法、合规、完整计0.5分；</w:t>
            </w:r>
          </w:p>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③相关资产管理制度得到有效执行计0.5分。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5</w:t>
            </w:r>
          </w:p>
        </w:tc>
      </w:tr>
      <w:tr>
        <w:tblPrEx>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资产管理</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安全性</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部门的资产是否保存完整、使用合规、配置合理、处置规范、收入及时足额上缴，用以反映和考核部门资产安全运行情况。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①资产保存完整计0.4分；</w:t>
            </w:r>
          </w:p>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②资产配置合理计0.4分；</w:t>
            </w:r>
          </w:p>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③资产处置规范计0.4分；</w:t>
            </w:r>
          </w:p>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④资产账务管理合规、</w:t>
            </w:r>
            <w:r>
              <w:rPr>
                <w:rFonts w:hint="eastAsia" w:ascii="宋体" w:hAnsi="宋体" w:eastAsia="宋体" w:cs="宋体"/>
                <w:sz w:val="28"/>
                <w:szCs w:val="28"/>
                <w:lang w:eastAsia="zh-CN"/>
              </w:rPr>
              <w:t>账</w:t>
            </w:r>
            <w:bookmarkStart w:id="0" w:name="_GoBack"/>
            <w:bookmarkEnd w:id="0"/>
            <w:r>
              <w:rPr>
                <w:rFonts w:hint="eastAsia" w:ascii="宋体" w:hAnsi="宋体" w:eastAsia="宋体" w:cs="宋体"/>
                <w:sz w:val="28"/>
                <w:szCs w:val="28"/>
                <w:lang w:eastAsia="zh-CN"/>
              </w:rPr>
              <w:t>实相符</w:t>
            </w:r>
            <w:r>
              <w:rPr>
                <w:rFonts w:hint="eastAsia" w:ascii="宋体" w:hAnsi="宋体" w:eastAsia="宋体" w:cs="宋体"/>
                <w:sz w:val="28"/>
                <w:szCs w:val="28"/>
              </w:rPr>
              <w:t>计0.4分；</w:t>
            </w:r>
          </w:p>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⑤资产有偿使用及处置收入及时足额上缴计0.4分。</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2</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固定资产</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利用率</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（1分）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1</w:t>
            </w:r>
          </w:p>
        </w:tc>
      </w:tr>
      <w:tr>
        <w:tblPrEx>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产出</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职责</w:t>
            </w:r>
            <w:r>
              <w:rPr>
                <w:rFonts w:hint="eastAsia" w:ascii="宋体" w:hAnsi="宋体" w:eastAsia="宋体" w:cs="宋体"/>
                <w:sz w:val="28"/>
                <w:szCs w:val="28"/>
              </w:rPr>
              <w:br w:type="textWrapping"/>
            </w:r>
            <w:r>
              <w:rPr>
                <w:rFonts w:hint="eastAsia" w:ascii="宋体" w:hAnsi="宋体" w:eastAsia="宋体" w:cs="宋体"/>
                <w:sz w:val="28"/>
                <w:szCs w:val="28"/>
              </w:rPr>
              <w:t>履行</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实际完成率（5分）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5</w:t>
            </w:r>
          </w:p>
        </w:tc>
      </w:tr>
      <w:tr>
        <w:tblPrEx>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完成及时率（4分）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210" w:afterAutospacing="0" w:line="600" w:lineRule="atLeast"/>
              <w:jc w:val="both"/>
              <w:rPr>
                <w:rFonts w:ascii="Times New Roman" w:hAnsi="Times New Roman"/>
              </w:rPr>
            </w:pPr>
            <w:r>
              <w:rPr>
                <w:rFonts w:hint="eastAsia" w:ascii="宋体" w:hAnsi="宋体" w:eastAsia="宋体" w:cs="宋体"/>
                <w:sz w:val="28"/>
                <w:szCs w:val="28"/>
              </w:rPr>
              <w:t>完成及时率=（及时完成实际工作数/计划工作数）×100%。1-4季度各得1分</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4</w:t>
            </w:r>
          </w:p>
        </w:tc>
      </w:tr>
      <w:tr>
        <w:tblPrEx>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质量达标率（5分）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质量达标率=（质量达标实际工作数/计划工作数）×100%。实际得分=达标率*5分</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5</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重点工作</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办结率</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（6分）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6</w:t>
            </w:r>
          </w:p>
        </w:tc>
      </w:tr>
      <w:tr>
        <w:tblPrEx>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效果</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履职</w:t>
            </w:r>
            <w:r>
              <w:rPr>
                <w:rFonts w:hint="eastAsia" w:ascii="宋体" w:hAnsi="宋体" w:eastAsia="宋体" w:cs="宋体"/>
                <w:sz w:val="28"/>
                <w:szCs w:val="28"/>
              </w:rPr>
              <w:br w:type="textWrapping"/>
            </w:r>
            <w:r>
              <w:rPr>
                <w:rFonts w:hint="eastAsia" w:ascii="宋体" w:hAnsi="宋体" w:eastAsia="宋体" w:cs="宋体"/>
                <w:sz w:val="28"/>
                <w:szCs w:val="28"/>
              </w:rPr>
              <w:t>效益(20分)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经济效益（5分）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部门履行职责对经济发展所带来的直接或间接影响。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按经济效益实现程度计算得分（5分）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社会效益（5分）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部门履行职责对社会发展所带来的直接或间接影响。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ind w:left="420" w:hanging="420"/>
              <w:jc w:val="both"/>
              <w:rPr>
                <w:rFonts w:ascii="Times New Roman" w:hAnsi="Times New Roman"/>
                <w:sz w:val="21"/>
                <w:szCs w:val="21"/>
              </w:rPr>
            </w:pPr>
            <w:r>
              <w:rPr>
                <w:rFonts w:hint="eastAsia" w:ascii="宋体" w:hAnsi="宋体" w:eastAsia="宋体" w:cs="宋体"/>
                <w:sz w:val="28"/>
                <w:szCs w:val="28"/>
              </w:rPr>
              <w:t>按社会效益实现程度计算得分（5分）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ind w:left="420" w:hanging="420"/>
              <w:jc w:val="center"/>
              <w:rPr>
                <w:rFonts w:ascii="Times New Roman" w:hAnsi="Times New Roman"/>
                <w:sz w:val="21"/>
                <w:szCs w:val="21"/>
              </w:rPr>
            </w:pPr>
            <w:r>
              <w:rPr>
                <w:rFonts w:hint="eastAsia" w:ascii="宋体" w:hAnsi="宋体" w:eastAsia="宋体" w:cs="宋体"/>
                <w:sz w:val="28"/>
                <w:szCs w:val="28"/>
              </w:rPr>
              <w:t>行政效能</w:t>
            </w:r>
          </w:p>
          <w:p>
            <w:pPr>
              <w:pStyle w:val="5"/>
              <w:widowControl/>
              <w:spacing w:beforeAutospacing="0" w:afterAutospacing="0" w:line="600" w:lineRule="atLeast"/>
              <w:ind w:left="420" w:hanging="420"/>
              <w:jc w:val="center"/>
              <w:rPr>
                <w:rFonts w:ascii="Times New Roman" w:hAnsi="Times New Roman"/>
                <w:sz w:val="21"/>
                <w:szCs w:val="21"/>
              </w:rPr>
            </w:pPr>
            <w:r>
              <w:rPr>
                <w:rFonts w:hint="eastAsia" w:ascii="宋体" w:hAnsi="宋体" w:eastAsia="宋体" w:cs="宋体"/>
                <w:sz w:val="28"/>
                <w:szCs w:val="28"/>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促进部门改进文风会风，加强经费及资产管理，推动网上办事，提高行政效率。</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降低行政成本效果较好的计6分；一般3分；无效果或者效果不明显0分。</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5</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社会公众</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或服务对</w:t>
            </w:r>
          </w:p>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象满意度（5分）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社会公众或部门的服务对象对部门履职效果的满意程度。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90%（含）以上计5分；80%（含）-90%，计4分；70%（含）-80%，计3分；60%（含）-70%，计2分；低于60%计0分。</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5</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总分</w:t>
            </w:r>
          </w:p>
        </w:tc>
        <w:tc>
          <w:tcPr>
            <w:tcW w:w="704" w:type="dxa"/>
            <w:tcBorders>
              <w:top w:val="nil"/>
              <w:left w:val="nil"/>
              <w:bottom w:val="nil"/>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100</w:t>
            </w:r>
          </w:p>
        </w:tc>
        <w:tc>
          <w:tcPr>
            <w:tcW w:w="960" w:type="dxa"/>
            <w:tcBorders>
              <w:top w:val="nil"/>
              <w:left w:val="nil"/>
              <w:bottom w:val="nil"/>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100　</w:t>
            </w:r>
          </w:p>
        </w:tc>
        <w:tc>
          <w:tcPr>
            <w:tcW w:w="5340" w:type="dxa"/>
            <w:tcBorders>
              <w:top w:val="nil"/>
              <w:left w:val="nil"/>
              <w:bottom w:val="nil"/>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 </w:t>
            </w:r>
          </w:p>
        </w:tc>
        <w:tc>
          <w:tcPr>
            <w:tcW w:w="5825" w:type="dxa"/>
            <w:tcBorders>
              <w:top w:val="nil"/>
              <w:left w:val="nil"/>
              <w:bottom w:val="nil"/>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 </w:t>
            </w:r>
          </w:p>
        </w:tc>
        <w:tc>
          <w:tcPr>
            <w:tcW w:w="768" w:type="dxa"/>
            <w:tcBorders>
              <w:top w:val="nil"/>
              <w:left w:val="nil"/>
              <w:bottom w:val="nil"/>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98</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shd w:val="clear" w:color="auto" w:fill="auto"/>
            <w:vAlign w:val="center"/>
          </w:tcPr>
          <w:p>
            <w:pPr>
              <w:pStyle w:val="5"/>
              <w:widowControl/>
              <w:spacing w:beforeAutospacing="0" w:afterAutospacing="0" w:line="600" w:lineRule="atLeast"/>
              <w:rPr>
                <w:rFonts w:ascii="Times New Roman" w:hAnsi="Times New Roman"/>
              </w:rPr>
            </w:pPr>
            <w:r>
              <w:rPr>
                <w:rFonts w:hint="eastAsia" w:ascii="宋体" w:hAnsi="宋体" w:eastAsia="宋体" w:cs="宋体"/>
                <w:sz w:val="28"/>
                <w:szCs w:val="28"/>
              </w:rPr>
              <w:t> </w:t>
            </w:r>
          </w:p>
        </w:tc>
        <w:tc>
          <w:tcPr>
            <w:tcW w:w="704"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 </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center"/>
              <w:rPr>
                <w:rFonts w:ascii="Times New Roman" w:hAnsi="Times New Roman"/>
              </w:rPr>
            </w:pPr>
            <w:r>
              <w:rPr>
                <w:rFonts w:hint="eastAsia" w:ascii="宋体" w:hAnsi="宋体" w:eastAsia="宋体" w:cs="宋体"/>
                <w:sz w:val="28"/>
                <w:szCs w:val="28"/>
              </w:rPr>
              <w:t> </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 </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widowControl/>
              <w:spacing w:beforeAutospacing="0" w:afterAutospacing="0" w:line="600" w:lineRule="atLeast"/>
              <w:jc w:val="both"/>
              <w:rPr>
                <w:rFonts w:ascii="Times New Roman" w:hAnsi="Times New Roman"/>
              </w:rPr>
            </w:pPr>
            <w:r>
              <w:rPr>
                <w:rFonts w:hint="eastAsia" w:ascii="宋体" w:hAnsi="宋体" w:eastAsia="宋体" w:cs="宋体"/>
                <w:sz w:val="28"/>
                <w:szCs w:val="28"/>
              </w:rPr>
              <w:t> </w:t>
            </w:r>
          </w:p>
        </w:tc>
        <w:tc>
          <w:tcPr>
            <w:tcW w:w="768" w:type="dxa"/>
            <w:tcBorders>
              <w:top w:val="nil"/>
              <w:left w:val="nil"/>
              <w:bottom w:val="single" w:color="auto" w:sz="8" w:space="0"/>
              <w:right w:val="single" w:color="auto" w:sz="8" w:space="0"/>
            </w:tcBorders>
            <w:shd w:val="clear" w:color="auto" w:fill="auto"/>
            <w:vAlign w:val="center"/>
          </w:tcPr>
          <w:p>
            <w:pPr>
              <w:pStyle w:val="5"/>
              <w:widowControl/>
              <w:spacing w:beforeAutospacing="0" w:afterAutospacing="0" w:line="600" w:lineRule="atLeast"/>
              <w:jc w:val="center"/>
              <w:rPr>
                <w:rFonts w:ascii="Times New Roman" w:hAnsi="Times New Roman"/>
              </w:rPr>
            </w:pPr>
            <w:r>
              <w:rPr>
                <w:rFonts w:ascii="Times New Roman" w:hAnsi="Times New Roman"/>
                <w:sz w:val="28"/>
                <w:szCs w:val="28"/>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mNjRjZGViZWVhMzdmNzhlYmU5MTM3MGM4YjYwNWMifQ=="/>
  </w:docVars>
  <w:rsids>
    <w:rsidRoot w:val="00426970"/>
    <w:rsid w:val="00426970"/>
    <w:rsid w:val="005B00F0"/>
    <w:rsid w:val="00666804"/>
    <w:rsid w:val="008666E2"/>
    <w:rsid w:val="164349A9"/>
    <w:rsid w:val="60B378CD"/>
    <w:rsid w:val="71C82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5">
    <w:name w:val="Normal (Web)"/>
    <w:basedOn w:val="1"/>
    <w:uiPriority w:val="0"/>
    <w:pPr>
      <w:spacing w:beforeAutospacing="1" w:afterAutospacing="1"/>
      <w:jc w:val="left"/>
    </w:pPr>
    <w:rPr>
      <w:rFonts w:cs="Times New Roman"/>
      <w:kern w:val="0"/>
      <w:sz w:val="24"/>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8557</Words>
  <Characters>9532</Characters>
  <Lines>75</Lines>
  <Paragraphs>21</Paragraphs>
  <TotalTime>3</TotalTime>
  <ScaleCrop>false</ScaleCrop>
  <LinksUpToDate>false</LinksUpToDate>
  <CharactersWithSpaces>9547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2022-07-29T07:09:00Z</dcterms:created>
  <dc:creator>Administrator</dc:creator>
  <cp:lastModifiedBy>朱亚林</cp:lastModifiedBy>
  <dcterms:modified xsi:type="dcterms:W3CDTF">2022-10-15T09:39:51Z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DAF2C7BBA14E42CF8E98B2BA527015F8</vt:lpwstr>
  </property>
</Properties>
</file>