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新邵县环境卫生服务中心2019年度部门整体支出绩效自评报告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ascii="Calibri" w:hAnsi="Calibri" w:cs="Calibri"/>
          <w:sz w:val="21"/>
          <w:szCs w:val="21"/>
        </w:rPr>
      </w:pPr>
      <w:r>
        <w:rPr>
          <w:rFonts w:ascii="仿宋" w:hAnsi="仿宋" w:eastAsia="仿宋" w:cs="仿宋"/>
          <w:i w:val="0"/>
          <w:caps w:val="0"/>
          <w:color w:val="1E1E1E"/>
          <w:spacing w:val="0"/>
          <w:sz w:val="32"/>
          <w:szCs w:val="32"/>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 （一）部门基本情况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900"/>
        <w:jc w:val="both"/>
        <w:rPr>
          <w:rFonts w:hint="default" w:ascii="Calibri" w:hAnsi="Calibri" w:cs="Calibri"/>
          <w:sz w:val="21"/>
          <w:szCs w:val="21"/>
        </w:rPr>
      </w:pPr>
      <w:r>
        <w:rPr>
          <w:rFonts w:hint="eastAsia" w:ascii="仿宋" w:hAnsi="仿宋" w:eastAsia="仿宋" w:cs="仿宋"/>
          <w:i w:val="0"/>
          <w:caps w:val="0"/>
          <w:color w:val="1E1E1E"/>
          <w:spacing w:val="0"/>
          <w:sz w:val="30"/>
          <w:szCs w:val="30"/>
          <w:shd w:val="clear" w:fill="FFFFFF"/>
        </w:rPr>
        <w:t>新邵县环境卫生服务中心2019年编制人数149人，实际人数149人（其中，在职 98人，离退休51人），遗属补助人数2人，小车编制数1台，实际1台</w:t>
      </w:r>
      <w:r>
        <w:rPr>
          <w:rFonts w:hint="eastAsia" w:ascii="仿宋" w:hAnsi="仿宋" w:eastAsia="仿宋" w:cs="仿宋"/>
          <w:i w:val="0"/>
          <w:caps w:val="0"/>
          <w:color w:val="1E1E1E"/>
          <w:spacing w:val="0"/>
          <w:sz w:val="28"/>
          <w:szCs w:val="28"/>
          <w:shd w:val="clear" w:fill="FFFFFF"/>
        </w:rPr>
        <w:t>。本单位设5股一室一站：后勤财务股，市容监察一股，市容监察二股，清收清运一股，清收清运二股，综合办公室，垃圾中转站。2019年劳务派遣临时人员22人。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0" w:right="0" w:firstLine="627"/>
        <w:jc w:val="left"/>
        <w:rPr>
          <w:rFonts w:hint="default" w:ascii="Calibri" w:hAnsi="Calibri" w:cs="Calibri"/>
          <w:sz w:val="21"/>
          <w:szCs w:val="21"/>
        </w:rPr>
      </w:pPr>
      <w:r>
        <w:rPr>
          <w:rFonts w:hint="eastAsia" w:ascii="仿宋" w:hAnsi="仿宋" w:eastAsia="仿宋" w:cs="仿宋"/>
          <w:i w:val="0"/>
          <w:caps w:val="0"/>
          <w:color w:val="1E1E1E"/>
          <w:spacing w:val="0"/>
          <w:sz w:val="32"/>
          <w:szCs w:val="32"/>
          <w:shd w:val="clear" w:fill="FFFFFF"/>
        </w:rPr>
        <w:t>（二）主要工作职责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0" w:right="0" w:firstLine="588"/>
        <w:jc w:val="left"/>
        <w:rPr>
          <w:rFonts w:hint="default" w:ascii="Calibri" w:hAnsi="Calibri" w:cs="Calibri"/>
          <w:sz w:val="21"/>
          <w:szCs w:val="21"/>
        </w:rPr>
      </w:pPr>
      <w:r>
        <w:rPr>
          <w:rFonts w:hint="eastAsia" w:ascii="仿宋" w:hAnsi="仿宋" w:eastAsia="仿宋" w:cs="仿宋"/>
          <w:i w:val="0"/>
          <w:caps w:val="0"/>
          <w:color w:val="1E1E1E"/>
          <w:spacing w:val="0"/>
          <w:sz w:val="30"/>
          <w:szCs w:val="30"/>
          <w:shd w:val="clear" w:fill="FFFFFF"/>
        </w:rPr>
        <w:t>　1、负责县城及乡镇垃圾的转运与压缩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0" w:right="0" w:firstLine="450"/>
        <w:jc w:val="left"/>
        <w:rPr>
          <w:rFonts w:hint="default" w:ascii="Calibri" w:hAnsi="Calibri" w:cs="Calibri"/>
          <w:sz w:val="21"/>
          <w:szCs w:val="21"/>
        </w:rPr>
      </w:pPr>
      <w:r>
        <w:rPr>
          <w:rFonts w:hint="eastAsia" w:ascii="仿宋" w:hAnsi="仿宋" w:eastAsia="仿宋" w:cs="仿宋"/>
          <w:i w:val="0"/>
          <w:caps w:val="0"/>
          <w:color w:val="1E1E1E"/>
          <w:spacing w:val="0"/>
          <w:sz w:val="30"/>
          <w:szCs w:val="30"/>
          <w:shd w:val="clear" w:fill="FFFFFF"/>
        </w:rPr>
        <w:t>　 2、负责县城内垃圾的清运、清收工作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0" w:right="0" w:firstLine="450"/>
        <w:jc w:val="left"/>
        <w:rPr>
          <w:rFonts w:hint="default" w:ascii="Calibri" w:hAnsi="Calibri" w:cs="Calibri"/>
          <w:sz w:val="21"/>
          <w:szCs w:val="21"/>
        </w:rPr>
      </w:pPr>
      <w:r>
        <w:rPr>
          <w:rFonts w:hint="eastAsia" w:ascii="仿宋" w:hAnsi="仿宋" w:eastAsia="仿宋" w:cs="仿宋"/>
          <w:i w:val="0"/>
          <w:caps w:val="0"/>
          <w:color w:val="1E1E1E"/>
          <w:spacing w:val="0"/>
          <w:sz w:val="30"/>
          <w:szCs w:val="30"/>
          <w:shd w:val="clear" w:fill="FFFFFF"/>
        </w:rPr>
        <w:t>　 3、负责酿溪河及资江河两岸漂浮物的清理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0" w:right="0" w:firstLine="450"/>
        <w:jc w:val="left"/>
        <w:rPr>
          <w:rFonts w:hint="default" w:ascii="Calibri" w:hAnsi="Calibri" w:cs="Calibri"/>
          <w:sz w:val="21"/>
          <w:szCs w:val="21"/>
        </w:rPr>
      </w:pPr>
      <w:r>
        <w:rPr>
          <w:rFonts w:hint="eastAsia" w:ascii="仿宋" w:hAnsi="仿宋" w:eastAsia="仿宋" w:cs="仿宋"/>
          <w:i w:val="0"/>
          <w:caps w:val="0"/>
          <w:color w:val="1E1E1E"/>
          <w:spacing w:val="0"/>
          <w:sz w:val="30"/>
          <w:szCs w:val="30"/>
          <w:shd w:val="clear" w:fill="FFFFFF"/>
        </w:rPr>
        <w:t>　 4、负责县城内公厕的管理与维护维修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0" w:right="0" w:firstLine="450"/>
        <w:jc w:val="left"/>
        <w:rPr>
          <w:rFonts w:hint="default" w:ascii="Calibri" w:hAnsi="Calibri" w:cs="Calibri"/>
          <w:sz w:val="21"/>
          <w:szCs w:val="21"/>
        </w:rPr>
      </w:pPr>
      <w:r>
        <w:rPr>
          <w:rFonts w:hint="eastAsia" w:ascii="仿宋" w:hAnsi="仿宋" w:eastAsia="仿宋" w:cs="仿宋"/>
          <w:i w:val="0"/>
          <w:caps w:val="0"/>
          <w:color w:val="1E1E1E"/>
          <w:spacing w:val="0"/>
          <w:sz w:val="30"/>
          <w:szCs w:val="30"/>
          <w:shd w:val="clear" w:fill="FFFFFF"/>
        </w:rPr>
        <w:t>　 5、负责监督和监管鸿鑫环境公司县城内清扫保洁工作及果皮箱</w:t>
      </w:r>
      <w:r>
        <w:rPr>
          <w:rFonts w:hint="eastAsia" w:ascii="仿宋" w:hAnsi="仿宋" w:eastAsia="仿宋" w:cs="仿宋"/>
          <w:i w:val="0"/>
          <w:caps w:val="0"/>
          <w:color w:val="1E1E1E"/>
          <w:spacing w:val="0"/>
          <w:sz w:val="30"/>
          <w:szCs w:val="30"/>
          <w:shd w:val="clear" w:fill="FFFFFF"/>
          <w:lang w:eastAsia="zh-CN"/>
        </w:rPr>
        <w:t>清洗</w:t>
      </w:r>
      <w:r>
        <w:rPr>
          <w:rFonts w:hint="eastAsia" w:ascii="仿宋" w:hAnsi="仿宋" w:eastAsia="仿宋" w:cs="仿宋"/>
          <w:i w:val="0"/>
          <w:caps w:val="0"/>
          <w:color w:val="1E1E1E"/>
          <w:spacing w:val="0"/>
          <w:sz w:val="30"/>
          <w:szCs w:val="30"/>
          <w:shd w:val="clear" w:fill="FFFFFF"/>
        </w:rPr>
        <w:t>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8" w:right="0" w:hanging="138"/>
        <w:jc w:val="both"/>
        <w:rPr>
          <w:rFonts w:hint="default" w:ascii="Calibri" w:hAnsi="Calibri" w:cs="Calibri"/>
          <w:sz w:val="21"/>
          <w:szCs w:val="21"/>
        </w:rPr>
      </w:pPr>
      <w:r>
        <w:rPr>
          <w:rFonts w:hint="eastAsia" w:ascii="仿宋" w:hAnsi="仿宋" w:eastAsia="仿宋" w:cs="仿宋"/>
          <w:i w:val="0"/>
          <w:caps w:val="0"/>
          <w:color w:val="1E1E1E"/>
          <w:spacing w:val="0"/>
          <w:sz w:val="30"/>
          <w:szCs w:val="30"/>
        </w:rPr>
        <w:t>　　  6、负责县委、县政府及上级主管部门交办的其他工作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50" w:right="0" w:hanging="450"/>
        <w:jc w:val="both"/>
        <w:rPr>
          <w:rFonts w:hint="default" w:ascii="Calibri" w:hAnsi="Calibri" w:cs="Calibri"/>
          <w:sz w:val="21"/>
          <w:szCs w:val="21"/>
        </w:rPr>
      </w:pPr>
      <w:r>
        <w:rPr>
          <w:rFonts w:hint="eastAsia" w:ascii="仿宋" w:hAnsi="仿宋" w:eastAsia="仿宋" w:cs="仿宋"/>
          <w:i w:val="0"/>
          <w:caps w:val="0"/>
          <w:color w:val="1E1E1E"/>
          <w:spacing w:val="0"/>
          <w:sz w:val="30"/>
          <w:szCs w:val="30"/>
        </w:rPr>
        <w:t>（三）2019年度工作计划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900"/>
        <w:jc w:val="both"/>
        <w:rPr>
          <w:rFonts w:hint="default" w:ascii="Calibri" w:hAnsi="Calibri" w:cs="Calibri"/>
          <w:sz w:val="21"/>
          <w:szCs w:val="21"/>
        </w:rPr>
      </w:pPr>
      <w:r>
        <w:rPr>
          <w:rFonts w:hint="eastAsia" w:ascii="仿宋" w:hAnsi="仿宋" w:eastAsia="仿宋" w:cs="仿宋"/>
          <w:i w:val="0"/>
          <w:caps w:val="0"/>
          <w:color w:val="1E1E1E"/>
          <w:spacing w:val="0"/>
          <w:sz w:val="30"/>
          <w:szCs w:val="30"/>
        </w:rPr>
        <w:t>2019年我所将继续扎实有效的开展环境卫生管理工作，以创建国家级卫生县城为目标，谋实事、抓长远，完善环境卫</w:t>
      </w:r>
      <w:r>
        <w:rPr>
          <w:rFonts w:hint="eastAsia" w:ascii="仿宋" w:hAnsi="仿宋" w:eastAsia="仿宋" w:cs="仿宋"/>
          <w:i w:val="0"/>
          <w:caps w:val="0"/>
          <w:color w:val="1E1E1E"/>
          <w:spacing w:val="0"/>
          <w:sz w:val="32"/>
          <w:szCs w:val="32"/>
        </w:rPr>
        <w:t>生服务体系，着重完成以下几项工作：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（一）、加强党组织建设,加强内部管理。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一是加强“三型”党支部组织建设工作，通过组织党员干部认真学习党的十九大和</w:t>
      </w:r>
      <w:r>
        <w:rPr>
          <w:rFonts w:hint="eastAsia" w:ascii="仿宋" w:hAnsi="仿宋" w:eastAsia="仿宋" w:cs="仿宋"/>
          <w:i w:val="0"/>
          <w:caps w:val="0"/>
          <w:color w:val="1E1E1E"/>
          <w:spacing w:val="0"/>
          <w:sz w:val="32"/>
          <w:szCs w:val="32"/>
          <w:lang w:eastAsia="zh-CN"/>
        </w:rPr>
        <w:t>习近平</w:t>
      </w:r>
      <w:r>
        <w:rPr>
          <w:rFonts w:hint="eastAsia" w:ascii="仿宋" w:hAnsi="仿宋" w:eastAsia="仿宋" w:cs="仿宋"/>
          <w:i w:val="0"/>
          <w:caps w:val="0"/>
          <w:color w:val="1E1E1E"/>
          <w:spacing w:val="0"/>
          <w:sz w:val="32"/>
          <w:szCs w:val="32"/>
        </w:rPr>
        <w:t>总书记重要讲话精神，加强教育管理，团结凝聚干部职工，加强廉政教育，推进党风建设。二加强内部管理，进一步加强劳动纪律和作风建设，号召党员干部起模范带头作用，带动全所干部职工，认真扎实地开展好各项工作。进一步完善细化各项规章制度，量化标准，建立完善长效管理机制，实行责任追究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（二）、继续扎实有效开展精准扶贫和群众工作站工作。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2019年我所将继续扎实有效的开展精准扶贫工作和群众工作站工作，通过开展通畅工程，修建和硬化道路、自来水工程改造，修建和改造蓄水池、农村危旧房改、开展产业扶贫、开展环境卫生整治等工作将精准扶贫工作落到实处，逐步解决村里难点、热点问题，大力改善农村生产生活条件，增加村民收入，提高村民素质，争取在让帮扶的新塘村2019在各个方面都取得更大的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 （三）、加强清扫保洁工作和督查力度，加强河道卫生管理。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    加强对清扫保洁服务公司的督查考核工作，完善清扫保洁考核评分细则，壮大督查考核队伍，建立督查考核微信平台，将督查考核工作覆盖到城区所有清扫保洁区域，及时发现问题及时拍照取证上传至微信平台并及时处理到位，严格按照《新邵县环境卫生作业质量和扣款标准》以每日进行日常督查、每周进行总结、每月进行评分和整改、每季度邀请主管局督查考核的模式，将城区清扫保洁工作全方位督查监管到位，确保城区清扫保洁工作更到位更彻底，助力省级卫生县城创建工作。继续加大河道卫生管理力度，继续采取水面承包清理打捞模式，续签承包合同，通过增加作业船只和工作人员等措施，确保城区河道水面及两岸可视范围内无垃圾和水草、水质清澈、环境优美、卫生达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（四）、积极参与国家级卫生县城创建工作，推进公厕及小型中转站建设改造和运行工作。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积极主动参加国家级卫生县城创建工作，勇当创卫先锋军和主力军，战斗在创卫行动最前线，顺利完成县委、县政府交办的各项创卫工作任务，为我县成功创建国家级卫生县城打下良好的环境卫生基础。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稳步推进公厕及小型生活垃圾中转站建设和改造工作，积极主动协调好各种矛盾，确保公厕及小型生活垃圾中转站建设和改造工作如期完成。完善各项管理制度，切实维护、管理好每一座建成的公厕和垃圾中转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（五）顺利完成清收清运和垃圾中转站运行工作，确保生活垃圾无害化处理率达标。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2019年我们将继续加强清收清运工作和生活垃圾中转站运行管理工作，生活垃圾清运清运严格实行密闭式运输，逐步将露天式垃圾斗更换成封闭式垃圾箱并做到日产日清；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加强中转站技术人员培训，加强后备技术力量培养，顺利完成县城及周边的生活垃圾收集压缩转运处理工作任务，严格按照《生活垃圾卫生填埋技术规范》等国家标准作业，确保生活垃圾无害化处理率达标，进一步狠抓薄弱环节，圆满完成各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（六）加大环卫基础设施投入力度，加强环境卫生知识宣传力度。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加大环卫基础设施投入力度，提高环境卫生机械化作业率，提高环卫工作效率；加强环境卫生知识宣传力度，通过电视台、报刊、微信公众号、宣传车、宣传栏等多种宣传渠道，宣传环卫相关法律法规和知识，号召全社会齐抓共管，通力协作，合力提高我县城区环境卫生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2019年，我们将以创建国家级卫生县城为目标，以“清洁城市、美化城市”为宗旨，发扬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二、部门整体支出规模、使用方向和内容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（一）年度预算收支情况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1.年初预算收支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单位：万元</w:t>
      </w:r>
    </w:p>
    <w:tbl>
      <w:tblPr>
        <w:tblStyle w:val="5"/>
        <w:tblpPr w:vertAnchor="text" w:tblpXSpec="left"/>
        <w:tblW w:w="0" w:type="auto"/>
        <w:tblInd w:w="0" w:type="dxa"/>
        <w:shd w:val="clear" w:color="auto" w:fill="auto"/>
        <w:tblLayout w:type="autofit"/>
        <w:tblCellMar>
          <w:top w:w="0" w:type="dxa"/>
          <w:left w:w="0" w:type="dxa"/>
          <w:bottom w:w="0" w:type="dxa"/>
          <w:right w:w="0" w:type="dxa"/>
        </w:tblCellMar>
      </w:tblPr>
      <w:tblGrid>
        <w:gridCol w:w="2095"/>
        <w:gridCol w:w="1704"/>
        <w:gridCol w:w="1595"/>
        <w:gridCol w:w="1324"/>
        <w:gridCol w:w="1804"/>
      </w:tblGrid>
      <w:tr>
        <w:tblPrEx>
          <w:shd w:val="clear" w:color="auto" w:fill="auto"/>
          <w:tblCellMar>
            <w:top w:w="0" w:type="dxa"/>
            <w:left w:w="0" w:type="dxa"/>
            <w:bottom w:w="0" w:type="dxa"/>
            <w:right w:w="0" w:type="dxa"/>
          </w:tblCellMar>
        </w:tblPrEx>
        <w:trPr>
          <w:trHeight w:val="337" w:hRule="atLeast"/>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Calibri" w:hAnsi="Calibri" w:cs="Calibri"/>
                <w:sz w:val="21"/>
                <w:szCs w:val="21"/>
              </w:rPr>
            </w:pPr>
            <w:r>
              <w:rPr>
                <w:rFonts w:hint="eastAsia" w:ascii="仿宋" w:hAnsi="仿宋" w:eastAsia="仿宋" w:cs="仿宋"/>
                <w:b/>
                <w:color w:val="000000"/>
                <w:sz w:val="21"/>
                <w:szCs w:val="21"/>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Calibri" w:hAnsi="Calibri" w:cs="Calibri"/>
                <w:sz w:val="21"/>
                <w:szCs w:val="21"/>
              </w:rPr>
            </w:pPr>
            <w:r>
              <w:rPr>
                <w:rFonts w:hint="eastAsia" w:ascii="仿宋" w:hAnsi="仿宋" w:eastAsia="仿宋" w:cs="仿宋"/>
                <w:b/>
                <w:color w:val="000000"/>
                <w:sz w:val="21"/>
                <w:szCs w:val="21"/>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Calibri" w:hAnsi="Calibri" w:cs="Calibri"/>
                <w:sz w:val="21"/>
                <w:szCs w:val="21"/>
              </w:rPr>
            </w:pPr>
            <w:r>
              <w:rPr>
                <w:rFonts w:hint="eastAsia" w:ascii="仿宋" w:hAnsi="仿宋" w:eastAsia="仿宋" w:cs="仿宋"/>
                <w:b/>
                <w:color w:val="000000"/>
                <w:sz w:val="21"/>
                <w:szCs w:val="21"/>
              </w:rPr>
              <w:t>较上年增减变化</w:t>
            </w:r>
          </w:p>
        </w:tc>
      </w:tr>
      <w:tr>
        <w:tblPrEx>
          <w:shd w:val="clear" w:color="auto" w:fill="auto"/>
          <w:tblCellMar>
            <w:top w:w="0" w:type="dxa"/>
            <w:left w:w="0" w:type="dxa"/>
            <w:bottom w:w="0" w:type="dxa"/>
            <w:right w:w="0" w:type="dxa"/>
          </w:tblCellMar>
        </w:tblPrEx>
        <w:trPr>
          <w:trHeight w:val="397" w:hRule="atLeast"/>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Calibri" w:hAnsi="Calibri" w:cs="Calibri"/>
                <w:sz w:val="21"/>
                <w:szCs w:val="21"/>
              </w:rPr>
            </w:pPr>
            <w:r>
              <w:rPr>
                <w:rFonts w:hint="eastAsia" w:ascii="仿宋" w:hAnsi="仿宋" w:eastAsia="仿宋" w:cs="仿宋"/>
                <w:b/>
                <w:color w:val="000000"/>
                <w:sz w:val="21"/>
                <w:szCs w:val="21"/>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Calibri" w:hAnsi="Calibri" w:cs="Calibri"/>
                <w:sz w:val="21"/>
                <w:szCs w:val="21"/>
              </w:rPr>
            </w:pPr>
            <w:r>
              <w:rPr>
                <w:rFonts w:hint="eastAsia" w:ascii="仿宋" w:hAnsi="仿宋" w:eastAsia="仿宋" w:cs="仿宋"/>
                <w:b/>
                <w:color w:val="000000"/>
                <w:sz w:val="21"/>
                <w:szCs w:val="21"/>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Calibri" w:hAnsi="Calibri" w:cs="Calibri"/>
                <w:sz w:val="21"/>
                <w:szCs w:val="21"/>
              </w:rPr>
            </w:pPr>
            <w:r>
              <w:rPr>
                <w:rFonts w:hint="eastAsia" w:ascii="仿宋" w:hAnsi="仿宋" w:eastAsia="仿宋" w:cs="仿宋"/>
                <w:b/>
                <w:color w:val="000000"/>
                <w:sz w:val="21"/>
                <w:szCs w:val="21"/>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Calibri" w:hAnsi="Calibri" w:cs="Calibri"/>
                <w:sz w:val="21"/>
                <w:szCs w:val="21"/>
              </w:rPr>
            </w:pPr>
            <w:r>
              <w:rPr>
                <w:rFonts w:hint="eastAsia" w:ascii="仿宋" w:hAnsi="仿宋" w:eastAsia="仿宋" w:cs="仿宋"/>
                <w:b/>
                <w:color w:val="000000"/>
                <w:sz w:val="21"/>
                <w:szCs w:val="21"/>
              </w:rPr>
              <w:t>比例</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Calibri" w:hAnsi="Calibri" w:cs="Calibri"/>
                <w:sz w:val="21"/>
                <w:szCs w:val="21"/>
              </w:rPr>
            </w:pPr>
            <w:r>
              <w:rPr>
                <w:rFonts w:hint="eastAsia" w:ascii="仿宋" w:hAnsi="仿宋" w:eastAsia="仿宋" w:cs="仿宋"/>
                <w:b/>
                <w:color w:val="010101"/>
                <w:sz w:val="21"/>
                <w:szCs w:val="21"/>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1263</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854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409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48%</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Calibri" w:hAnsi="Calibri" w:cs="Calibri"/>
                <w:sz w:val="21"/>
                <w:szCs w:val="21"/>
              </w:rPr>
            </w:pPr>
            <w:r>
              <w:rPr>
                <w:rFonts w:hint="eastAsia" w:ascii="仿宋" w:hAnsi="仿宋" w:eastAsia="仿宋" w:cs="仿宋"/>
                <w:color w:val="010101"/>
                <w:sz w:val="21"/>
                <w:szCs w:val="21"/>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1263</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854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409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48%</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Calibri" w:hAnsi="Calibri" w:cs="Calibri"/>
                <w:sz w:val="21"/>
                <w:szCs w:val="21"/>
              </w:rPr>
            </w:pPr>
            <w:r>
              <w:rPr>
                <w:rFonts w:hint="eastAsia" w:ascii="仿宋" w:hAnsi="仿宋" w:eastAsia="仿宋" w:cs="仿宋"/>
                <w:b/>
                <w:color w:val="010101"/>
                <w:sz w:val="21"/>
                <w:szCs w:val="21"/>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1263</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854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409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48%</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Calibri" w:hAnsi="Calibri" w:cs="Calibri"/>
                <w:sz w:val="21"/>
                <w:szCs w:val="21"/>
              </w:rPr>
            </w:pPr>
            <w:r>
              <w:rPr>
                <w:rFonts w:hint="eastAsia" w:ascii="仿宋" w:hAnsi="仿宋" w:eastAsia="仿宋" w:cs="仿宋"/>
                <w:color w:val="010101"/>
                <w:sz w:val="21"/>
                <w:szCs w:val="21"/>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1038</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802</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236</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30%</w:t>
            </w:r>
          </w:p>
        </w:tc>
      </w:tr>
      <w:tr>
        <w:tblPrEx>
          <w:tblCellMar>
            <w:top w:w="0" w:type="dxa"/>
            <w:left w:w="0" w:type="dxa"/>
            <w:bottom w:w="0" w:type="dxa"/>
            <w:right w:w="0" w:type="dxa"/>
          </w:tblCellMar>
        </w:tblPrEx>
        <w:trPr>
          <w:trHeight w:val="512"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Calibri" w:hAnsi="Calibri" w:cs="Calibri"/>
                <w:sz w:val="21"/>
                <w:szCs w:val="21"/>
              </w:rPr>
            </w:pPr>
            <w:r>
              <w:rPr>
                <w:rFonts w:hint="eastAsia" w:ascii="仿宋" w:hAnsi="仿宋" w:eastAsia="仿宋" w:cs="仿宋"/>
                <w:color w:val="010101"/>
                <w:sz w:val="21"/>
                <w:szCs w:val="21"/>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225</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52</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173</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333%</w:t>
            </w:r>
          </w:p>
        </w:tc>
      </w:tr>
      <w:tr>
        <w:tblPrEx>
          <w:shd w:val="clear" w:color="auto" w:fill="auto"/>
          <w:tblCellMar>
            <w:top w:w="0" w:type="dxa"/>
            <w:left w:w="0" w:type="dxa"/>
            <w:bottom w:w="0" w:type="dxa"/>
            <w:right w:w="0" w:type="dxa"/>
          </w:tblCellMar>
        </w:tblPrEx>
        <w:trPr>
          <w:trHeight w:val="59" w:hRule="atLeast"/>
        </w:trPr>
        <w:tc>
          <w:tcPr>
            <w:tcW w:w="2135" w:type="dxa"/>
            <w:tcBorders>
              <w:top w:val="nil"/>
              <w:left w:val="single" w:color="auto" w:sz="8" w:space="0"/>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Calibri" w:hAnsi="Calibri" w:cs="Calibri"/>
                <w:sz w:val="21"/>
                <w:szCs w:val="21"/>
              </w:rPr>
            </w:pPr>
            <w:r>
              <w:rPr>
                <w:rFonts w:hint="eastAsia" w:ascii="仿宋" w:hAnsi="仿宋" w:eastAsia="仿宋" w:cs="仿宋"/>
                <w:color w:val="010101"/>
                <w:sz w:val="21"/>
                <w:szCs w:val="21"/>
              </w:rPr>
              <w:t> </w:t>
            </w:r>
          </w:p>
        </w:tc>
        <w:tc>
          <w:tcPr>
            <w:tcW w:w="1736"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 </w:t>
            </w:r>
          </w:p>
        </w:tc>
        <w:tc>
          <w:tcPr>
            <w:tcW w:w="1624"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 </w:t>
            </w:r>
          </w:p>
        </w:tc>
        <w:tc>
          <w:tcPr>
            <w:tcW w:w="1344"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 </w:t>
            </w:r>
          </w:p>
        </w:tc>
        <w:tc>
          <w:tcPr>
            <w:tcW w:w="1841"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141"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9" w:right="0" w:hanging="149"/>
              <w:jc w:val="left"/>
              <w:rPr>
                <w:rFonts w:hint="default" w:ascii="Calibri" w:hAnsi="Calibri" w:cs="Calibri"/>
                <w:sz w:val="21"/>
                <w:szCs w:val="21"/>
              </w:rPr>
            </w:pPr>
            <w:r>
              <w:rPr>
                <w:rFonts w:hint="eastAsia" w:ascii="仿宋" w:hAnsi="仿宋" w:eastAsia="仿宋" w:cs="仿宋"/>
                <w:color w:val="010101"/>
                <w:sz w:val="21"/>
                <w:szCs w:val="21"/>
              </w:rPr>
              <w:t> </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 </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 </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Calibri" w:hAnsi="Calibri" w:cs="Calibri"/>
                <w:sz w:val="21"/>
                <w:szCs w:val="21"/>
              </w:rPr>
            </w:pPr>
            <w:r>
              <w:rPr>
                <w:rFonts w:hint="eastAsia" w:ascii="仿宋" w:hAnsi="仿宋" w:eastAsia="仿宋" w:cs="仿宋"/>
                <w:color w:val="010101"/>
                <w:sz w:val="21"/>
                <w:szCs w:val="21"/>
              </w:rPr>
              <w:t> </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根据年初预算批复，与上年比较，增加原因：</w:t>
      </w:r>
      <w:r>
        <w:rPr>
          <w:rFonts w:hint="eastAsia" w:ascii="仿宋" w:hAnsi="仿宋" w:eastAsia="仿宋" w:cs="仿宋"/>
          <w:i w:val="0"/>
          <w:caps w:val="0"/>
          <w:color w:val="1E1E1E"/>
          <w:spacing w:val="0"/>
          <w:sz w:val="30"/>
          <w:szCs w:val="30"/>
        </w:rPr>
        <w:t>2019年随着县委、县政府创国家级卫生城市工作的展开，我县增加环卫餐厨垃圾车两台，新增环卫基础设施。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2.财政预算整体支出使用范围、方向和内容</w:t>
      </w:r>
    </w:p>
    <w:tbl>
      <w:tblPr>
        <w:tblStyle w:val="5"/>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732.2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732.2</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202.9</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225</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427.9</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102.9</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102.9</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合</w:t>
            </w:r>
            <w:r>
              <w:rPr>
                <w:rFonts w:hint="eastAsia" w:ascii="宋体" w:hAnsi="宋体" w:eastAsia="宋体" w:cs="宋体"/>
                <w:color w:val="000000"/>
                <w:sz w:val="21"/>
                <w:szCs w:val="21"/>
              </w:rPr>
              <w:t> </w:t>
            </w:r>
            <w:r>
              <w:rPr>
                <w:rFonts w:hint="eastAsia" w:ascii="仿宋" w:hAnsi="仿宋" w:eastAsia="仿宋" w:cs="仿宋"/>
                <w:color w:val="000000"/>
                <w:sz w:val="21"/>
                <w:szCs w:val="21"/>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1038</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225</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1263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（二）年度收支决算情况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1.年度收入决算</w:t>
      </w:r>
    </w:p>
    <w:tbl>
      <w:tblPr>
        <w:tblStyle w:val="5"/>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1263</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2371.4</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1108.4</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决算金额增加的原因：一是城市维护费403万元没有列入年初预算中，由财政局直接拨款到单位；二是2019年县委、县政府创国家卫生城市工作的展开，我县增加餐厨车2台，购买餐厨车及运行费120万元，预算调整安排城区</w:t>
      </w:r>
      <w:r>
        <w:rPr>
          <w:rFonts w:hint="eastAsia" w:ascii="仿宋" w:hAnsi="仿宋" w:eastAsia="仿宋" w:cs="仿宋"/>
          <w:i w:val="0"/>
          <w:caps w:val="0"/>
          <w:color w:val="1E1E1E"/>
          <w:spacing w:val="0"/>
          <w:sz w:val="32"/>
          <w:szCs w:val="32"/>
          <w:lang w:eastAsia="zh-CN"/>
        </w:rPr>
        <w:t>清洗</w:t>
      </w:r>
      <w:r>
        <w:rPr>
          <w:rFonts w:hint="eastAsia" w:ascii="仿宋" w:hAnsi="仿宋" w:eastAsia="仿宋" w:cs="仿宋"/>
          <w:i w:val="0"/>
          <w:caps w:val="0"/>
          <w:color w:val="1E1E1E"/>
          <w:spacing w:val="0"/>
          <w:sz w:val="32"/>
          <w:szCs w:val="32"/>
        </w:rPr>
        <w:t>果皮箱费52万元，增加环卫基础设施费403.4万元；三是通过政府招投标公厕及小型垃圾中转站服务外包费增加130万元。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2.年度预算支出决算及结余</w:t>
      </w:r>
    </w:p>
    <w:tbl>
      <w:tblPr>
        <w:tblStyle w:val="5"/>
        <w:tblW w:w="7950" w:type="dxa"/>
        <w:tblInd w:w="0" w:type="dxa"/>
        <w:shd w:val="clear" w:color="auto" w:fill="auto"/>
        <w:tblLayout w:type="autofit"/>
        <w:tblCellMar>
          <w:top w:w="0" w:type="dxa"/>
          <w:left w:w="0" w:type="dxa"/>
          <w:bottom w:w="0" w:type="dxa"/>
          <w:right w:w="0" w:type="dxa"/>
        </w:tblCellMar>
      </w:tblPr>
      <w:tblGrid>
        <w:gridCol w:w="1738"/>
        <w:gridCol w:w="2268"/>
        <w:gridCol w:w="1983"/>
        <w:gridCol w:w="1961"/>
      </w:tblGrid>
      <w:tr>
        <w:tblPrEx>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预算支出类别</w:t>
            </w:r>
          </w:p>
        </w:tc>
        <w:tc>
          <w:tcPr>
            <w:tcW w:w="227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基本支出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1038</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1038</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0</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项目支出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225</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1333.4</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1108.4</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小计</w:t>
            </w:r>
          </w:p>
        </w:tc>
        <w:tc>
          <w:tcPr>
            <w:tcW w:w="227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1263</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2371.4</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1108.4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决算金额增加的原因：一是城市维护费403万元没有列入年初预算中，由财政局直接拨款到单位；二是2019年县委、县政府创国家卫生城市工作的展开，我县增加餐厨车2台，购买餐厨车及运行费120万元，预算调整安排城区</w:t>
      </w:r>
      <w:r>
        <w:rPr>
          <w:rFonts w:hint="eastAsia" w:ascii="仿宋" w:hAnsi="仿宋" w:eastAsia="仿宋" w:cs="仿宋"/>
          <w:i w:val="0"/>
          <w:caps w:val="0"/>
          <w:color w:val="1E1E1E"/>
          <w:spacing w:val="0"/>
          <w:sz w:val="32"/>
          <w:szCs w:val="32"/>
          <w:lang w:eastAsia="zh-CN"/>
        </w:rPr>
        <w:t>清洗</w:t>
      </w:r>
      <w:r>
        <w:rPr>
          <w:rFonts w:hint="eastAsia" w:ascii="仿宋" w:hAnsi="仿宋" w:eastAsia="仿宋" w:cs="仿宋"/>
          <w:i w:val="0"/>
          <w:caps w:val="0"/>
          <w:color w:val="1E1E1E"/>
          <w:spacing w:val="0"/>
          <w:sz w:val="32"/>
          <w:szCs w:val="32"/>
        </w:rPr>
        <w:t>果皮箱费52万元，增加环卫基础设施费403.4万元；三是通过政府招投标公厕及小型垃圾中转站服务外包费增加130万元。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仿宋" w:hAnsi="仿宋" w:eastAsia="仿宋" w:cs="仿宋"/>
          <w:b w:val="0"/>
          <w:i w:val="0"/>
          <w:caps w:val="0"/>
          <w:color w:val="1E1E1E"/>
          <w:spacing w:val="0"/>
          <w:sz w:val="32"/>
          <w:szCs w:val="32"/>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b w:val="0"/>
          <w:i w:val="0"/>
          <w:caps w:val="0"/>
          <w:color w:val="1E1E1E"/>
          <w:spacing w:val="0"/>
          <w:sz w:val="32"/>
          <w:szCs w:val="32"/>
        </w:rPr>
        <w:t>1、基本支出总额使用和管理</w:t>
      </w:r>
    </w:p>
    <w:tbl>
      <w:tblPr>
        <w:tblStyle w:val="5"/>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r>
              <w:rPr>
                <w:rFonts w:hint="eastAsia" w:ascii="仿宋" w:hAnsi="仿宋" w:eastAsia="仿宋" w:cs="仿宋"/>
                <w:color w:val="000000"/>
                <w:sz w:val="21"/>
                <w:szCs w:val="21"/>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732.2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1047.3</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超支315.1</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202.9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1246.9</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超支1044</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102.9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11.8</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节约91.1</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65.4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超支65.4</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1038</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2371.4</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超支1333.4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2、基本支出中各费用明细支出管理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（1）工资福利支出</w:t>
      </w:r>
    </w:p>
    <w:tbl>
      <w:tblPr>
        <w:tblStyle w:val="5"/>
        <w:tblW w:w="0" w:type="auto"/>
        <w:jc w:val="center"/>
        <w:shd w:val="clear" w:color="auto" w:fill="auto"/>
        <w:tblLayout w:type="autofit"/>
        <w:tblCellMar>
          <w:top w:w="0" w:type="dxa"/>
          <w:left w:w="0" w:type="dxa"/>
          <w:bottom w:w="0" w:type="dxa"/>
          <w:right w:w="0" w:type="dxa"/>
        </w:tblCellMar>
      </w:tblPr>
      <w:tblGrid>
        <w:gridCol w:w="2431"/>
        <w:gridCol w:w="1135"/>
        <w:gridCol w:w="1135"/>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费用项目</w:t>
            </w:r>
          </w:p>
        </w:tc>
        <w:tc>
          <w:tcPr>
            <w:tcW w:w="1135"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预算金额</w:t>
            </w:r>
          </w:p>
        </w:tc>
        <w:tc>
          <w:tcPr>
            <w:tcW w:w="1135"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节约/超支金额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基本工资</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301.9</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328.2</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26.3</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8.71%</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津贴补贴</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40</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40</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奖金</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25.2</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194.8</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169.6</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673.02%</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伙食补助费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绩效工资</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157.5</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381</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223.5</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141.90%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机关事业单位基本养老保险缴费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105.3</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35.6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-69.7</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-66.19%</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职业年金缴费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职工基本医疗保险缴费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34.1</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-34.1</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-100.00%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公务员医疗补助缴费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其他社会保障缴费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10.1</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-10.1</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-100.00%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住房公积金</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58.1</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-58.1</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-100.00%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医疗费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其他工资福利支出</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40</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67.7</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27.7</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69.25%</w:t>
            </w:r>
          </w:p>
        </w:tc>
      </w:tr>
      <w:tr>
        <w:tblPrEx>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合计</w:t>
            </w:r>
          </w:p>
        </w:tc>
        <w:tc>
          <w:tcPr>
            <w:tcW w:w="113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732.2</w:t>
            </w:r>
          </w:p>
        </w:tc>
        <w:tc>
          <w:tcPr>
            <w:tcW w:w="113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1047.3</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315.1</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43.03%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20" w:right="0" w:firstLine="486"/>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基本工资增加的原因：2019年职工调级，基本工资增加，补发职工调级工资增加。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（2）商品和服务支出</w:t>
      </w:r>
    </w:p>
    <w:tbl>
      <w:tblPr>
        <w:tblStyle w:val="5"/>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项目</w:t>
            </w:r>
            <w:bookmarkStart w:id="0" w:name="_GoBack"/>
            <w:bookmarkEnd w:id="0"/>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18.5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-1.5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-7.5%</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水费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6.4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-3.6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-36%</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12.8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2.8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28%</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6.9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6.9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70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-70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-2.9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-96.67%</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119.4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119.4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27.2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-6.8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-20%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2.7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135%</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textAlignment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51.9</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1050.9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999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1924.86%</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202.9</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1246.9</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1044</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Calibri" w:hAnsi="Calibri" w:cs="Calibri"/>
                <w:sz w:val="21"/>
                <w:szCs w:val="21"/>
              </w:rPr>
            </w:pPr>
            <w:r>
              <w:rPr>
                <w:rFonts w:hint="eastAsia" w:ascii="宋体" w:hAnsi="宋体" w:eastAsia="宋体" w:cs="宋体"/>
                <w:color w:val="000000"/>
                <w:sz w:val="22"/>
                <w:szCs w:val="22"/>
              </w:rPr>
              <w:t>514.54%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委托业务费为：河道清理费67万元，</w:t>
      </w:r>
      <w:r>
        <w:rPr>
          <w:rFonts w:hint="eastAsia" w:ascii="仿宋" w:hAnsi="仿宋" w:eastAsia="仿宋" w:cs="仿宋"/>
          <w:i w:val="0"/>
          <w:caps w:val="0"/>
          <w:color w:val="1E1E1E"/>
          <w:spacing w:val="0"/>
          <w:sz w:val="32"/>
          <w:szCs w:val="32"/>
          <w:lang w:eastAsia="zh-CN"/>
        </w:rPr>
        <w:t>清洗</w:t>
      </w:r>
      <w:r>
        <w:rPr>
          <w:rFonts w:hint="eastAsia" w:ascii="仿宋" w:hAnsi="仿宋" w:eastAsia="仿宋" w:cs="仿宋"/>
          <w:i w:val="0"/>
          <w:caps w:val="0"/>
          <w:color w:val="1E1E1E"/>
          <w:spacing w:val="0"/>
          <w:sz w:val="32"/>
          <w:szCs w:val="32"/>
        </w:rPr>
        <w:t>果箱费52万元。年初没有列入委托业务费中，财务记账委托业务费，所以决算数增加。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（3）对个人和家庭的补助</w:t>
      </w:r>
    </w:p>
    <w:tbl>
      <w:tblPr>
        <w:tblStyle w:val="5"/>
        <w:tblW w:w="8370" w:type="dxa"/>
        <w:tblInd w:w="0" w:type="dxa"/>
        <w:shd w:val="clear" w:color="auto" w:fill="auto"/>
        <w:tblLayout w:type="autofit"/>
        <w:tblCellMar>
          <w:top w:w="0" w:type="dxa"/>
          <w:left w:w="0" w:type="dxa"/>
          <w:bottom w:w="0" w:type="dxa"/>
          <w:right w:w="0" w:type="dxa"/>
        </w:tblCellMar>
      </w:tblPr>
      <w:tblGrid>
        <w:gridCol w:w="1817"/>
        <w:gridCol w:w="1539"/>
        <w:gridCol w:w="1561"/>
        <w:gridCol w:w="1876"/>
        <w:gridCol w:w="1577"/>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101.9</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3.7</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结余98.2</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96.4%</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FF0000"/>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FF0000"/>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医疗费补助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个人农业生产补贴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7.1</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超支7.1</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102.9</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11.8</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结余91.1</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88.53%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退休费超支的原因：退休人员的退休工资及生活补助预算金额财政直接拨社保发放，单位没有做账，决算数没有，所以超支。其他对个人和家庭的补助支出决算数为单位发放给退休职工老年节补助和春节慰问金。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（二）“三公经费”支出使用和管理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1、“三公经费”预算执行</w:t>
      </w:r>
    </w:p>
    <w:tbl>
      <w:tblPr>
        <w:tblStyle w:val="5"/>
        <w:tblW w:w="8430" w:type="dxa"/>
        <w:jc w:val="center"/>
        <w:shd w:val="clear" w:color="auto" w:fill="auto"/>
        <w:tblLayout w:type="autofit"/>
        <w:tblCellMar>
          <w:top w:w="0" w:type="dxa"/>
          <w:left w:w="0" w:type="dxa"/>
          <w:bottom w:w="0" w:type="dxa"/>
          <w:right w:w="0" w:type="dxa"/>
        </w:tblCellMar>
      </w:tblPr>
      <w:tblGrid>
        <w:gridCol w:w="1631"/>
        <w:gridCol w:w="1064"/>
        <w:gridCol w:w="1124"/>
        <w:gridCol w:w="1004"/>
        <w:gridCol w:w="1169"/>
        <w:gridCol w:w="1148"/>
        <w:gridCol w:w="1290"/>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结余/超支</w:t>
            </w:r>
          </w:p>
        </w:tc>
      </w:tr>
      <w:tr>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项目支出</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0.1</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结余0.9</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5</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4.7</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结余0.3</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0</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0</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r>
        <w:tblPrEx>
          <w:shd w:val="clear" w:color="auto" w:fill="auto"/>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6</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0</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4.8</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结余1.2</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00"/>
        <w:jc w:val="both"/>
        <w:rPr>
          <w:rFonts w:hint="default" w:ascii="Calibri" w:hAnsi="Calibri" w:cs="Calibri"/>
          <w:sz w:val="21"/>
          <w:szCs w:val="21"/>
        </w:rPr>
      </w:pPr>
      <w:r>
        <w:rPr>
          <w:rFonts w:hint="eastAsia" w:ascii="仿宋" w:hAnsi="仿宋" w:eastAsia="仿宋" w:cs="仿宋"/>
          <w:i w:val="0"/>
          <w:caps w:val="0"/>
          <w:color w:val="1E1E1E"/>
          <w:spacing w:val="0"/>
          <w:sz w:val="30"/>
          <w:szCs w:val="30"/>
        </w:rPr>
        <w:t>“三公经费”结余的原因：我单位按照中央、省和县委县政府要求，厉行节约，继续严控“三公”经费。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2、“三公经费”与上年度比较</w:t>
      </w:r>
    </w:p>
    <w:tbl>
      <w:tblPr>
        <w:tblStyle w:val="5"/>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0.1</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0.8</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减少0.7</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减少87.5%</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4.7</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2.9</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增加1.8</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增加62.07%</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公务车辆购置费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因公出国(境)费用</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4.8</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3.7</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增加1.1</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00000"/>
                <w:sz w:val="21"/>
                <w:szCs w:val="21"/>
              </w:rPr>
              <w:t>增加29.73%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公务接待费减少原因：</w:t>
      </w:r>
      <w:r>
        <w:rPr>
          <w:rFonts w:hint="eastAsia" w:ascii="仿宋" w:hAnsi="仿宋" w:eastAsia="仿宋" w:cs="仿宋"/>
          <w:i w:val="0"/>
          <w:caps w:val="0"/>
          <w:color w:val="1E1E1E"/>
          <w:spacing w:val="0"/>
          <w:sz w:val="30"/>
          <w:szCs w:val="30"/>
        </w:rPr>
        <w:t>我单位按照中央、省和县委县政府要求，厉行节约，能招待的都放在单位食堂招待。严控公务接待经费。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（三）专项支出管理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1、专项资金基本情况及绩效目标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（一）城市维护费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80" w:right="0" w:firstLine="16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城市维护费的基本情况：城市维护日常运行工作经费、城市管理日常工作经费、城市市政基础设施维修维护费。2019年预算城市维护费403万元，比上年减少27万元。我单位的城市维护费是为顺利完成县城及周边的生活垃圾清收清运处理工作，环卫清收清运工作经费及环卫车辆燃油费及维修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80" w:right="0" w:firstLine="16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城市维护费的绩效目标：生活垃圾清收清运严格实行密闭式运输，逐步将露天式垃圾斗更换成封闭式垃圾箱并做到日产日清。美化城市环境，提高广大群众的居住环境质量。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80" w:right="0" w:firstLine="16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（二）生活垃圾中转站运行经费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80" w:right="0" w:firstLine="16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生活垃圾中转站运行经费的基本情况：2012年我县生活垃圾中转站正式运行，县城及各个乡镇的垃圾都通过生活垃圾中转站压缩后再转运至邵阳填埋场。现共有转运车辆12台，压缩车间2个。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80" w:right="0" w:firstLine="16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生活垃圾中转站运行经费的绩效目标：严格按照《生活垃圾卫生填埋技术规范》等国家标准作业，确保生活垃圾无害化处理率达标，达到日产日清。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80" w:right="0" w:firstLine="16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（三）资江酿溪河道清理及漂浮物清理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资江酿溪河道清理及漂浮物清理的基本情况：我县从</w:t>
      </w:r>
      <w:r>
        <w:rPr>
          <w:rFonts w:hint="eastAsia" w:ascii="仿宋" w:hAnsi="仿宋" w:eastAsia="仿宋" w:cs="仿宋"/>
          <w:i w:val="0"/>
          <w:caps w:val="0"/>
          <w:color w:val="000000"/>
          <w:spacing w:val="0"/>
          <w:sz w:val="32"/>
          <w:szCs w:val="32"/>
        </w:rPr>
        <w:t>2016年开始推行河道卫生长效管理机制，实行水面垃圾承包清理，将河道垃圾水草日常清理工作承包给有能力有资质的清理人员进行，并安排专人对清理工作进行督查考核，建立了河道卫生清理督查考核台账。2019年预算经费80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资江酿溪河道清理及漂浮物清理的绩效目标：</w:t>
      </w:r>
      <w:r>
        <w:rPr>
          <w:rFonts w:hint="eastAsia" w:ascii="仿宋" w:hAnsi="仿宋" w:eastAsia="仿宋" w:cs="仿宋"/>
          <w:i w:val="0"/>
          <w:caps w:val="0"/>
          <w:color w:val="000000"/>
          <w:spacing w:val="0"/>
          <w:sz w:val="32"/>
          <w:szCs w:val="32"/>
        </w:rPr>
        <w:t>河道及两岸干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净整洁，无水草和漂浮物，水质清澈，美化河道环境。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    （四）公厕及小型垃圾中转站外包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    公厕及小型垃圾中转站外包的基本情况：2017年开始随着我县创市级卫生城市、创省级卫生城市工作的开展，为达到卫生城市的标准，我县</w:t>
      </w:r>
      <w:r>
        <w:rPr>
          <w:rFonts w:hint="eastAsia" w:ascii="仿宋" w:hAnsi="仿宋" w:eastAsia="仿宋" w:cs="仿宋"/>
          <w:i w:val="0"/>
          <w:caps w:val="0"/>
          <w:color w:val="1E1E1E"/>
          <w:spacing w:val="0"/>
          <w:sz w:val="32"/>
          <w:szCs w:val="32"/>
        </w:rPr>
        <w:t>推进城区公厕及小型生活垃圾中转站的建设和改造工作。2019年稳步推进公厕及小型生活垃圾中转站建设和改造工作，积极主动协调好各种矛盾，确保公厕及小型生活垃圾中转站建设和改造工作如期完成。完善各项管理制度，切实维护、管理好每一座建成的公厕和垃圾中转站，经县委、县政府批准公厕及小型垃圾中转站实行服务外包。2019年预算经费130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    公厕及小型垃圾中转站外包的绩效目标：公厕及小型垃圾中转室内及四周干净，无垃圾，无臭味，无杂草。提高县城环境卫生质量，提升群众居住环境水平。           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eastAsia" w:ascii="Calibri" w:hAnsi="Calibri" w:eastAsia="仿宋" w:cs="Calibri"/>
          <w:sz w:val="21"/>
          <w:szCs w:val="21"/>
          <w:lang w:eastAsia="zh-CN"/>
        </w:rPr>
      </w:pPr>
      <w:r>
        <w:rPr>
          <w:rFonts w:hint="eastAsia" w:ascii="仿宋" w:hAnsi="仿宋" w:eastAsia="仿宋" w:cs="仿宋"/>
          <w:i w:val="0"/>
          <w:caps w:val="0"/>
          <w:color w:val="000000"/>
          <w:spacing w:val="0"/>
          <w:sz w:val="32"/>
          <w:szCs w:val="32"/>
        </w:rPr>
        <w:t>   （五）城区内果皮箱</w:t>
      </w:r>
      <w:r>
        <w:rPr>
          <w:rFonts w:hint="eastAsia" w:ascii="仿宋" w:hAnsi="仿宋" w:eastAsia="仿宋" w:cs="仿宋"/>
          <w:i w:val="0"/>
          <w:caps w:val="0"/>
          <w:color w:val="000000"/>
          <w:spacing w:val="0"/>
          <w:sz w:val="32"/>
          <w:szCs w:val="32"/>
          <w:lang w:eastAsia="zh-CN"/>
        </w:rPr>
        <w:t>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    城区内果皮箱</w:t>
      </w:r>
      <w:r>
        <w:rPr>
          <w:rFonts w:hint="eastAsia" w:ascii="仿宋" w:hAnsi="仿宋" w:eastAsia="仿宋" w:cs="仿宋"/>
          <w:i w:val="0"/>
          <w:caps w:val="0"/>
          <w:color w:val="000000"/>
          <w:spacing w:val="0"/>
          <w:sz w:val="32"/>
          <w:szCs w:val="32"/>
          <w:lang w:eastAsia="zh-CN"/>
        </w:rPr>
        <w:t>清洗</w:t>
      </w:r>
      <w:r>
        <w:rPr>
          <w:rFonts w:hint="eastAsia" w:ascii="仿宋" w:hAnsi="仿宋" w:eastAsia="仿宋" w:cs="仿宋"/>
          <w:i w:val="0"/>
          <w:caps w:val="0"/>
          <w:color w:val="000000"/>
          <w:spacing w:val="0"/>
          <w:sz w:val="32"/>
          <w:szCs w:val="32"/>
        </w:rPr>
        <w:t>的基本情况：2018年创建省级卫生县城，我县城区大街小巷都安装了美观大方的新型果皮箱，为保证果皮箱干净，2019年县财政按照2007年《湖南省环境卫生工作费用定额标准》进行测算，城区共750个果皮箱的</w:t>
      </w:r>
      <w:r>
        <w:rPr>
          <w:rFonts w:hint="eastAsia" w:ascii="仿宋" w:hAnsi="仿宋" w:eastAsia="仿宋" w:cs="仿宋"/>
          <w:i w:val="0"/>
          <w:caps w:val="0"/>
          <w:color w:val="000000"/>
          <w:spacing w:val="0"/>
          <w:sz w:val="32"/>
          <w:szCs w:val="32"/>
          <w:lang w:eastAsia="zh-CN"/>
        </w:rPr>
        <w:t>清洗</w:t>
      </w:r>
      <w:r>
        <w:rPr>
          <w:rFonts w:hint="eastAsia" w:ascii="仿宋" w:hAnsi="仿宋" w:eastAsia="仿宋" w:cs="仿宋"/>
          <w:i w:val="0"/>
          <w:caps w:val="0"/>
          <w:color w:val="000000"/>
          <w:spacing w:val="0"/>
          <w:sz w:val="32"/>
          <w:szCs w:val="32"/>
        </w:rPr>
        <w:t>及消毒灭蝇预算经费为52万元。为确保果皮箱干净漂亮实行服务外包，承包公司安排</w:t>
      </w:r>
      <w:r>
        <w:rPr>
          <w:rFonts w:hint="eastAsia" w:ascii="仿宋" w:hAnsi="仿宋" w:eastAsia="仿宋" w:cs="仿宋"/>
          <w:i w:val="0"/>
          <w:caps w:val="0"/>
          <w:color w:val="000000"/>
          <w:spacing w:val="0"/>
          <w:sz w:val="32"/>
          <w:szCs w:val="32"/>
          <w:lang w:eastAsia="zh-CN"/>
        </w:rPr>
        <w:t>清洗</w:t>
      </w:r>
      <w:r>
        <w:rPr>
          <w:rFonts w:hint="eastAsia" w:ascii="仿宋" w:hAnsi="仿宋" w:eastAsia="仿宋" w:cs="仿宋"/>
          <w:i w:val="0"/>
          <w:caps w:val="0"/>
          <w:color w:val="000000"/>
          <w:spacing w:val="0"/>
          <w:sz w:val="32"/>
          <w:szCs w:val="32"/>
        </w:rPr>
        <w:t>车辆及人员对果皮箱进行清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    冼和维护。城区内果皮箱</w:t>
      </w:r>
      <w:r>
        <w:rPr>
          <w:rFonts w:hint="eastAsia" w:ascii="仿宋" w:hAnsi="仿宋" w:eastAsia="仿宋" w:cs="仿宋"/>
          <w:i w:val="0"/>
          <w:caps w:val="0"/>
          <w:color w:val="000000"/>
          <w:spacing w:val="0"/>
          <w:sz w:val="32"/>
          <w:szCs w:val="32"/>
          <w:lang w:eastAsia="zh-CN"/>
        </w:rPr>
        <w:t>清洗</w:t>
      </w:r>
      <w:r>
        <w:rPr>
          <w:rFonts w:hint="eastAsia" w:ascii="仿宋" w:hAnsi="仿宋" w:eastAsia="仿宋" w:cs="仿宋"/>
          <w:i w:val="0"/>
          <w:caps w:val="0"/>
          <w:color w:val="000000"/>
          <w:spacing w:val="0"/>
          <w:sz w:val="32"/>
          <w:szCs w:val="32"/>
        </w:rPr>
        <w:t>的绩效目标：果皮箱干净漂亮，四周无垃圾杂草，提高县城环境水平，美化县城，提升群众的居住环境质量。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（六）餐厨车购买及运行经费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    餐厨车购买及运行经费的基本情况：为进一步提升我县城市形象，消除食品安全隐患，保障百姓健康，加强非洲猪瘟防控工作落实，根据县委、县政府统一部署，对我县城区餐厨圾加强监管和统一处置。2019年财政预算经费120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40" w:right="0" w:hanging="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    餐厨车购买及运行经费的绩效目标：对我县城区餐厨垃圾统一收集、统一运输、科学处理，保障百姓健康。</w:t>
      </w:r>
      <w:r>
        <w:rPr>
          <w:rFonts w:hint="eastAsia" w:ascii="仿宋" w:hAnsi="仿宋" w:eastAsia="仿宋" w:cs="仿宋"/>
          <w:i w:val="0"/>
          <w:caps w:val="0"/>
          <w:color w:val="313131"/>
          <w:spacing w:val="0"/>
          <w:sz w:val="30"/>
          <w:szCs w:val="30"/>
        </w:rPr>
        <w:t>提高市民生活质量和幸福指数，促进社会经济的综合发展。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2、专项资金预算执行</w:t>
      </w:r>
    </w:p>
    <w:tbl>
      <w:tblPr>
        <w:tblStyle w:val="5"/>
        <w:tblW w:w="0" w:type="auto"/>
        <w:tblInd w:w="0" w:type="dxa"/>
        <w:shd w:val="clear" w:color="auto" w:fill="auto"/>
        <w:tblLayout w:type="autofit"/>
        <w:tblCellMar>
          <w:top w:w="0" w:type="dxa"/>
          <w:left w:w="0" w:type="dxa"/>
          <w:bottom w:w="0" w:type="dxa"/>
          <w:right w:w="0" w:type="dxa"/>
        </w:tblCellMar>
      </w:tblPr>
      <w:tblGrid>
        <w:gridCol w:w="2402"/>
        <w:gridCol w:w="623"/>
        <w:gridCol w:w="555"/>
        <w:gridCol w:w="572"/>
        <w:gridCol w:w="654"/>
        <w:gridCol w:w="701"/>
        <w:gridCol w:w="1014"/>
        <w:gridCol w:w="1815"/>
      </w:tblGrid>
      <w:tr>
        <w:tblPrEx>
          <w:shd w:val="clear" w:color="auto" w:fill="auto"/>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专项子目名称</w:t>
            </w:r>
          </w:p>
        </w:tc>
        <w:tc>
          <w:tcPr>
            <w:tcW w:w="2421"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本年预算可用指标</w:t>
            </w:r>
          </w:p>
        </w:tc>
        <w:tc>
          <w:tcPr>
            <w:tcW w:w="725"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本年实际支出</w:t>
            </w:r>
          </w:p>
        </w:tc>
        <w:tc>
          <w:tcPr>
            <w:tcW w:w="1089"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本年结余</w:t>
            </w:r>
          </w:p>
        </w:tc>
        <w:tc>
          <w:tcPr>
            <w:tcW w:w="2021" w:type="dxa"/>
            <w:vMerge w:val="restart"/>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投入进度</w:t>
            </w:r>
          </w:p>
        </w:tc>
      </w:tr>
      <w:tr>
        <w:tblPrEx>
          <w:shd w:val="clear" w:color="auto" w:fill="auto"/>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上年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结余</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年初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预算</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本年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追加</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合计</w:t>
            </w:r>
          </w:p>
        </w:tc>
        <w:tc>
          <w:tcPr>
            <w:tcW w:w="725"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9"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021" w:type="dxa"/>
            <w:vMerge w:val="continue"/>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资江酿溪河道清理及漂浮物清理</w:t>
            </w: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80</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80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80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按合同每月付款</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清扫保洁市场化运作</w:t>
            </w: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15</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15</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15</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按进度拨款</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公厕及小型垃圾中转站外包</w:t>
            </w: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130</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130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130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按合同每月付款</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餐厨垃圾车购买及运行工作经费</w:t>
            </w: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120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120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120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按进度拨款</w:t>
            </w:r>
          </w:p>
        </w:tc>
      </w:tr>
      <w:tr>
        <w:tblPrEx>
          <w:shd w:val="clear" w:color="auto" w:fill="auto"/>
          <w:tblCellMar>
            <w:top w:w="0" w:type="dxa"/>
            <w:left w:w="0" w:type="dxa"/>
            <w:bottom w:w="0" w:type="dxa"/>
            <w:right w:w="0" w:type="dxa"/>
          </w:tblCellMar>
        </w:tblPrEx>
        <w:trPr>
          <w:trHeight w:val="440" w:hRule="atLeast"/>
        </w:trPr>
        <w:tc>
          <w:tcPr>
            <w:tcW w:w="270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eastAsia" w:ascii="Calibri" w:hAnsi="Calibri" w:eastAsia="仿宋" w:cs="Calibri"/>
                <w:sz w:val="21"/>
                <w:szCs w:val="21"/>
                <w:lang w:eastAsia="zh-CN"/>
              </w:rPr>
            </w:pPr>
            <w:r>
              <w:rPr>
                <w:rFonts w:hint="eastAsia" w:ascii="仿宋" w:hAnsi="仿宋" w:eastAsia="仿宋" w:cs="仿宋"/>
                <w:color w:val="010101"/>
                <w:sz w:val="21"/>
                <w:szCs w:val="21"/>
              </w:rPr>
              <w:t>城区果皮箱</w:t>
            </w:r>
            <w:r>
              <w:rPr>
                <w:rFonts w:hint="eastAsia" w:ascii="仿宋" w:hAnsi="仿宋" w:eastAsia="仿宋" w:cs="仿宋"/>
                <w:color w:val="010101"/>
                <w:sz w:val="21"/>
                <w:szCs w:val="21"/>
                <w:lang w:eastAsia="zh-CN"/>
              </w:rPr>
              <w:t>清洗</w:t>
            </w: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52</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52</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52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202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按合同每月付款</w:t>
            </w:r>
          </w:p>
        </w:tc>
      </w:tr>
      <w:tr>
        <w:tblPrEx>
          <w:shd w:val="clear" w:color="auto" w:fill="auto"/>
          <w:tblCellMar>
            <w:top w:w="0" w:type="dxa"/>
            <w:left w:w="0" w:type="dxa"/>
            <w:bottom w:w="0" w:type="dxa"/>
            <w:right w:w="0" w:type="dxa"/>
          </w:tblCellMar>
        </w:tblPrEx>
        <w:trPr>
          <w:trHeight w:val="440" w:hRule="atLeast"/>
        </w:trPr>
        <w:tc>
          <w:tcPr>
            <w:tcW w:w="270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城市维护费</w:t>
            </w: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403</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403</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403</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202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按进度拨款</w:t>
            </w:r>
          </w:p>
        </w:tc>
      </w:tr>
      <w:tr>
        <w:tblPrEx>
          <w:shd w:val="clear" w:color="auto" w:fill="auto"/>
          <w:tblCellMar>
            <w:top w:w="0" w:type="dxa"/>
            <w:left w:w="0" w:type="dxa"/>
            <w:bottom w:w="0" w:type="dxa"/>
            <w:right w:w="0" w:type="dxa"/>
          </w:tblCellMar>
        </w:tblPrEx>
        <w:trPr>
          <w:trHeight w:val="440" w:hRule="atLeast"/>
        </w:trPr>
        <w:tc>
          <w:tcPr>
            <w:tcW w:w="270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生活垃圾中转站运行经费</w:t>
            </w: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600</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600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600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202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按进度拨款</w:t>
            </w:r>
          </w:p>
        </w:tc>
      </w:tr>
      <w:tr>
        <w:tblPrEx>
          <w:shd w:val="clear" w:color="auto" w:fill="auto"/>
          <w:tblCellMar>
            <w:top w:w="0" w:type="dxa"/>
            <w:left w:w="0" w:type="dxa"/>
            <w:bottom w:w="0" w:type="dxa"/>
            <w:right w:w="0" w:type="dxa"/>
          </w:tblCellMar>
        </w:tblPrEx>
        <w:trPr>
          <w:trHeight w:val="440" w:hRule="atLeast"/>
        </w:trPr>
        <w:tc>
          <w:tcPr>
            <w:tcW w:w="270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小计</w:t>
            </w:r>
          </w:p>
        </w:tc>
        <w:tc>
          <w:tcPr>
            <w:tcW w:w="6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54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1228</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172</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1400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1400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c>
          <w:tcPr>
            <w:tcW w:w="202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仿宋" w:hAnsi="仿宋" w:eastAsia="仿宋" w:cs="仿宋"/>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both"/>
        <w:rPr>
          <w:rFonts w:hint="default" w:ascii="Calibri" w:hAnsi="Calibri" w:cs="Calibri"/>
          <w:sz w:val="21"/>
          <w:szCs w:val="21"/>
        </w:rPr>
      </w:pPr>
      <w:r>
        <w:rPr>
          <w:rFonts w:hint="eastAsia" w:ascii="仿宋" w:hAnsi="仿宋" w:eastAsia="仿宋" w:cs="仿宋"/>
          <w:b w:val="0"/>
          <w:i w:val="0"/>
          <w:caps w:val="0"/>
          <w:color w:val="1E1E1E"/>
          <w:spacing w:val="0"/>
          <w:sz w:val="32"/>
          <w:szCs w:val="32"/>
        </w:rPr>
        <w:t>四、部门整体支出绩效评价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0" w:firstLine="300"/>
        <w:jc w:val="left"/>
        <w:rPr>
          <w:rFonts w:hint="default" w:ascii="Calibri" w:hAnsi="Calibri" w:cs="Calibri"/>
          <w:sz w:val="21"/>
          <w:szCs w:val="21"/>
        </w:rPr>
      </w:pPr>
      <w:r>
        <w:rPr>
          <w:rFonts w:hint="eastAsia" w:ascii="仿宋" w:hAnsi="仿宋" w:eastAsia="仿宋" w:cs="仿宋"/>
          <w:i w:val="0"/>
          <w:caps w:val="0"/>
          <w:color w:val="343434"/>
          <w:spacing w:val="0"/>
          <w:sz w:val="30"/>
          <w:szCs w:val="30"/>
        </w:rPr>
        <w:t>2019年，在县委、县政府和上级主管局的正确领导下，我们紧紧围绕年度目标任务，团结拼搏，锐意进取，扎实工作，全面完成了各项工作任务。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hanging="150"/>
        <w:jc w:val="both"/>
        <w:rPr>
          <w:rFonts w:hint="default" w:ascii="Calibri" w:hAnsi="Calibri" w:cs="Calibri"/>
          <w:sz w:val="21"/>
          <w:szCs w:val="21"/>
        </w:rPr>
      </w:pPr>
      <w:r>
        <w:rPr>
          <w:rFonts w:hint="eastAsia" w:ascii="仿宋" w:hAnsi="仿宋" w:eastAsia="仿宋" w:cs="仿宋"/>
          <w:i w:val="0"/>
          <w:caps w:val="0"/>
          <w:color w:val="343434"/>
          <w:spacing w:val="0"/>
          <w:sz w:val="30"/>
          <w:szCs w:val="30"/>
        </w:rPr>
        <w:t>1、加强清扫保洁督查考核力度。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600"/>
        <w:jc w:val="both"/>
        <w:rPr>
          <w:rFonts w:hint="default" w:ascii="Calibri" w:hAnsi="Calibri" w:cs="Calibri"/>
          <w:sz w:val="21"/>
          <w:szCs w:val="21"/>
        </w:rPr>
      </w:pPr>
      <w:r>
        <w:rPr>
          <w:rFonts w:hint="eastAsia" w:ascii="仿宋" w:hAnsi="仿宋" w:eastAsia="仿宋" w:cs="仿宋"/>
          <w:i w:val="0"/>
          <w:caps w:val="0"/>
          <w:color w:val="343434"/>
          <w:spacing w:val="0"/>
          <w:sz w:val="30"/>
          <w:szCs w:val="30"/>
        </w:rPr>
        <w:t>2019年我们继续推行清扫保洁市场化运作模式，清扫保洁总面积为1463133.4平方米。我所加强了督查考核力度，建立了三级督查考核机制，即：县环卫所进行日常督查考核；主管局每月进行抽查；组织人大代表、政协委员、居民代表每月进行一次社会督查。2019年我县城区清扫保洁工作取得了突破性的进展，环境卫生水平得到了明显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0"/>
        <w:jc w:val="both"/>
        <w:rPr>
          <w:rFonts w:hint="default" w:ascii="Calibri" w:hAnsi="Calibri" w:cs="Calibri"/>
          <w:sz w:val="21"/>
          <w:szCs w:val="21"/>
        </w:rPr>
      </w:pPr>
      <w:r>
        <w:rPr>
          <w:rFonts w:hint="eastAsia" w:ascii="仿宋" w:hAnsi="仿宋" w:eastAsia="仿宋" w:cs="仿宋"/>
          <w:i w:val="0"/>
          <w:caps w:val="0"/>
          <w:color w:val="343434"/>
          <w:spacing w:val="0"/>
          <w:sz w:val="30"/>
          <w:szCs w:val="30"/>
        </w:rPr>
        <w:t>2、扎实开展生活垃圾中转站运行顺利完成生活垃圾清收清运及压缩转运任务。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600"/>
        <w:jc w:val="both"/>
        <w:rPr>
          <w:rFonts w:hint="default" w:ascii="Calibri" w:hAnsi="Calibri" w:cs="Calibri"/>
          <w:sz w:val="21"/>
          <w:szCs w:val="21"/>
        </w:rPr>
      </w:pPr>
      <w:r>
        <w:rPr>
          <w:rFonts w:hint="eastAsia" w:ascii="仿宋" w:hAnsi="仿宋" w:eastAsia="仿宋" w:cs="仿宋"/>
          <w:i w:val="0"/>
          <w:caps w:val="0"/>
          <w:color w:val="343434"/>
          <w:spacing w:val="0"/>
          <w:sz w:val="30"/>
          <w:szCs w:val="30"/>
        </w:rPr>
        <w:t>2019年财政预算生活垃圾转运与压缩资金共1200万元，其中中转站生产运行资金600万元，生活垃圾压缩转运费及卫生填埋处理费600万元，2019年随着创省级卫生城市工作展开，各个乡镇的垃圾都运送至生活垃圾中转站压缩与转运，全年共完成生活垃圾清收清运及压缩转运量达60000余吨，比上年增加20000余吨。县城生活垃圾无害化处理率达96%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0"/>
        <w:jc w:val="both"/>
        <w:rPr>
          <w:rFonts w:hint="default" w:ascii="Calibri" w:hAnsi="Calibri" w:cs="Calibri"/>
          <w:sz w:val="21"/>
          <w:szCs w:val="21"/>
        </w:rPr>
      </w:pPr>
      <w:r>
        <w:rPr>
          <w:rFonts w:hint="eastAsia" w:ascii="仿宋" w:hAnsi="仿宋" w:eastAsia="仿宋" w:cs="仿宋"/>
          <w:i w:val="0"/>
          <w:caps w:val="0"/>
          <w:color w:val="343434"/>
          <w:spacing w:val="0"/>
          <w:sz w:val="30"/>
          <w:szCs w:val="30"/>
        </w:rPr>
        <w:t>3、加强河道卫生管理，建立河道卫生长效管理机制。加强市容监察管理，加强环卫有偿服务费收取力度。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50" w:right="0" w:firstLine="150"/>
        <w:jc w:val="both"/>
        <w:rPr>
          <w:rFonts w:hint="default" w:ascii="Calibri" w:hAnsi="Calibri" w:cs="Calibri"/>
          <w:sz w:val="21"/>
          <w:szCs w:val="21"/>
        </w:rPr>
      </w:pPr>
      <w:r>
        <w:rPr>
          <w:rFonts w:hint="eastAsia" w:ascii="仿宋" w:hAnsi="仿宋" w:eastAsia="仿宋" w:cs="仿宋"/>
          <w:i w:val="0"/>
          <w:caps w:val="0"/>
          <w:color w:val="343434"/>
          <w:spacing w:val="0"/>
          <w:sz w:val="30"/>
          <w:szCs w:val="30"/>
        </w:rPr>
        <w:t>为保证酿溪、资江两河河道及两岸卫生干净整洁，我所继续推行河道卫生长效管理机制，实行水面垃圾承包清理，将河道垃圾水草日常清理工作承包给有能力有资质的清理人员进行，2019年度承包总金额为580800元。两河河道日常清理工作正常进行，河道及两岸干净整洁，无水草和漂浮物，水质清澈，得到了广大居民群众的一致好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4、扎实开展市级卫生县城创建工作，推进城区公厕及小型生活垃圾中转站的建设和改造工作。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一维修改造公厕方面：实际合同签订改造的8座目前</w:t>
      </w:r>
      <w:r>
        <w:rPr>
          <w:rFonts w:hint="eastAsia" w:ascii="仿宋" w:hAnsi="仿宋" w:eastAsia="仿宋" w:cs="仿宋"/>
          <w:i w:val="0"/>
          <w:caps w:val="0"/>
          <w:color w:val="1E1E1E"/>
          <w:spacing w:val="0"/>
          <w:sz w:val="32"/>
          <w:szCs w:val="32"/>
          <w:lang w:eastAsia="zh-CN"/>
        </w:rPr>
        <w:t>已完成</w:t>
      </w:r>
      <w:r>
        <w:rPr>
          <w:rFonts w:hint="eastAsia" w:ascii="仿宋" w:hAnsi="仿宋" w:eastAsia="仿宋" w:cs="仿宋"/>
          <w:i w:val="0"/>
          <w:caps w:val="0"/>
          <w:color w:val="1E1E1E"/>
          <w:spacing w:val="0"/>
          <w:sz w:val="32"/>
          <w:szCs w:val="32"/>
        </w:rPr>
        <w:t>改造维修5座，其余3座：资江门球场公厕因风光带建设拟拆、老公安局对面公厕外包未达成维修共识暂未改造，大礼堂旁公厕因人防工程道路因暂未改造，后经领导研究拟拆除重建。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二新建公厕与垃圾中转站方面：14座新建公厕与垃圾中转站自2017年9月动工以来，其中８座已建成并通过验收，有２座已完成主体建造。另湾田广场、城市花园、金盾小区和等3座因故移址改建或缓建，思源学校旁公厕矛盾解决12月初已开工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5、党建工作扎实开展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认真组织“两学一做”</w:t>
      </w:r>
      <w:r>
        <w:rPr>
          <w:rFonts w:hint="eastAsia" w:ascii="仿宋" w:hAnsi="仿宋" w:eastAsia="仿宋" w:cs="仿宋"/>
          <w:i w:val="0"/>
          <w:caps w:val="0"/>
          <w:color w:val="000000"/>
          <w:spacing w:val="0"/>
          <w:sz w:val="32"/>
          <w:szCs w:val="32"/>
          <w:lang w:val="en-US" w:eastAsia="zh-CN"/>
        </w:rPr>
        <w:t>学习</w:t>
      </w:r>
      <w:r>
        <w:rPr>
          <w:rFonts w:hint="eastAsia" w:ascii="仿宋" w:hAnsi="仿宋" w:eastAsia="仿宋" w:cs="仿宋"/>
          <w:i w:val="0"/>
          <w:caps w:val="0"/>
          <w:color w:val="000000"/>
          <w:spacing w:val="0"/>
          <w:sz w:val="32"/>
          <w:szCs w:val="32"/>
        </w:rPr>
        <w:t>教育，召开动员会，制订学习计划，组织专题学习和讨论。严格落实各项党建制度。回顾一年的工作，有亮点、有突破、有提升，得到了县委、县政府和主管单位的充分肯定。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前面通过对部门整体支出情况的概述和实际支出情况的分析，部门整体支出绩效目标管理情况评价如下：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    （一）经济性评价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32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2019年环卫服务中心严格按照预算编制支付各项费用，未出现无预算支付的现象，财务工作规范有序，严格按上级文件精神办理事项，资金专款专用，绩效突出。所有服务外包项目程序规范，均按法定程序上报审批、公开比选、招投标，无暗箱操作。所有项目均由专人领导负责管理，及时发现并处理工作中存在的问题，为项目优质高效地完成提供了有力保障。包括预算配置方面、预算执</w:t>
      </w:r>
      <w:r>
        <w:rPr>
          <w:rFonts w:hint="eastAsia" w:ascii="仿宋" w:hAnsi="仿宋" w:eastAsia="仿宋" w:cs="仿宋"/>
          <w:i w:val="0"/>
          <w:caps w:val="0"/>
          <w:color w:val="1E1E1E"/>
          <w:spacing w:val="0"/>
          <w:sz w:val="32"/>
          <w:szCs w:val="32"/>
        </w:rPr>
        <w:t>行方面等。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（二）行政效能评价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0" w:right="0" w:firstLine="64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2019年度新邵县环境卫生服务中心紧紧围绕县委、县政府的部署安排下，在县城管局指导下，以不断提高县城环境卫生管理水平和服务质量为目标，加强党组织建设和内部管理、扎实有效开展精准扶贫及群众工作站工作、勇当创建省级县城行动主力军、积极推进公厕和小型生活垃圾中转站建设和改造、继续推行清扫保洁市场化运作模式、加强清扫保洁督查考核力度、稳步推进生活垃圾无害化处理工作、建立河道卫生长效管理机制、加大环卫基础设施投入力度、加强环境卫生知识宣传力度。各部门制定了详细的工作制度，并严格按规章制度执行。全体职工团结拼搏，攻坚克难，获得了创国卫突出贡献单位的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48" w:right="0" w:hanging="147"/>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    （三）项目产出及实现的社会效益，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38" w:right="0" w:firstLine="16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2019年环卫服务中心所有项目在县委、县政府的规范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38" w:right="0" w:firstLine="16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中，在上级主管局的监管下，圆满完成。2019年我县创国家级卫生城市成功，大大</w:t>
      </w:r>
      <w:r>
        <w:rPr>
          <w:rFonts w:hint="eastAsia" w:ascii="仿宋" w:hAnsi="仿宋" w:eastAsia="仿宋" w:cs="仿宋"/>
          <w:i w:val="0"/>
          <w:caps w:val="0"/>
          <w:color w:val="313131"/>
          <w:spacing w:val="0"/>
          <w:sz w:val="30"/>
          <w:szCs w:val="30"/>
        </w:rPr>
        <w:t>提高市民生活质量和幸福指数，提升了县城面貌，促进社会经济的综合发展。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     （四）社会公众满意度：群众满意度达95%以上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80" w:right="0" w:hanging="480"/>
        <w:jc w:val="left"/>
        <w:rPr>
          <w:rFonts w:hint="default" w:ascii="Calibri" w:hAnsi="Calibri" w:cs="Calibri"/>
          <w:sz w:val="21"/>
          <w:szCs w:val="21"/>
        </w:rPr>
      </w:pPr>
      <w:r>
        <w:rPr>
          <w:rFonts w:hint="eastAsia" w:ascii="仿宋" w:hAnsi="仿宋" w:eastAsia="仿宋" w:cs="仿宋"/>
          <w:i w:val="0"/>
          <w:caps w:val="0"/>
          <w:color w:val="000000"/>
          <w:spacing w:val="0"/>
          <w:sz w:val="32"/>
          <w:szCs w:val="32"/>
        </w:rPr>
        <w:t>    （五）部门整体绩效得分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0" w:hanging="450"/>
        <w:jc w:val="left"/>
        <w:rPr>
          <w:rFonts w:hint="default" w:ascii="Calibri" w:hAnsi="Calibri" w:cs="Calibri"/>
          <w:sz w:val="21"/>
          <w:szCs w:val="21"/>
        </w:rPr>
      </w:pPr>
      <w:r>
        <w:rPr>
          <w:rFonts w:hint="eastAsia" w:ascii="仿宋" w:hAnsi="仿宋" w:eastAsia="仿宋" w:cs="仿宋"/>
          <w:i w:val="0"/>
          <w:caps w:val="0"/>
          <w:color w:val="000000"/>
          <w:spacing w:val="0"/>
          <w:sz w:val="30"/>
          <w:szCs w:val="30"/>
        </w:rPr>
        <w:t>    根据对我服务中心2019年部门整体支出项目绩效评价指标体系和绩效情况的检查，2019年我所部门整体绩效自评分97分，为“优”等级。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48" w:right="0" w:hanging="147"/>
        <w:jc w:val="left"/>
        <w:rPr>
          <w:rFonts w:hint="default" w:ascii="Calibri" w:hAnsi="Calibri" w:cs="Calibri"/>
          <w:sz w:val="21"/>
          <w:szCs w:val="21"/>
        </w:rPr>
      </w:pPr>
      <w:r>
        <w:rPr>
          <w:rFonts w:hint="eastAsia" w:ascii="仿宋" w:hAnsi="仿宋" w:eastAsia="仿宋" w:cs="仿宋"/>
          <w:i w:val="0"/>
          <w:caps w:val="0"/>
          <w:color w:val="000000"/>
          <w:spacing w:val="0"/>
          <w:sz w:val="32"/>
          <w:szCs w:val="32"/>
        </w:rPr>
        <w:t>五、存在的主要问题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0" w:hanging="150"/>
        <w:jc w:val="left"/>
        <w:rPr>
          <w:rFonts w:hint="default" w:ascii="Calibri" w:hAnsi="Calibri" w:cs="Calibri"/>
          <w:sz w:val="21"/>
          <w:szCs w:val="21"/>
        </w:rPr>
      </w:pPr>
      <w:r>
        <w:rPr>
          <w:rFonts w:hint="eastAsia" w:ascii="仿宋" w:hAnsi="仿宋" w:eastAsia="仿宋" w:cs="仿宋"/>
          <w:i w:val="0"/>
          <w:caps w:val="0"/>
          <w:color w:val="000000"/>
          <w:spacing w:val="0"/>
          <w:sz w:val="30"/>
          <w:szCs w:val="30"/>
        </w:rPr>
        <w:t>一是绩效目标设立不够明确、细化和量化。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0" w:hanging="450"/>
        <w:jc w:val="left"/>
        <w:rPr>
          <w:rFonts w:hint="default" w:ascii="Calibri" w:hAnsi="Calibri" w:cs="Calibri"/>
          <w:sz w:val="21"/>
          <w:szCs w:val="21"/>
        </w:rPr>
      </w:pPr>
      <w:r>
        <w:rPr>
          <w:rFonts w:hint="eastAsia" w:ascii="仿宋" w:hAnsi="仿宋" w:eastAsia="仿宋" w:cs="仿宋"/>
          <w:i w:val="0"/>
          <w:caps w:val="0"/>
          <w:color w:val="000000"/>
          <w:spacing w:val="0"/>
          <w:sz w:val="30"/>
          <w:szCs w:val="30"/>
        </w:rPr>
        <w:t>二是绩效管理制度有待完善。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Calibri" w:hAnsi="Calibri" w:cs="Calibri"/>
          <w:sz w:val="21"/>
          <w:szCs w:val="21"/>
        </w:rPr>
      </w:pPr>
      <w:r>
        <w:rPr>
          <w:rFonts w:hint="eastAsia" w:ascii="仿宋" w:hAnsi="仿宋" w:eastAsia="仿宋" w:cs="仿宋"/>
          <w:i w:val="0"/>
          <w:caps w:val="0"/>
          <w:color w:val="1E1E1E"/>
          <w:spacing w:val="0"/>
          <w:sz w:val="32"/>
          <w:szCs w:val="32"/>
        </w:rPr>
        <w:t>六、改进意见及建议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00"/>
        <w:jc w:val="left"/>
        <w:rPr>
          <w:rFonts w:hint="default" w:ascii="Calibri" w:hAnsi="Calibri" w:cs="Calibri"/>
          <w:sz w:val="21"/>
          <w:szCs w:val="21"/>
        </w:rPr>
      </w:pPr>
      <w:r>
        <w:rPr>
          <w:rFonts w:hint="eastAsia" w:ascii="仿宋" w:hAnsi="仿宋" w:eastAsia="仿宋" w:cs="仿宋"/>
          <w:i w:val="0"/>
          <w:caps w:val="0"/>
          <w:color w:val="000000"/>
          <w:spacing w:val="0"/>
          <w:sz w:val="30"/>
          <w:szCs w:val="30"/>
        </w:rPr>
        <w:t>1、加强预算管理，完善管理制度，严格预算执行，建立绩效评价的长期机制，提高资金使用效益。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Calibri" w:hAnsi="Calibri" w:cs="Calibri"/>
          <w:sz w:val="21"/>
          <w:szCs w:val="21"/>
        </w:rPr>
      </w:pPr>
      <w:r>
        <w:rPr>
          <w:rFonts w:hint="eastAsia" w:ascii="仿宋" w:hAnsi="仿宋" w:eastAsia="仿宋" w:cs="仿宋"/>
          <w:i w:val="0"/>
          <w:caps w:val="0"/>
          <w:color w:val="000000"/>
          <w:spacing w:val="0"/>
          <w:sz w:val="30"/>
          <w:szCs w:val="30"/>
          <w:shd w:val="clear" w:fill="FFFFFF"/>
        </w:rPr>
        <w:t>  2、细化预算编制工作，认真做好预算的编制。进一步加强内部机构的预算管理意识，严格按照预算编制的相关制度和要求，本着“勤俭节约、保障运转”的原则进行预算的编制；编制范围</w:t>
      </w:r>
      <w:r>
        <w:rPr>
          <w:rFonts w:hint="eastAsia" w:ascii="仿宋" w:hAnsi="仿宋" w:eastAsia="仿宋" w:cs="仿宋"/>
          <w:i w:val="0"/>
          <w:caps w:val="0"/>
          <w:color w:val="000000"/>
          <w:spacing w:val="0"/>
          <w:sz w:val="30"/>
          <w:szCs w:val="30"/>
          <w:shd w:val="clear" w:fill="FFFFFF"/>
          <w:lang w:eastAsia="zh-CN"/>
        </w:rPr>
        <w:t>尽可能地</w:t>
      </w:r>
      <w:r>
        <w:rPr>
          <w:rFonts w:hint="eastAsia" w:ascii="仿宋" w:hAnsi="仿宋" w:eastAsia="仿宋" w:cs="仿宋"/>
          <w:i w:val="0"/>
          <w:caps w:val="0"/>
          <w:color w:val="000000"/>
          <w:spacing w:val="0"/>
          <w:sz w:val="30"/>
          <w:szCs w:val="30"/>
          <w:shd w:val="clear" w:fill="FFFFFF"/>
        </w:rPr>
        <w:t>全面、不漏项，进一步提高预算编制的科学性、合理性、严谨性和可控性。 </w:t>
      </w:r>
      <w:r>
        <w:rPr>
          <w:rFonts w:hint="eastAsia" w:ascii="仿宋" w:hAnsi="仿宋" w:eastAsia="仿宋" w:cs="仿宋"/>
          <w:i w:val="0"/>
          <w:caps w:val="0"/>
          <w:color w:val="000000"/>
          <w:spacing w:val="0"/>
          <w:sz w:val="30"/>
          <w:szCs w:val="30"/>
          <w:shd w:val="clear" w:fill="FFFFFF"/>
        </w:rPr>
        <w:br w:type="textWrapping"/>
      </w:r>
      <w:r>
        <w:rPr>
          <w:rFonts w:hint="eastAsia" w:ascii="仿宋" w:hAnsi="仿宋" w:eastAsia="仿宋" w:cs="仿宋"/>
          <w:i w:val="0"/>
          <w:caps w:val="0"/>
          <w:color w:val="000000"/>
          <w:spacing w:val="0"/>
          <w:sz w:val="30"/>
          <w:szCs w:val="30"/>
          <w:shd w:val="clear" w:fill="FFFFFF"/>
        </w:rPr>
        <w:t>  3、在日常预算管理过程中，进一步加强预算支出的审核、跟踪及预算执行情况分析。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60" w:lineRule="atLeast"/>
        <w:ind w:left="0" w:right="0" w:firstLine="150"/>
        <w:jc w:val="left"/>
        <w:rPr>
          <w:rFonts w:hint="default" w:ascii="Calibri" w:hAnsi="Calibri" w:cs="Calibri"/>
          <w:sz w:val="21"/>
          <w:szCs w:val="21"/>
        </w:rPr>
      </w:pPr>
      <w:r>
        <w:rPr>
          <w:rFonts w:hint="eastAsia" w:ascii="仿宋" w:hAnsi="仿宋" w:eastAsia="仿宋" w:cs="仿宋"/>
          <w:i w:val="0"/>
          <w:caps w:val="0"/>
          <w:color w:val="000000"/>
          <w:spacing w:val="0"/>
          <w:sz w:val="30"/>
          <w:szCs w:val="30"/>
          <w:shd w:val="clear" w:fill="FFFFFF"/>
        </w:rPr>
        <w:t> 4、加大对会计人员的教育和培训工作，加强财务控制和监督，防范财务风险。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Calibri" w:hAnsi="Calibri" w:cs="Calibri"/>
          <w:sz w:val="21"/>
          <w:szCs w:val="21"/>
        </w:rPr>
      </w:pPr>
      <w:r>
        <w:rPr>
          <w:rFonts w:hint="eastAsia" w:ascii="仿宋" w:hAnsi="仿宋" w:eastAsia="仿宋" w:cs="仿宋"/>
          <w:i w:val="0"/>
          <w:caps w:val="0"/>
          <w:color w:val="1E1E1E"/>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Calibri" w:hAnsi="Calibri" w:cs="Calibri"/>
          <w:sz w:val="21"/>
          <w:szCs w:val="21"/>
        </w:rPr>
      </w:pPr>
      <w:r>
        <w:rPr>
          <w:rFonts w:hint="default" w:ascii="Calibri" w:hAnsi="Calibri" w:eastAsia="微软雅黑" w:cs="Calibri"/>
          <w:i w:val="0"/>
          <w:caps w:val="0"/>
          <w:color w:val="1E1E1E"/>
          <w:spacing w:val="0"/>
          <w:sz w:val="36"/>
          <w:szCs w:val="36"/>
        </w:rPr>
        <w:t>2019</w:t>
      </w:r>
      <w:r>
        <w:rPr>
          <w:rFonts w:ascii="方正小标宋_GBK" w:hAnsi="方正小标宋_GBK" w:eastAsia="方正小标宋_GBK" w:cs="方正小标宋_GBK"/>
          <w:i w:val="0"/>
          <w:caps w:val="0"/>
          <w:color w:val="1E1E1E"/>
          <w:spacing w:val="0"/>
          <w:sz w:val="36"/>
          <w:szCs w:val="36"/>
        </w:rPr>
        <w:t>年度部门整体支出</w:t>
      </w:r>
      <w:r>
        <w:rPr>
          <w:rFonts w:hint="default" w:ascii="方正小标宋_GBK" w:hAnsi="方正小标宋_GBK" w:eastAsia="方正小标宋_GBK" w:cs="方正小标宋_GBK"/>
          <w:i w:val="0"/>
          <w:caps w:val="0"/>
          <w:color w:val="1E1E1E"/>
          <w:spacing w:val="-8"/>
          <w:sz w:val="36"/>
          <w:szCs w:val="36"/>
        </w:rPr>
        <w:t>绩效评价指标评分表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both"/>
        <w:rPr>
          <w:rFonts w:hint="default" w:ascii="Calibri" w:hAnsi="Calibri" w:cs="Calibri"/>
          <w:sz w:val="21"/>
          <w:szCs w:val="21"/>
        </w:rPr>
      </w:pPr>
      <w:r>
        <w:rPr>
          <w:rFonts w:ascii="楷体" w:hAnsi="楷体" w:eastAsia="楷体" w:cs="楷体"/>
          <w:i w:val="0"/>
          <w:caps w:val="0"/>
          <w:color w:val="1E1E1E"/>
          <w:spacing w:val="-8"/>
          <w:sz w:val="28"/>
          <w:szCs w:val="28"/>
        </w:rPr>
        <w:t>填报单位（盖章）：</w:t>
      </w:r>
    </w:p>
    <w:tbl>
      <w:tblPr>
        <w:tblStyle w:val="5"/>
        <w:tblW w:w="14280" w:type="dxa"/>
        <w:jc w:val="center"/>
        <w:shd w:val="clear" w:color="auto" w:fill="auto"/>
        <w:tblLayout w:type="autofit"/>
        <w:tblCellMar>
          <w:top w:w="0" w:type="dxa"/>
          <w:left w:w="0" w:type="dxa"/>
          <w:bottom w:w="0" w:type="dxa"/>
          <w:right w:w="0" w:type="dxa"/>
        </w:tblCellMar>
      </w:tblPr>
      <w:tblGrid>
        <w:gridCol w:w="689"/>
        <w:gridCol w:w="704"/>
        <w:gridCol w:w="960"/>
        <w:gridCol w:w="5337"/>
        <w:gridCol w:w="5822"/>
        <w:gridCol w:w="768"/>
      </w:tblGrid>
      <w:tr>
        <w:tblPrEx>
          <w:shd w:val="clear" w:color="auto" w:fill="auto"/>
          <w:tblCellMar>
            <w:top w:w="0" w:type="dxa"/>
            <w:left w:w="0" w:type="dxa"/>
            <w:bottom w:w="0" w:type="dxa"/>
            <w:right w:w="0" w:type="dxa"/>
          </w:tblCellMar>
        </w:tblPrEx>
        <w:trPr>
          <w:trHeight w:val="644" w:hRule="atLeast"/>
          <w:tblHeader/>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一级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目标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资产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eastAsia="zh-CN"/>
              </w:rPr>
              <w:t>账实相符</w:t>
            </w:r>
            <w:r>
              <w:rPr>
                <w:rFonts w:hint="eastAsia" w:ascii="宋体" w:hAnsi="宋体" w:eastAsia="宋体" w:cs="宋体"/>
                <w:color w:val="000000"/>
                <w:sz w:val="21"/>
                <w:szCs w:val="21"/>
              </w:rPr>
              <w:t>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职责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履职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rPr>
                <w:rFonts w:hint="default" w:ascii="Calibri" w:hAnsi="Calibri" w:cs="Calibri"/>
                <w:sz w:val="21"/>
                <w:szCs w:val="21"/>
              </w:rPr>
            </w:pPr>
            <w:r>
              <w:rPr>
                <w:rFonts w:hint="eastAsia" w:ascii="宋体" w:hAnsi="宋体" w:eastAsia="宋体" w:cs="宋体"/>
                <w:color w:val="000000"/>
                <w:sz w:val="21"/>
                <w:szCs w:val="21"/>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宋体" w:hAnsi="宋体" w:eastAsia="宋体" w:cs="宋体"/>
                <w:color w:val="000000"/>
                <w:sz w:val="21"/>
                <w:szCs w:val="21"/>
              </w:rPr>
              <w:t>行政效能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color w:val="000000"/>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color w:val="000000"/>
                <w:sz w:val="21"/>
                <w:szCs w:val="21"/>
              </w:rPr>
              <w:t> </w:t>
            </w:r>
          </w:p>
        </w:tc>
        <w:tc>
          <w:tcPr>
            <w:tcW w:w="768"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97</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jRjZGViZWVhMzdmNzhlYmU5MTM3MGM4YjYwNWMifQ=="/>
  </w:docVars>
  <w:rsids>
    <w:rsidRoot w:val="00000000"/>
    <w:rsid w:val="0F5B3831"/>
    <w:rsid w:val="127A730E"/>
    <w:rsid w:val="2688021A"/>
    <w:rsid w:val="4CFF7DDE"/>
    <w:rsid w:val="5D282B29"/>
    <w:rsid w:val="61AB1F64"/>
    <w:rsid w:val="6C5C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10863</Words>
  <Characters>11805</Characters>
  <Lines>0</Lines>
  <Paragraphs>0</Paragraphs>
  <TotalTime>2</TotalTime>
  <ScaleCrop>false</ScaleCrop>
  <LinksUpToDate>false</LinksUpToDate>
  <CharactersWithSpaces>11822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2021-06-06T06:48:00Z</dcterms:created>
  <dc:creator>Administrator</dc:creator>
  <cp:lastModifiedBy>朱亚林</cp:lastModifiedBy>
  <dcterms:modified xsi:type="dcterms:W3CDTF">2022-10-18T02:35:07Z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97E7455327B84549AA04167E74171972</vt:lpwstr>
  </property>
</Properties>
</file>