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i w:val="0"/>
          <w:caps w:val="0"/>
          <w:color w:val="1E1E1E"/>
          <w:spacing w:val="0"/>
          <w:sz w:val="37"/>
          <w:szCs w:val="37"/>
        </w:rPr>
      </w:pPr>
      <w:r>
        <w:rPr>
          <w:rFonts w:hint="eastAsia" w:ascii="微软雅黑" w:hAnsi="微软雅黑" w:eastAsia="微软雅黑" w:cs="微软雅黑"/>
          <w:b/>
          <w:i w:val="0"/>
          <w:caps w:val="0"/>
          <w:color w:val="1E1E1E"/>
          <w:spacing w:val="0"/>
          <w:kern w:val="0"/>
          <w:sz w:val="37"/>
          <w:szCs w:val="37"/>
          <w:lang w:val="en-US" w:eastAsia="zh-CN" w:bidi="ar"/>
        </w:rPr>
        <w:t>新邵县机关事业单位社会保险管理站2019年度部门整体支出绩效自评报告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Times New Roman" w:hAnsi="Times New Roman" w:cs="Times New Roman"/>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一、部门概况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（一）</w:t>
      </w:r>
      <w:r>
        <w:rPr>
          <w:rFonts w:hint="eastAsia" w:ascii="宋体" w:hAnsi="宋体" w:eastAsia="宋体" w:cs="宋体"/>
          <w:i w:val="0"/>
          <w:caps w:val="0"/>
          <w:color w:val="000000"/>
          <w:spacing w:val="0"/>
          <w:sz w:val="28"/>
          <w:szCs w:val="28"/>
        </w:rPr>
        <w:t>新邵县机关事业单位社会养老保险管理站成立于</w:t>
      </w:r>
      <w:r>
        <w:rPr>
          <w:rFonts w:hint="default" w:ascii="Times New Roman" w:hAnsi="Times New Roman" w:eastAsia="微软雅黑" w:cs="Times New Roman"/>
          <w:i w:val="0"/>
          <w:caps w:val="0"/>
          <w:color w:val="000000"/>
          <w:spacing w:val="0"/>
          <w:sz w:val="28"/>
          <w:szCs w:val="28"/>
        </w:rPr>
        <w:t>1996</w:t>
      </w:r>
      <w:r>
        <w:rPr>
          <w:rFonts w:hint="eastAsia" w:ascii="宋体" w:hAnsi="宋体" w:eastAsia="宋体" w:cs="宋体"/>
          <w:i w:val="0"/>
          <w:caps w:val="0"/>
          <w:color w:val="000000"/>
          <w:spacing w:val="0"/>
          <w:sz w:val="28"/>
          <w:szCs w:val="28"/>
        </w:rPr>
        <w:t>年，系参照公务员管理的副科级事业单位，内设</w:t>
      </w:r>
      <w:r>
        <w:rPr>
          <w:rFonts w:hint="default" w:ascii="Times New Roman" w:hAnsi="Times New Roman" w:eastAsia="微软雅黑" w:cs="Times New Roman"/>
          <w:i w:val="0"/>
          <w:caps w:val="0"/>
          <w:color w:val="000000"/>
          <w:spacing w:val="0"/>
          <w:sz w:val="28"/>
          <w:szCs w:val="28"/>
        </w:rPr>
        <w:t>5</w:t>
      </w:r>
      <w:r>
        <w:rPr>
          <w:rFonts w:hint="eastAsia" w:ascii="宋体" w:hAnsi="宋体" w:eastAsia="宋体" w:cs="宋体"/>
          <w:i w:val="0"/>
          <w:caps w:val="0"/>
          <w:color w:val="000000"/>
          <w:spacing w:val="0"/>
          <w:sz w:val="28"/>
          <w:szCs w:val="28"/>
        </w:rPr>
        <w:t>个股室：稽核股、征缴股、发放股、财务股、办公室。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（二）</w:t>
      </w:r>
      <w:r>
        <w:rPr>
          <w:rFonts w:hint="eastAsia" w:ascii="宋体" w:hAnsi="宋体" w:eastAsia="宋体" w:cs="宋体"/>
          <w:i w:val="0"/>
          <w:caps w:val="0"/>
          <w:color w:val="000000"/>
          <w:spacing w:val="0"/>
          <w:sz w:val="30"/>
          <w:szCs w:val="30"/>
        </w:rPr>
        <w:t>工作职能：</w:t>
      </w:r>
      <w:r>
        <w:rPr>
          <w:rFonts w:hint="eastAsia" w:ascii="宋体" w:hAnsi="宋体" w:eastAsia="宋体" w:cs="宋体"/>
          <w:i w:val="0"/>
          <w:caps w:val="0"/>
          <w:color w:val="000000"/>
          <w:spacing w:val="0"/>
          <w:sz w:val="28"/>
          <w:szCs w:val="28"/>
        </w:rPr>
        <w:t>贯彻执行党和国家关于机关事业单位养老保险制度的建立与实施，承担全县机关养老金征收、发放以及退休人员的管理服务工作。本单位为一级财政预算单位，无下级单位。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（三）2019年度工作计划。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150" w:right="0" w:firstLine="56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28"/>
          <w:szCs w:val="28"/>
        </w:rPr>
        <w:t>1、养老保险费及职业年金不能按时足额征缴到位。按照国家及省里要求，参保人员个人应缴纳的基本养老保险费、职业年金由所在单位代扣代缴。由于我县全额单位工作人员的工资及津补贴由县工资统发中心发放，因此由单位代扣代缴存在现实困难，大多数单位需等待年底发放绩效奖时才有钱可扣，由于我县2017年绩效奖没有按时发放，导致我县2018年个人缴费部分不能按进度征收到位，欠缴情况普遍。建议将全额财政拨款单位在职职工的津补贴改由单位按月发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150" w:right="0" w:firstLine="56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28"/>
          <w:szCs w:val="28"/>
        </w:rPr>
        <w:t>2、2019年工作思路：积极配合税务部门征收养老保险费及职业年金；对新增退休人员改变原有的预发模式，统一在办理退休手续时按新政策计发养老金；2019年上半年完成原试点期间个人缴费核对确认工作；做好养老保险关系转移、接续工作；加强养老保险基金内控管理，积极防范经办过程中的各种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二、部门整体支出规模、使用方向和内容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28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(一)年度预算收支情况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16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1.年初预算收支</w:t>
      </w:r>
    </w:p>
    <w:tbl>
      <w:tblPr>
        <w:tblStyle w:val="5"/>
        <w:tblpPr w:vertAnchor="text" w:tblpXSpec="left"/>
        <w:tblW w:w="8685" w:type="dxa"/>
        <w:tblInd w:w="0" w:type="dxa"/>
        <w:shd w:val="clear" w:color="auto" w:fill="auto"/>
        <w:tblLayout w:type="autofit"/>
        <w:tblCellMar>
          <w:top w:w="0" w:type="dxa"/>
          <w:left w:w="0" w:type="dxa"/>
          <w:bottom w:w="0" w:type="dxa"/>
          <w:right w:w="0" w:type="dxa"/>
        </w:tblCellMar>
      </w:tblPr>
      <w:tblGrid>
        <w:gridCol w:w="2120"/>
        <w:gridCol w:w="1725"/>
        <w:gridCol w:w="1616"/>
        <w:gridCol w:w="1392"/>
        <w:gridCol w:w="1832"/>
      </w:tblGrid>
      <w:tr>
        <w:tblPrEx>
          <w:tblCellMar>
            <w:top w:w="0" w:type="dxa"/>
            <w:left w:w="0" w:type="dxa"/>
            <w:bottom w:w="0" w:type="dxa"/>
            <w:right w:w="0" w:type="dxa"/>
          </w:tblCellMar>
        </w:tblPrEx>
        <w:trPr>
          <w:trHeight w:val="337" w:hRule="atLeast"/>
        </w:trPr>
        <w:tc>
          <w:tcPr>
            <w:tcW w:w="2135" w:type="dxa"/>
            <w:vMerge w:val="restart"/>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color w:val="000000"/>
                <w:sz w:val="21"/>
                <w:szCs w:val="21"/>
              </w:rPr>
              <w:t>预算项目</w:t>
            </w:r>
          </w:p>
        </w:tc>
        <w:tc>
          <w:tcPr>
            <w:tcW w:w="3360"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color w:val="000000"/>
                <w:sz w:val="21"/>
                <w:szCs w:val="21"/>
              </w:rPr>
              <w:t>预算金额</w:t>
            </w:r>
          </w:p>
        </w:tc>
        <w:tc>
          <w:tcPr>
            <w:tcW w:w="3185"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color w:val="000000"/>
                <w:sz w:val="21"/>
                <w:szCs w:val="21"/>
              </w:rPr>
              <w:t>较上年增减变化</w:t>
            </w:r>
          </w:p>
        </w:tc>
      </w:tr>
      <w:tr>
        <w:tblPrEx>
          <w:tblCellMar>
            <w:top w:w="0" w:type="dxa"/>
            <w:left w:w="0" w:type="dxa"/>
            <w:bottom w:w="0" w:type="dxa"/>
            <w:right w:w="0" w:type="dxa"/>
          </w:tblCellMar>
        </w:tblPrEx>
        <w:trPr>
          <w:trHeight w:val="397" w:hRule="atLeast"/>
        </w:trPr>
        <w:tc>
          <w:tcPr>
            <w:tcW w:w="2135" w:type="dxa"/>
            <w:vMerge w:val="continue"/>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rPr>
                <w:rFonts w:hint="eastAsia" w:ascii="宋体"/>
                <w:sz w:val="24"/>
                <w:szCs w:val="24"/>
              </w:rPr>
            </w:pPr>
          </w:p>
        </w:tc>
        <w:tc>
          <w:tcPr>
            <w:tcW w:w="1736"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color w:val="000000"/>
                <w:sz w:val="21"/>
                <w:szCs w:val="21"/>
              </w:rPr>
              <w:t>2019年</w:t>
            </w:r>
          </w:p>
        </w:tc>
        <w:tc>
          <w:tcPr>
            <w:tcW w:w="1624"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color w:val="000000"/>
                <w:sz w:val="21"/>
                <w:szCs w:val="21"/>
              </w:rPr>
              <w:t>2018年</w:t>
            </w:r>
          </w:p>
        </w:tc>
        <w:tc>
          <w:tcPr>
            <w:tcW w:w="1344"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color w:val="000000"/>
                <w:sz w:val="21"/>
                <w:szCs w:val="21"/>
              </w:rPr>
              <w:t>金额</w:t>
            </w:r>
          </w:p>
        </w:tc>
        <w:tc>
          <w:tcPr>
            <w:tcW w:w="1841"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color w:val="000000"/>
                <w:sz w:val="21"/>
                <w:szCs w:val="21"/>
              </w:rPr>
              <w:t>比例</w:t>
            </w:r>
          </w:p>
        </w:tc>
      </w:tr>
      <w:tr>
        <w:tblPrEx>
          <w:tblCellMar>
            <w:top w:w="0" w:type="dxa"/>
            <w:left w:w="0" w:type="dxa"/>
            <w:bottom w:w="0" w:type="dxa"/>
            <w:right w:w="0" w:type="dxa"/>
          </w:tblCellMar>
        </w:tblPrEx>
        <w:trPr>
          <w:trHeight w:val="534"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left"/>
              <w:rPr>
                <w:rFonts w:hint="default" w:ascii="Times New Roman" w:hAnsi="Times New Roman" w:cs="Times New Roman"/>
                <w:sz w:val="21"/>
                <w:szCs w:val="21"/>
              </w:rPr>
            </w:pPr>
            <w:r>
              <w:rPr>
                <w:rFonts w:hint="eastAsia" w:ascii="仿宋" w:hAnsi="仿宋" w:eastAsia="仿宋" w:cs="仿宋"/>
                <w:b/>
                <w:color w:val="000000"/>
                <w:sz w:val="21"/>
                <w:szCs w:val="21"/>
              </w:rPr>
              <w:t>收入预算</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00000"/>
                <w:sz w:val="21"/>
                <w:szCs w:val="21"/>
              </w:rPr>
              <w:t>171.2</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00000"/>
                <w:sz w:val="21"/>
                <w:szCs w:val="21"/>
              </w:rPr>
              <w:t>407.19</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00000"/>
                <w:sz w:val="21"/>
                <w:szCs w:val="21"/>
              </w:rPr>
              <w:t>-235.99</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-57.96%</w:t>
            </w:r>
          </w:p>
        </w:tc>
      </w:tr>
      <w:tr>
        <w:tblPrEx>
          <w:tblCellMar>
            <w:top w:w="0" w:type="dxa"/>
            <w:left w:w="0" w:type="dxa"/>
            <w:bottom w:w="0" w:type="dxa"/>
            <w:right w:w="0" w:type="dxa"/>
          </w:tblCellMar>
        </w:tblPrEx>
        <w:trPr>
          <w:trHeight w:val="534"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rPr>
                <w:rFonts w:hint="default" w:ascii="Times New Roman" w:hAnsi="Times New Roman" w:cs="Times New Roman"/>
                <w:sz w:val="21"/>
                <w:szCs w:val="21"/>
              </w:rPr>
            </w:pPr>
            <w:r>
              <w:rPr>
                <w:rFonts w:hint="eastAsia" w:ascii="仿宋" w:hAnsi="仿宋" w:eastAsia="仿宋" w:cs="仿宋"/>
                <w:color w:val="000000"/>
                <w:sz w:val="21"/>
                <w:szCs w:val="21"/>
              </w:rPr>
              <w:t>其中：财政经费拨款</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00000"/>
                <w:sz w:val="21"/>
                <w:szCs w:val="21"/>
              </w:rPr>
              <w:t>171.2</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00000"/>
                <w:sz w:val="21"/>
                <w:szCs w:val="21"/>
              </w:rPr>
              <w:t>407.19</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00000"/>
                <w:sz w:val="21"/>
                <w:szCs w:val="21"/>
              </w:rPr>
              <w:t>-235.99</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-57.96%</w:t>
            </w:r>
          </w:p>
        </w:tc>
      </w:tr>
      <w:tr>
        <w:tblPrEx>
          <w:tblCellMar>
            <w:top w:w="0" w:type="dxa"/>
            <w:left w:w="0" w:type="dxa"/>
            <w:bottom w:w="0" w:type="dxa"/>
            <w:right w:w="0" w:type="dxa"/>
          </w:tblCellMar>
        </w:tblPrEx>
        <w:trPr>
          <w:trHeight w:val="534"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left"/>
              <w:rPr>
                <w:rFonts w:hint="default" w:ascii="Times New Roman" w:hAnsi="Times New Roman" w:cs="Times New Roman"/>
                <w:sz w:val="21"/>
                <w:szCs w:val="21"/>
              </w:rPr>
            </w:pPr>
            <w:r>
              <w:rPr>
                <w:rFonts w:hint="eastAsia" w:ascii="仿宋" w:hAnsi="仿宋" w:eastAsia="仿宋" w:cs="仿宋"/>
                <w:b/>
                <w:color w:val="000000"/>
                <w:sz w:val="21"/>
                <w:szCs w:val="21"/>
              </w:rPr>
              <w:t>支出预算</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00000"/>
                <w:sz w:val="21"/>
                <w:szCs w:val="21"/>
              </w:rPr>
              <w:t>171.2</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00000"/>
                <w:sz w:val="21"/>
                <w:szCs w:val="21"/>
              </w:rPr>
              <w:t>407.19</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00000"/>
                <w:sz w:val="21"/>
                <w:szCs w:val="21"/>
              </w:rPr>
              <w:t>-235.99</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-57.96%</w:t>
            </w:r>
          </w:p>
        </w:tc>
      </w:tr>
      <w:tr>
        <w:tblPrEx>
          <w:tblCellMar>
            <w:top w:w="0" w:type="dxa"/>
            <w:left w:w="0" w:type="dxa"/>
            <w:bottom w:w="0" w:type="dxa"/>
            <w:right w:w="0" w:type="dxa"/>
          </w:tblCellMar>
        </w:tblPrEx>
        <w:trPr>
          <w:trHeight w:val="534"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rPr>
                <w:rFonts w:hint="default" w:ascii="Times New Roman" w:hAnsi="Times New Roman" w:cs="Times New Roman"/>
                <w:sz w:val="21"/>
                <w:szCs w:val="21"/>
              </w:rPr>
            </w:pPr>
            <w:r>
              <w:rPr>
                <w:rFonts w:hint="eastAsia" w:ascii="仿宋" w:hAnsi="仿宋" w:eastAsia="仿宋" w:cs="仿宋"/>
                <w:color w:val="000000"/>
                <w:sz w:val="21"/>
                <w:szCs w:val="21"/>
              </w:rPr>
              <w:t>其中：基本支出</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00000"/>
                <w:sz w:val="21"/>
                <w:szCs w:val="21"/>
              </w:rPr>
              <w:t>141.2</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00000"/>
                <w:sz w:val="21"/>
                <w:szCs w:val="21"/>
              </w:rPr>
              <w:t>377.19</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-235.99</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firstLine="0"/>
              <w:jc w:val="center"/>
              <w:rPr>
                <w:rFonts w:hint="default" w:ascii="Times New Roman" w:hAnsi="Times New Roman" w:cs="Times New Roman"/>
                <w:sz w:val="21"/>
                <w:szCs w:val="21"/>
              </w:rPr>
            </w:pPr>
            <w:r>
              <w:rPr>
                <w:rFonts w:hint="eastAsia" w:ascii="仿宋" w:hAnsi="仿宋" w:eastAsia="仿宋" w:cs="仿宋"/>
                <w:color w:val="000000"/>
                <w:sz w:val="21"/>
                <w:szCs w:val="21"/>
              </w:rPr>
              <w:t>-62.57%</w:t>
            </w:r>
          </w:p>
        </w:tc>
      </w:tr>
      <w:tr>
        <w:tblPrEx>
          <w:shd w:val="clear" w:color="auto" w:fill="auto"/>
          <w:tblCellMar>
            <w:top w:w="0" w:type="dxa"/>
            <w:left w:w="0" w:type="dxa"/>
            <w:bottom w:w="0" w:type="dxa"/>
            <w:right w:w="0" w:type="dxa"/>
          </w:tblCellMar>
        </w:tblPrEx>
        <w:trPr>
          <w:trHeight w:val="512"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rPr>
                <w:rFonts w:hint="default" w:ascii="Times New Roman" w:hAnsi="Times New Roman" w:cs="Times New Roman"/>
                <w:sz w:val="21"/>
                <w:szCs w:val="21"/>
              </w:rPr>
            </w:pPr>
            <w:r>
              <w:rPr>
                <w:rFonts w:hint="eastAsia" w:ascii="仿宋" w:hAnsi="仿宋" w:eastAsia="仿宋" w:cs="仿宋"/>
                <w:color w:val="000000"/>
                <w:sz w:val="21"/>
                <w:szCs w:val="21"/>
              </w:rPr>
              <w:t>其中：项目支出</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00000"/>
                <w:sz w:val="21"/>
                <w:szCs w:val="21"/>
              </w:rPr>
              <w:t>30.00</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00000"/>
                <w:sz w:val="21"/>
                <w:szCs w:val="21"/>
              </w:rPr>
              <w:t>30.00</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00000"/>
                <w:sz w:val="21"/>
                <w:szCs w:val="21"/>
              </w:rPr>
              <w:t>0</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color w:val="000000"/>
                <w:sz w:val="21"/>
                <w:szCs w:val="21"/>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560"/>
        <w:jc w:val="both"/>
        <w:rPr>
          <w:rFonts w:hint="default" w:ascii="Times New Roman" w:hAnsi="Times New Roman" w:cs="Times New Roman"/>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560"/>
        <w:jc w:val="both"/>
        <w:rPr>
          <w:rFonts w:hint="default" w:ascii="Times New Roman" w:hAnsi="Times New Roman" w:cs="Times New Roman"/>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560"/>
        <w:jc w:val="both"/>
        <w:rPr>
          <w:rFonts w:hint="default" w:ascii="Times New Roman" w:hAnsi="Times New Roman" w:cs="Times New Roman"/>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560"/>
        <w:jc w:val="both"/>
        <w:rPr>
          <w:rFonts w:hint="default" w:ascii="Times New Roman" w:hAnsi="Times New Roman" w:cs="Times New Roman"/>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560"/>
        <w:jc w:val="both"/>
        <w:rPr>
          <w:rFonts w:hint="default" w:ascii="Times New Roman" w:hAnsi="Times New Roman" w:cs="Times New Roman"/>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560"/>
        <w:jc w:val="both"/>
        <w:rPr>
          <w:rFonts w:hint="default" w:ascii="Times New Roman" w:hAnsi="Times New Roman" w:cs="Times New Roman"/>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560"/>
        <w:jc w:val="both"/>
        <w:rPr>
          <w:rFonts w:hint="default" w:ascii="Times New Roman" w:hAnsi="Times New Roman" w:cs="Times New Roman"/>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560"/>
        <w:jc w:val="both"/>
        <w:rPr>
          <w:rFonts w:hint="default" w:ascii="Times New Roman" w:hAnsi="Times New Roman" w:cs="Times New Roman"/>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560"/>
        <w:jc w:val="both"/>
        <w:rPr>
          <w:rFonts w:hint="default" w:ascii="Times New Roman" w:hAnsi="Times New Roman" w:cs="Times New Roman"/>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560"/>
        <w:jc w:val="both"/>
        <w:rPr>
          <w:rFonts w:hint="default" w:ascii="Times New Roman" w:hAnsi="Times New Roman" w:cs="Times New Roman"/>
          <w:sz w:val="21"/>
          <w:szCs w:val="21"/>
        </w:rPr>
      </w:pPr>
      <w:r>
        <w:rPr>
          <w:rFonts w:hint="eastAsia" w:ascii="宋体" w:hAnsi="宋体" w:eastAsia="宋体" w:cs="宋体"/>
          <w:i w:val="0"/>
          <w:caps w:val="0"/>
          <w:color w:val="000000"/>
          <w:spacing w:val="0"/>
          <w:sz w:val="28"/>
          <w:szCs w:val="28"/>
        </w:rPr>
        <w:t>说明：根据年初预算批复，与上年比较，金额较上年大幅度减少，是因为2019年预算更科学更实际，而且2019年预算按照县委县政府的要求在2018年预算基础上减少了20%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2.财政预算整体支出使用范围、方向和内容</w:t>
      </w:r>
    </w:p>
    <w:tbl>
      <w:tblPr>
        <w:tblStyle w:val="5"/>
        <w:tblW w:w="0" w:type="auto"/>
        <w:jc w:val="center"/>
        <w:shd w:val="clear" w:color="auto" w:fill="auto"/>
        <w:tblLayout w:type="autofit"/>
        <w:tblCellMar>
          <w:top w:w="0" w:type="dxa"/>
          <w:left w:w="0" w:type="dxa"/>
          <w:bottom w:w="0" w:type="dxa"/>
          <w:right w:w="0" w:type="dxa"/>
        </w:tblCellMar>
      </w:tblPr>
      <w:tblGrid>
        <w:gridCol w:w="2859"/>
        <w:gridCol w:w="1748"/>
        <w:gridCol w:w="1331"/>
        <w:gridCol w:w="2379"/>
      </w:tblGrid>
      <w:tr>
        <w:tblPrEx>
          <w:shd w:val="clear" w:color="auto" w:fill="auto"/>
          <w:tblCellMar>
            <w:top w:w="0" w:type="dxa"/>
            <w:left w:w="0" w:type="dxa"/>
            <w:bottom w:w="0" w:type="dxa"/>
            <w:right w:w="0" w:type="dxa"/>
          </w:tblCellMar>
        </w:tblPrEx>
        <w:trPr>
          <w:trHeight w:val="276" w:hRule="atLeast"/>
          <w:jc w:val="center"/>
        </w:trPr>
        <w:tc>
          <w:tcPr>
            <w:tcW w:w="2859"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支出项目</w:t>
            </w:r>
          </w:p>
        </w:tc>
        <w:tc>
          <w:tcPr>
            <w:tcW w:w="174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基本支出</w:t>
            </w:r>
          </w:p>
        </w:tc>
        <w:tc>
          <w:tcPr>
            <w:tcW w:w="1331"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项目支出</w:t>
            </w:r>
          </w:p>
        </w:tc>
        <w:tc>
          <w:tcPr>
            <w:tcW w:w="237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合计</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工资福利支出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87.80</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87.80</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商品和服务支出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24.28</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30</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54.28</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对个人和家庭的补助</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29.12</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29.12</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467" w:hRule="atLeast"/>
          <w:jc w:val="center"/>
        </w:trPr>
        <w:tc>
          <w:tcPr>
            <w:tcW w:w="2859"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合</w:t>
            </w:r>
            <w:r>
              <w:rPr>
                <w:rFonts w:hint="eastAsia" w:ascii="宋体" w:hAnsi="宋体" w:eastAsia="宋体" w:cs="宋体"/>
                <w:color w:val="000000"/>
                <w:sz w:val="21"/>
                <w:szCs w:val="21"/>
              </w:rPr>
              <w:t> </w:t>
            </w:r>
            <w:r>
              <w:rPr>
                <w:rFonts w:hint="eastAsia" w:ascii="仿宋" w:hAnsi="仿宋" w:eastAsia="仿宋" w:cs="仿宋"/>
                <w:color w:val="000000"/>
                <w:sz w:val="21"/>
                <w:szCs w:val="21"/>
              </w:rPr>
              <w:t>计</w:t>
            </w:r>
          </w:p>
        </w:tc>
        <w:tc>
          <w:tcPr>
            <w:tcW w:w="1748" w:type="dxa"/>
            <w:tcBorders>
              <w:top w:val="nil"/>
              <w:left w:val="nil"/>
              <w:bottom w:val="single" w:color="auto" w:sz="8" w:space="0"/>
              <w:right w:val="single" w:color="auto" w:sz="8" w:space="0"/>
            </w:tcBorders>
            <w:shd w:val="clear" w:color="auto" w:fill="D9D9D9"/>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141.2</w:t>
            </w:r>
          </w:p>
        </w:tc>
        <w:tc>
          <w:tcPr>
            <w:tcW w:w="1331" w:type="dxa"/>
            <w:tcBorders>
              <w:top w:val="nil"/>
              <w:left w:val="nil"/>
              <w:bottom w:val="single" w:color="auto" w:sz="8" w:space="0"/>
              <w:right w:val="single" w:color="auto" w:sz="8" w:space="0"/>
            </w:tcBorders>
            <w:shd w:val="clear" w:color="auto" w:fill="D9D9D9"/>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30</w:t>
            </w:r>
          </w:p>
        </w:tc>
        <w:tc>
          <w:tcPr>
            <w:tcW w:w="2379" w:type="dxa"/>
            <w:tcBorders>
              <w:top w:val="nil"/>
              <w:left w:val="nil"/>
              <w:bottom w:val="single" w:color="auto" w:sz="8" w:space="0"/>
              <w:right w:val="single" w:color="auto" w:sz="8" w:space="0"/>
            </w:tcBorders>
            <w:shd w:val="clear" w:color="auto" w:fill="D9D9D9"/>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171.2</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16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（二）年度收支决算情况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16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1.年度收入决算</w:t>
      </w:r>
    </w:p>
    <w:tbl>
      <w:tblPr>
        <w:tblStyle w:val="5"/>
        <w:tblW w:w="0" w:type="auto"/>
        <w:jc w:val="center"/>
        <w:shd w:val="clear" w:color="auto" w:fill="auto"/>
        <w:tblLayout w:type="autofit"/>
        <w:tblCellMar>
          <w:top w:w="0" w:type="dxa"/>
          <w:left w:w="0" w:type="dxa"/>
          <w:bottom w:w="0" w:type="dxa"/>
          <w:right w:w="0" w:type="dxa"/>
        </w:tblCellMar>
      </w:tblPr>
      <w:tblGrid>
        <w:gridCol w:w="2063"/>
        <w:gridCol w:w="1693"/>
        <w:gridCol w:w="1820"/>
        <w:gridCol w:w="2264"/>
      </w:tblGrid>
      <w:tr>
        <w:tblPrEx>
          <w:shd w:val="clear" w:color="auto" w:fill="auto"/>
          <w:tblCellMar>
            <w:top w:w="0" w:type="dxa"/>
            <w:left w:w="0" w:type="dxa"/>
            <w:bottom w:w="0" w:type="dxa"/>
            <w:right w:w="0" w:type="dxa"/>
          </w:tblCellMar>
        </w:tblPrEx>
        <w:trPr>
          <w:trHeight w:val="564" w:hRule="atLeast"/>
          <w:jc w:val="center"/>
        </w:trPr>
        <w:tc>
          <w:tcPr>
            <w:tcW w:w="206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收入来源</w:t>
            </w:r>
          </w:p>
        </w:tc>
        <w:tc>
          <w:tcPr>
            <w:tcW w:w="169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预算金额</w:t>
            </w:r>
          </w:p>
        </w:tc>
        <w:tc>
          <w:tcPr>
            <w:tcW w:w="182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决算金额</w:t>
            </w:r>
          </w:p>
        </w:tc>
        <w:tc>
          <w:tcPr>
            <w:tcW w:w="226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差额</w:t>
            </w:r>
          </w:p>
        </w:tc>
      </w:tr>
      <w:tr>
        <w:tblPrEx>
          <w:shd w:val="clear" w:color="auto" w:fill="auto"/>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财政拨款收入</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171.2</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204.99</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33.79</w:t>
            </w:r>
          </w:p>
        </w:tc>
      </w:tr>
      <w:tr>
        <w:tblPrEx>
          <w:shd w:val="clear" w:color="auto" w:fill="auto"/>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80" w:right="0" w:hanging="480"/>
        <w:jc w:val="left"/>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说明：</w:t>
      </w:r>
      <w:r>
        <w:rPr>
          <w:rFonts w:hint="eastAsia" w:ascii="宋体" w:hAnsi="宋体" w:eastAsia="宋体" w:cs="宋体"/>
          <w:i w:val="0"/>
          <w:caps w:val="0"/>
          <w:color w:val="000000"/>
          <w:spacing w:val="0"/>
          <w:sz w:val="28"/>
          <w:szCs w:val="28"/>
        </w:rPr>
        <w:t>2016年度财政拨款收入决算金额多于预算金额的原因：一是退休人员生活补贴纳入基金支付范畴，二是退休人员增调工资，三是新增退休人员。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2.年度预算支出决算及结余</w:t>
      </w:r>
    </w:p>
    <w:tbl>
      <w:tblPr>
        <w:tblStyle w:val="5"/>
        <w:tblW w:w="7950" w:type="dxa"/>
        <w:tblInd w:w="0" w:type="dxa"/>
        <w:shd w:val="clear" w:color="auto" w:fill="auto"/>
        <w:tblLayout w:type="autofit"/>
        <w:tblCellMar>
          <w:top w:w="0" w:type="dxa"/>
          <w:left w:w="0" w:type="dxa"/>
          <w:bottom w:w="0" w:type="dxa"/>
          <w:right w:w="0" w:type="dxa"/>
        </w:tblCellMar>
      </w:tblPr>
      <w:tblGrid>
        <w:gridCol w:w="1738"/>
        <w:gridCol w:w="2268"/>
        <w:gridCol w:w="1983"/>
        <w:gridCol w:w="1961"/>
      </w:tblGrid>
      <w:tr>
        <w:tblPrEx>
          <w:shd w:val="clear" w:color="auto" w:fill="auto"/>
          <w:tblCellMar>
            <w:top w:w="0" w:type="dxa"/>
            <w:left w:w="0" w:type="dxa"/>
            <w:bottom w:w="0" w:type="dxa"/>
            <w:right w:w="0" w:type="dxa"/>
          </w:tblCellMar>
        </w:tblPrEx>
        <w:trPr>
          <w:trHeight w:val="517" w:hRule="atLeast"/>
        </w:trPr>
        <w:tc>
          <w:tcPr>
            <w:tcW w:w="1739"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预算支出类别</w:t>
            </w:r>
          </w:p>
        </w:tc>
        <w:tc>
          <w:tcPr>
            <w:tcW w:w="2270"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预算金额</w:t>
            </w:r>
          </w:p>
        </w:tc>
        <w:tc>
          <w:tcPr>
            <w:tcW w:w="1984"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决算金额</w:t>
            </w:r>
          </w:p>
        </w:tc>
        <w:tc>
          <w:tcPr>
            <w:tcW w:w="1962"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增减金额</w:t>
            </w:r>
          </w:p>
        </w:tc>
      </w:tr>
      <w:tr>
        <w:tblPrEx>
          <w:shd w:val="clear" w:color="auto" w:fill="auto"/>
          <w:tblCellMar>
            <w:top w:w="0" w:type="dxa"/>
            <w:left w:w="0" w:type="dxa"/>
            <w:bottom w:w="0" w:type="dxa"/>
            <w:right w:w="0" w:type="dxa"/>
          </w:tblCellMar>
        </w:tblPrEx>
        <w:trPr>
          <w:trHeight w:val="523" w:hRule="atLeast"/>
        </w:trPr>
        <w:tc>
          <w:tcPr>
            <w:tcW w:w="1739"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基本支出</w:t>
            </w:r>
          </w:p>
        </w:tc>
        <w:tc>
          <w:tcPr>
            <w:tcW w:w="227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141.2</w:t>
            </w:r>
          </w:p>
        </w:tc>
        <w:tc>
          <w:tcPr>
            <w:tcW w:w="198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237.15</w:t>
            </w:r>
          </w:p>
        </w:tc>
        <w:tc>
          <w:tcPr>
            <w:tcW w:w="196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95.95</w:t>
            </w:r>
          </w:p>
        </w:tc>
      </w:tr>
      <w:tr>
        <w:tblPrEx>
          <w:shd w:val="clear" w:color="auto" w:fill="auto"/>
          <w:tblCellMar>
            <w:top w:w="0" w:type="dxa"/>
            <w:left w:w="0" w:type="dxa"/>
            <w:bottom w:w="0" w:type="dxa"/>
            <w:right w:w="0" w:type="dxa"/>
          </w:tblCellMar>
        </w:tblPrEx>
        <w:trPr>
          <w:trHeight w:val="523" w:hRule="atLeast"/>
        </w:trPr>
        <w:tc>
          <w:tcPr>
            <w:tcW w:w="1739"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项目支出</w:t>
            </w:r>
          </w:p>
        </w:tc>
        <w:tc>
          <w:tcPr>
            <w:tcW w:w="227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30</w:t>
            </w:r>
          </w:p>
        </w:tc>
        <w:tc>
          <w:tcPr>
            <w:tcW w:w="198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0</w:t>
            </w:r>
          </w:p>
        </w:tc>
        <w:tc>
          <w:tcPr>
            <w:tcW w:w="196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-30</w:t>
            </w:r>
          </w:p>
        </w:tc>
      </w:tr>
      <w:tr>
        <w:tblPrEx>
          <w:shd w:val="clear" w:color="auto" w:fill="auto"/>
          <w:tblCellMar>
            <w:top w:w="0" w:type="dxa"/>
            <w:left w:w="0" w:type="dxa"/>
            <w:bottom w:w="0" w:type="dxa"/>
            <w:right w:w="0" w:type="dxa"/>
          </w:tblCellMar>
        </w:tblPrEx>
        <w:trPr>
          <w:trHeight w:val="523" w:hRule="atLeast"/>
        </w:trPr>
        <w:tc>
          <w:tcPr>
            <w:tcW w:w="1739"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27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98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96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400" w:hRule="atLeast"/>
        </w:trPr>
        <w:tc>
          <w:tcPr>
            <w:tcW w:w="1739"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小计</w:t>
            </w:r>
          </w:p>
        </w:tc>
        <w:tc>
          <w:tcPr>
            <w:tcW w:w="2270"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171.2</w:t>
            </w:r>
          </w:p>
        </w:tc>
        <w:tc>
          <w:tcPr>
            <w:tcW w:w="198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237.15</w:t>
            </w:r>
          </w:p>
        </w:tc>
        <w:tc>
          <w:tcPr>
            <w:tcW w:w="1962"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65.95</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20" w:right="0" w:hanging="420"/>
        <w:jc w:val="left"/>
        <w:rPr>
          <w:rFonts w:hint="default" w:ascii="Times New Roman" w:hAnsi="Times New Roman" w:cs="Times New Roman"/>
          <w:sz w:val="21"/>
          <w:szCs w:val="21"/>
        </w:rPr>
      </w:pPr>
      <w:r>
        <w:rPr>
          <w:rFonts w:hint="eastAsia" w:ascii="宋体" w:hAnsi="宋体" w:eastAsia="宋体" w:cs="宋体"/>
          <w:i w:val="0"/>
          <w:caps w:val="0"/>
          <w:color w:val="000000"/>
          <w:spacing w:val="0"/>
          <w:sz w:val="28"/>
          <w:szCs w:val="28"/>
        </w:rPr>
        <w:t>   说明：决算比预算大是因为：一是在职人员增调基本工资、津补贴，二是机关事业单位养老保险改革所需要的人员支出、网络维护等开支增加，三是用于支持中心工作开展的支出增加。四是2019年扶贫工作是重点，我站非常重视，扶贫开支加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三、部门整体支出管理及使用情况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仿宋" w:hAnsi="仿宋" w:eastAsia="仿宋" w:cs="仿宋"/>
          <w:b w:val="0"/>
          <w:i w:val="0"/>
          <w:caps w:val="0"/>
          <w:color w:val="000000"/>
          <w:spacing w:val="0"/>
          <w:sz w:val="32"/>
          <w:szCs w:val="32"/>
        </w:rPr>
        <w:t>（一）基本支出管理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pPr>
      <w:r>
        <w:rPr>
          <w:rFonts w:hint="eastAsia" w:ascii="仿宋" w:hAnsi="仿宋" w:eastAsia="仿宋" w:cs="仿宋"/>
          <w:b w:val="0"/>
          <w:i w:val="0"/>
          <w:caps w:val="0"/>
          <w:color w:val="000000"/>
          <w:spacing w:val="0"/>
          <w:sz w:val="32"/>
          <w:szCs w:val="32"/>
        </w:rPr>
        <w:t>1、基本支出总额使用和管理</w:t>
      </w:r>
    </w:p>
    <w:tbl>
      <w:tblPr>
        <w:tblStyle w:val="5"/>
        <w:tblW w:w="0" w:type="auto"/>
        <w:jc w:val="center"/>
        <w:shd w:val="clear" w:color="auto" w:fill="auto"/>
        <w:tblLayout w:type="autofit"/>
        <w:tblCellMar>
          <w:top w:w="0" w:type="dxa"/>
          <w:left w:w="0" w:type="dxa"/>
          <w:bottom w:w="0" w:type="dxa"/>
          <w:right w:w="0" w:type="dxa"/>
        </w:tblCellMar>
      </w:tblPr>
      <w:tblGrid>
        <w:gridCol w:w="2392"/>
        <w:gridCol w:w="1666"/>
        <w:gridCol w:w="1604"/>
        <w:gridCol w:w="2438"/>
      </w:tblGrid>
      <w:tr>
        <w:tblPrEx>
          <w:shd w:val="clear" w:color="auto" w:fill="auto"/>
          <w:tblCellMar>
            <w:top w:w="0" w:type="dxa"/>
            <w:left w:w="0" w:type="dxa"/>
            <w:bottom w:w="0" w:type="dxa"/>
            <w:right w:w="0" w:type="dxa"/>
          </w:tblCellMar>
        </w:tblPrEx>
        <w:trPr>
          <w:trHeight w:val="401"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 </w:t>
            </w:r>
            <w:r>
              <w:rPr>
                <w:rFonts w:hint="eastAsia" w:ascii="仿宋" w:hAnsi="仿宋" w:eastAsia="仿宋" w:cs="仿宋"/>
                <w:color w:val="000000"/>
                <w:sz w:val="21"/>
                <w:szCs w:val="21"/>
              </w:rPr>
              <w:t>预决算支出项目</w:t>
            </w:r>
          </w:p>
        </w:tc>
        <w:tc>
          <w:tcPr>
            <w:tcW w:w="16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预算金额</w:t>
            </w:r>
          </w:p>
        </w:tc>
        <w:tc>
          <w:tcPr>
            <w:tcW w:w="16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决算金额</w:t>
            </w:r>
          </w:p>
        </w:tc>
        <w:tc>
          <w:tcPr>
            <w:tcW w:w="243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节约/超支金额</w:t>
            </w:r>
          </w:p>
        </w:tc>
      </w:tr>
      <w:tr>
        <w:tblPrEx>
          <w:shd w:val="clear" w:color="auto" w:fill="auto"/>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工资福利支出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87.80</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179.04</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91.24</w:t>
            </w:r>
          </w:p>
        </w:tc>
      </w:tr>
      <w:tr>
        <w:tblPrEx>
          <w:shd w:val="clear" w:color="auto" w:fill="auto"/>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商品和服务支出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24.28</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54.51</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30.23</w:t>
            </w:r>
          </w:p>
        </w:tc>
      </w:tr>
      <w:tr>
        <w:tblPrEx>
          <w:shd w:val="clear" w:color="auto" w:fill="auto"/>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对个人和家庭的补助</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29.12</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2.91</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-26.21</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资本性支出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0</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0.68</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0.68</w:t>
            </w:r>
          </w:p>
        </w:tc>
      </w:tr>
      <w:tr>
        <w:tblPrEx>
          <w:tblCellMar>
            <w:top w:w="0" w:type="dxa"/>
            <w:left w:w="0" w:type="dxa"/>
            <w:bottom w:w="0" w:type="dxa"/>
            <w:right w:w="0" w:type="dxa"/>
          </w:tblCellMar>
        </w:tblPrEx>
        <w:trPr>
          <w:trHeight w:val="495" w:hRule="atLeast"/>
          <w:jc w:val="center"/>
        </w:trPr>
        <w:tc>
          <w:tcPr>
            <w:tcW w:w="2392"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合计</w:t>
            </w:r>
          </w:p>
        </w:tc>
        <w:tc>
          <w:tcPr>
            <w:tcW w:w="1666"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141.2</w:t>
            </w:r>
          </w:p>
        </w:tc>
        <w:tc>
          <w:tcPr>
            <w:tcW w:w="1604"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237.15</w:t>
            </w:r>
          </w:p>
        </w:tc>
        <w:tc>
          <w:tcPr>
            <w:tcW w:w="2438"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95.95</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16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2、基本支出中各费用明细支出管理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16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（1）工资福利支出</w:t>
      </w:r>
    </w:p>
    <w:tbl>
      <w:tblPr>
        <w:tblStyle w:val="5"/>
        <w:tblW w:w="0" w:type="auto"/>
        <w:jc w:val="center"/>
        <w:shd w:val="clear" w:color="auto" w:fill="auto"/>
        <w:tblLayout w:type="autofit"/>
        <w:tblCellMar>
          <w:top w:w="0" w:type="dxa"/>
          <w:left w:w="0" w:type="dxa"/>
          <w:bottom w:w="0" w:type="dxa"/>
          <w:right w:w="0" w:type="dxa"/>
        </w:tblCellMar>
      </w:tblPr>
      <w:tblGrid>
        <w:gridCol w:w="2431"/>
        <w:gridCol w:w="1135"/>
        <w:gridCol w:w="1135"/>
        <w:gridCol w:w="1417"/>
        <w:gridCol w:w="1664"/>
      </w:tblGrid>
      <w:tr>
        <w:tblPrEx>
          <w:shd w:val="clear" w:color="auto" w:fill="auto"/>
          <w:tblCellMar>
            <w:top w:w="0" w:type="dxa"/>
            <w:left w:w="0" w:type="dxa"/>
            <w:bottom w:w="0" w:type="dxa"/>
            <w:right w:w="0" w:type="dxa"/>
          </w:tblCellMar>
        </w:tblPrEx>
        <w:trPr>
          <w:trHeight w:val="888" w:hRule="atLeast"/>
          <w:jc w:val="center"/>
        </w:trPr>
        <w:tc>
          <w:tcPr>
            <w:tcW w:w="2431"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费用项目</w:t>
            </w:r>
          </w:p>
        </w:tc>
        <w:tc>
          <w:tcPr>
            <w:tcW w:w="1135"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预算金额</w:t>
            </w:r>
          </w:p>
        </w:tc>
        <w:tc>
          <w:tcPr>
            <w:tcW w:w="1135"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决算金额</w:t>
            </w:r>
          </w:p>
        </w:tc>
        <w:tc>
          <w:tcPr>
            <w:tcW w:w="1417"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节约/超支金额</w:t>
            </w:r>
          </w:p>
        </w:tc>
        <w:tc>
          <w:tcPr>
            <w:tcW w:w="1664"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节约/超支率</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基本工资</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38.43</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43.21</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4.78</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12.44%</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津贴补贴</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29.25</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27.91</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-1.34</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-4.58%</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奖金</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3.2</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85.04</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81.84</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2557.50%</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伙食补助费</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6.08</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6.08</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绩效工资</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机关事业单位基本养老保险缴费</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职业年金缴费</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职工基本医疗保险缴费</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7.13</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-7.13</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-100.00%</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公务员医疗补助缴费</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其他社会保障缴费</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1.28</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0.04</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-1.24</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-96.88%</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住房公积金</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8.51</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-8.51</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-100.00%</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医疗费</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其他工资福利支出</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w:t>
            </w:r>
          </w:p>
        </w:tc>
        <w:tc>
          <w:tcPr>
            <w:tcW w:w="113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16.76</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16.76</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411" w:hRule="atLeast"/>
          <w:jc w:val="center"/>
        </w:trPr>
        <w:tc>
          <w:tcPr>
            <w:tcW w:w="2431"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合计</w:t>
            </w:r>
          </w:p>
        </w:tc>
        <w:tc>
          <w:tcPr>
            <w:tcW w:w="113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87.8</w:t>
            </w:r>
          </w:p>
        </w:tc>
        <w:tc>
          <w:tcPr>
            <w:tcW w:w="113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179.04</w:t>
            </w:r>
          </w:p>
        </w:tc>
        <w:tc>
          <w:tcPr>
            <w:tcW w:w="1417"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91.24</w:t>
            </w:r>
          </w:p>
        </w:tc>
        <w:tc>
          <w:tcPr>
            <w:tcW w:w="166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103.92%</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说明：</w:t>
      </w:r>
      <w:r>
        <w:rPr>
          <w:rFonts w:hint="eastAsia" w:ascii="宋体" w:hAnsi="宋体" w:eastAsia="宋体" w:cs="宋体"/>
          <w:i w:val="0"/>
          <w:caps w:val="0"/>
          <w:color w:val="000000"/>
          <w:spacing w:val="0"/>
          <w:sz w:val="28"/>
          <w:szCs w:val="28"/>
        </w:rPr>
        <w:t>工资福利支出超出预算，原因：一是因为年初预算金额有限，二是本年度有在职人员增调工资等开支，导致工资福利支出超出预算。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16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（2）商品和服务支出</w:t>
      </w:r>
    </w:p>
    <w:tbl>
      <w:tblPr>
        <w:tblStyle w:val="5"/>
        <w:tblW w:w="0" w:type="auto"/>
        <w:jc w:val="center"/>
        <w:shd w:val="clear" w:color="auto" w:fill="auto"/>
        <w:tblLayout w:type="autofit"/>
        <w:tblCellMar>
          <w:top w:w="0" w:type="dxa"/>
          <w:left w:w="0" w:type="dxa"/>
          <w:bottom w:w="0" w:type="dxa"/>
          <w:right w:w="0" w:type="dxa"/>
        </w:tblCellMar>
      </w:tblPr>
      <w:tblGrid>
        <w:gridCol w:w="2133"/>
        <w:gridCol w:w="1398"/>
        <w:gridCol w:w="1537"/>
        <w:gridCol w:w="1429"/>
        <w:gridCol w:w="1643"/>
      </w:tblGrid>
      <w:tr>
        <w:tblPrEx>
          <w:shd w:val="clear" w:color="auto" w:fill="auto"/>
        </w:tblPrEx>
        <w:trPr>
          <w:trHeight w:val="343" w:hRule="atLeast"/>
          <w:tblHeader/>
          <w:jc w:val="center"/>
        </w:trPr>
        <w:tc>
          <w:tcPr>
            <w:tcW w:w="213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支出项目</w:t>
            </w:r>
          </w:p>
        </w:tc>
        <w:tc>
          <w:tcPr>
            <w:tcW w:w="139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预算金额</w:t>
            </w:r>
          </w:p>
        </w:tc>
        <w:tc>
          <w:tcPr>
            <w:tcW w:w="153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决算金额</w:t>
            </w:r>
          </w:p>
        </w:tc>
        <w:tc>
          <w:tcPr>
            <w:tcW w:w="142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增减额</w:t>
            </w:r>
          </w:p>
        </w:tc>
        <w:tc>
          <w:tcPr>
            <w:tcW w:w="164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增减率</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办公费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2.6</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10.77</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8.17</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314.23%</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印刷费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-100.00%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咨询费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手续费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水电费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0.7</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1.73</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1.03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147.14%</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邮电费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0.15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1.49</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1.34</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893.33%</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取暖费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物业管理费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差旅费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2.5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9.36</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6.86</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274.40%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因公出国（境）费用</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维修（护）费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0.1</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1.12</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1.02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1020.00%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租赁费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会议费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0.2</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-100.00%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培训费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0.2</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0.34</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0.14</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70.00%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公务接待费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3.0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0.45</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-2.55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-85.00%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专用材料费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被装购置费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专用燃料费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劳务费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0.2</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1.68</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Times New Roman" w:hAnsi="Times New Roman" w:cs="Times New Roman"/>
                <w:sz w:val="21"/>
                <w:szCs w:val="21"/>
              </w:rPr>
            </w:pPr>
            <w:r>
              <w:rPr>
                <w:rFonts w:hint="eastAsia" w:ascii="宋体" w:hAnsi="宋体" w:eastAsia="宋体" w:cs="宋体"/>
                <w:color w:val="000000"/>
                <w:sz w:val="22"/>
                <w:szCs w:val="22"/>
              </w:rPr>
              <w:t>1.48</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Times New Roman" w:hAnsi="Times New Roman" w:cs="Times New Roman"/>
                <w:sz w:val="21"/>
                <w:szCs w:val="21"/>
              </w:rPr>
            </w:pPr>
            <w:r>
              <w:rPr>
                <w:rFonts w:hint="eastAsia" w:ascii="宋体" w:hAnsi="宋体" w:eastAsia="宋体" w:cs="宋体"/>
                <w:color w:val="000000"/>
                <w:sz w:val="22"/>
                <w:szCs w:val="22"/>
              </w:rPr>
              <w:t>740.00%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委托业务费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0.25</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Times New Roman" w:hAnsi="Times New Roman" w:cs="Times New Roman"/>
                <w:sz w:val="21"/>
                <w:szCs w:val="21"/>
              </w:rPr>
            </w:pPr>
            <w:r>
              <w:rPr>
                <w:rFonts w:hint="eastAsia" w:ascii="宋体" w:hAnsi="宋体" w:eastAsia="宋体" w:cs="宋体"/>
                <w:color w:val="000000"/>
                <w:sz w:val="22"/>
                <w:szCs w:val="22"/>
              </w:rPr>
              <w:t>0.25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工会经费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3.05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3.03</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Times New Roman" w:hAnsi="Times New Roman" w:cs="Times New Roman"/>
                <w:sz w:val="21"/>
                <w:szCs w:val="21"/>
              </w:rPr>
            </w:pPr>
            <w:r>
              <w:rPr>
                <w:rFonts w:hint="eastAsia" w:ascii="宋体" w:hAnsi="宋体" w:eastAsia="宋体" w:cs="宋体"/>
                <w:color w:val="000000"/>
                <w:sz w:val="22"/>
                <w:szCs w:val="22"/>
              </w:rPr>
              <w:t>-0.02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Times New Roman" w:hAnsi="Times New Roman" w:cs="Times New Roman"/>
                <w:sz w:val="21"/>
                <w:szCs w:val="21"/>
              </w:rPr>
            </w:pPr>
            <w:r>
              <w:rPr>
                <w:rFonts w:hint="eastAsia" w:ascii="宋体" w:hAnsi="宋体" w:eastAsia="宋体" w:cs="宋体"/>
                <w:color w:val="000000"/>
                <w:sz w:val="22"/>
                <w:szCs w:val="22"/>
              </w:rPr>
              <w:t>-0.66%</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福利费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公务用车运行维护费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其他交通费用</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10.08</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Times New Roman" w:hAnsi="Times New Roman" w:cs="Times New Roman"/>
                <w:sz w:val="21"/>
                <w:szCs w:val="21"/>
              </w:rPr>
            </w:pPr>
            <w:r>
              <w:rPr>
                <w:rFonts w:hint="eastAsia" w:ascii="宋体" w:hAnsi="宋体" w:eastAsia="宋体" w:cs="宋体"/>
                <w:color w:val="000000"/>
                <w:sz w:val="22"/>
                <w:szCs w:val="22"/>
              </w:rPr>
              <w:t>-0.08</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30" w:right="0" w:hanging="330"/>
              <w:jc w:val="center"/>
              <w:textAlignment w:val="center"/>
              <w:rPr>
                <w:rFonts w:hint="default" w:ascii="Times New Roman" w:hAnsi="Times New Roman" w:cs="Times New Roman"/>
                <w:sz w:val="21"/>
                <w:szCs w:val="21"/>
              </w:rPr>
            </w:pPr>
            <w:r>
              <w:rPr>
                <w:rFonts w:hint="eastAsia" w:ascii="宋体" w:hAnsi="宋体" w:eastAsia="宋体" w:cs="宋体"/>
                <w:color w:val="000000"/>
                <w:sz w:val="22"/>
                <w:szCs w:val="22"/>
              </w:rPr>
              <w:t>-0.79%</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税金及附加费用</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其他商品和服务支出</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14.29</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13.29</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1329.00%</w:t>
            </w:r>
          </w:p>
        </w:tc>
      </w:tr>
      <w:tr>
        <w:tblPrEx>
          <w:shd w:val="clear" w:color="auto" w:fill="auto"/>
          <w:tblCellMar>
            <w:top w:w="0" w:type="dxa"/>
            <w:left w:w="0" w:type="dxa"/>
            <w:bottom w:w="0" w:type="dxa"/>
            <w:right w:w="0" w:type="dxa"/>
          </w:tblCellMar>
        </w:tblPrEx>
        <w:trPr>
          <w:trHeight w:val="359" w:hRule="atLeast"/>
          <w:jc w:val="center"/>
        </w:trPr>
        <w:tc>
          <w:tcPr>
            <w:tcW w:w="2133" w:type="dxa"/>
            <w:tcBorders>
              <w:top w:val="nil"/>
              <w:left w:val="single" w:color="auto" w:sz="8" w:space="0"/>
              <w:bottom w:val="single" w:color="auto" w:sz="8" w:space="0"/>
              <w:right w:val="single" w:color="auto" w:sz="8" w:space="0"/>
            </w:tcBorders>
            <w:shd w:val="clear" w:color="auto" w:fill="C0C0C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合计</w:t>
            </w:r>
          </w:p>
        </w:tc>
        <w:tc>
          <w:tcPr>
            <w:tcW w:w="1398"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24.28</w:t>
            </w:r>
          </w:p>
        </w:tc>
        <w:tc>
          <w:tcPr>
            <w:tcW w:w="1537"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54.51</w:t>
            </w:r>
          </w:p>
        </w:tc>
        <w:tc>
          <w:tcPr>
            <w:tcW w:w="1429"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30.23</w:t>
            </w:r>
          </w:p>
        </w:tc>
        <w:tc>
          <w:tcPr>
            <w:tcW w:w="1643"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124.51%</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0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0"/>
          <w:szCs w:val="30"/>
        </w:rPr>
        <w:t>说明：1、预算不合理，不科学，根本就没有根据实际情况进行预算。2、办公经费增幅比较大是因为（1）2019年我站更换了一批新的电脑、打印机等办公用品；（2）我站宣传养老保险政策需要复印大量资料；（3）2019年</w:t>
      </w:r>
      <w:r>
        <w:rPr>
          <w:rFonts w:hint="eastAsia" w:ascii="仿宋" w:hAnsi="仿宋" w:eastAsia="仿宋" w:cs="仿宋"/>
          <w:i w:val="0"/>
          <w:caps w:val="0"/>
          <w:color w:val="000000"/>
          <w:spacing w:val="0"/>
          <w:sz w:val="30"/>
          <w:szCs w:val="30"/>
          <w:lang w:eastAsia="zh-CN"/>
        </w:rPr>
        <w:t>脱贫攻坚</w:t>
      </w:r>
      <w:r>
        <w:rPr>
          <w:rFonts w:hint="eastAsia" w:ascii="仿宋" w:hAnsi="仿宋" w:eastAsia="仿宋" w:cs="仿宋"/>
          <w:i w:val="0"/>
          <w:caps w:val="0"/>
          <w:color w:val="000000"/>
          <w:spacing w:val="0"/>
          <w:sz w:val="30"/>
          <w:szCs w:val="30"/>
        </w:rPr>
        <w:t>年开支增大；3、我站严格按照有关规定严格控制公务接待，所以公务接待费降幅很大。4、2018年我站成立了新邵县机关养老保险站工会，根据文件从经费中专门拨付了工会经费，工会开支增大。5、由于2019年的工作范围的扩大，任务的增多，导致其他商品和服务支出比预算大幅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16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（3）对个人和家庭的补助</w:t>
      </w:r>
    </w:p>
    <w:tbl>
      <w:tblPr>
        <w:tblStyle w:val="5"/>
        <w:tblW w:w="8370" w:type="dxa"/>
        <w:tblInd w:w="0" w:type="dxa"/>
        <w:shd w:val="clear" w:color="auto" w:fill="auto"/>
        <w:tblLayout w:type="autofit"/>
        <w:tblCellMar>
          <w:top w:w="0" w:type="dxa"/>
          <w:left w:w="0" w:type="dxa"/>
          <w:bottom w:w="0" w:type="dxa"/>
          <w:right w:w="0" w:type="dxa"/>
        </w:tblCellMar>
      </w:tblPr>
      <w:tblGrid>
        <w:gridCol w:w="1817"/>
        <w:gridCol w:w="1539"/>
        <w:gridCol w:w="1561"/>
        <w:gridCol w:w="1876"/>
        <w:gridCol w:w="1577"/>
      </w:tblGrid>
      <w:tr>
        <w:tblPrEx>
          <w:shd w:val="clear" w:color="auto" w:fill="auto"/>
          <w:tblCellMar>
            <w:top w:w="0" w:type="dxa"/>
            <w:left w:w="0" w:type="dxa"/>
            <w:bottom w:w="0" w:type="dxa"/>
            <w:right w:w="0" w:type="dxa"/>
          </w:tblCellMar>
        </w:tblPrEx>
        <w:trPr>
          <w:trHeight w:val="464" w:hRule="atLeast"/>
        </w:trPr>
        <w:tc>
          <w:tcPr>
            <w:tcW w:w="1816"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支出项目</w:t>
            </w:r>
          </w:p>
        </w:tc>
        <w:tc>
          <w:tcPr>
            <w:tcW w:w="1538"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预算金额</w:t>
            </w:r>
          </w:p>
        </w:tc>
        <w:tc>
          <w:tcPr>
            <w:tcW w:w="1560"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决算金额</w:t>
            </w:r>
          </w:p>
        </w:tc>
        <w:tc>
          <w:tcPr>
            <w:tcW w:w="1875"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结余/超支金额</w:t>
            </w:r>
          </w:p>
        </w:tc>
        <w:tc>
          <w:tcPr>
            <w:tcW w:w="1575"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结余/超支率</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离休费</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退休费</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29.12</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0.63</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-28.49</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-97.84%</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退职（役）费</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抚恤金</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生活补助</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1.98</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1.98</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100%</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救济费</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医疗费补助</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助学金</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奖励金</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个人农业生产补贴</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其他对个人和家庭的补助支出</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0.3</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0.3</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451" w:hRule="atLeast"/>
        </w:trPr>
        <w:tc>
          <w:tcPr>
            <w:tcW w:w="1816"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合计</w:t>
            </w:r>
          </w:p>
        </w:tc>
        <w:tc>
          <w:tcPr>
            <w:tcW w:w="1538"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29.12</w:t>
            </w:r>
          </w:p>
        </w:tc>
        <w:tc>
          <w:tcPr>
            <w:tcW w:w="1560"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2.91</w:t>
            </w:r>
          </w:p>
        </w:tc>
        <w:tc>
          <w:tcPr>
            <w:tcW w:w="187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-26.21</w:t>
            </w:r>
          </w:p>
        </w:tc>
        <w:tc>
          <w:tcPr>
            <w:tcW w:w="157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-90.01%</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80" w:right="0" w:hanging="480"/>
        <w:jc w:val="left"/>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说明：</w:t>
      </w:r>
      <w:r>
        <w:rPr>
          <w:rFonts w:hint="eastAsia" w:ascii="宋体" w:hAnsi="宋体" w:eastAsia="宋体" w:cs="宋体"/>
          <w:i w:val="0"/>
          <w:caps w:val="0"/>
          <w:color w:val="000000"/>
          <w:spacing w:val="0"/>
          <w:sz w:val="28"/>
          <w:szCs w:val="28"/>
        </w:rPr>
        <w:t>对个人和家庭的补助支出较预算有所结余，是由于退休费、住房公积金统一部门支付，所以较预算有所节约。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16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（二）“三公经费”支出使用和管理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16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1、“三公经费”预算执行</w:t>
      </w:r>
    </w:p>
    <w:tbl>
      <w:tblPr>
        <w:tblStyle w:val="5"/>
        <w:tblW w:w="8430" w:type="dxa"/>
        <w:jc w:val="center"/>
        <w:shd w:val="clear" w:color="auto" w:fill="auto"/>
        <w:tblLayout w:type="autofit"/>
        <w:tblCellMar>
          <w:top w:w="0" w:type="dxa"/>
          <w:left w:w="0" w:type="dxa"/>
          <w:bottom w:w="0" w:type="dxa"/>
          <w:right w:w="0" w:type="dxa"/>
        </w:tblCellMar>
      </w:tblPr>
      <w:tblGrid>
        <w:gridCol w:w="1631"/>
        <w:gridCol w:w="1064"/>
        <w:gridCol w:w="1124"/>
        <w:gridCol w:w="1004"/>
        <w:gridCol w:w="1169"/>
        <w:gridCol w:w="1148"/>
        <w:gridCol w:w="1290"/>
      </w:tblGrid>
      <w:tr>
        <w:tblPrEx>
          <w:shd w:val="clear" w:color="auto" w:fill="auto"/>
          <w:tblCellMar>
            <w:top w:w="0" w:type="dxa"/>
            <w:left w:w="0" w:type="dxa"/>
            <w:bottom w:w="0" w:type="dxa"/>
            <w:right w:w="0" w:type="dxa"/>
          </w:tblCellMar>
        </w:tblPrEx>
        <w:trPr>
          <w:trHeight w:val="364" w:hRule="atLeast"/>
          <w:jc w:val="center"/>
        </w:trPr>
        <w:tc>
          <w:tcPr>
            <w:tcW w:w="1632" w:type="dxa"/>
            <w:vMerge w:val="restart"/>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费用项目</w:t>
            </w:r>
          </w:p>
        </w:tc>
        <w:tc>
          <w:tcPr>
            <w:tcW w:w="2190"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本年预算</w:t>
            </w:r>
          </w:p>
        </w:tc>
        <w:tc>
          <w:tcPr>
            <w:tcW w:w="2175"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本年决算</w:t>
            </w:r>
          </w:p>
        </w:tc>
        <w:tc>
          <w:tcPr>
            <w:tcW w:w="2439"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结余/超支</w:t>
            </w:r>
          </w:p>
        </w:tc>
      </w:tr>
      <w:tr>
        <w:tblPrEx>
          <w:shd w:val="clear" w:color="auto" w:fill="auto"/>
          <w:tblCellMar>
            <w:top w:w="0" w:type="dxa"/>
            <w:left w:w="0" w:type="dxa"/>
            <w:bottom w:w="0" w:type="dxa"/>
            <w:right w:w="0" w:type="dxa"/>
          </w:tblCellMar>
        </w:tblPrEx>
        <w:trPr>
          <w:trHeight w:val="580" w:hRule="atLeast"/>
          <w:jc w:val="center"/>
        </w:trPr>
        <w:tc>
          <w:tcPr>
            <w:tcW w:w="1632" w:type="dxa"/>
            <w:vMerge w:val="continue"/>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rPr>
                <w:rFonts w:hint="eastAsia" w:ascii="宋体"/>
                <w:sz w:val="24"/>
                <w:szCs w:val="24"/>
              </w:rPr>
            </w:pPr>
          </w:p>
        </w:tc>
        <w:tc>
          <w:tcPr>
            <w:tcW w:w="1065"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基本支出</w:t>
            </w:r>
          </w:p>
        </w:tc>
        <w:tc>
          <w:tcPr>
            <w:tcW w:w="1125"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项目支出</w:t>
            </w:r>
          </w:p>
        </w:tc>
        <w:tc>
          <w:tcPr>
            <w:tcW w:w="1005"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基本支出</w:t>
            </w:r>
          </w:p>
        </w:tc>
        <w:tc>
          <w:tcPr>
            <w:tcW w:w="1170"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项目支出</w:t>
            </w:r>
          </w:p>
        </w:tc>
        <w:tc>
          <w:tcPr>
            <w:tcW w:w="1149"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基本支出</w:t>
            </w:r>
          </w:p>
        </w:tc>
        <w:tc>
          <w:tcPr>
            <w:tcW w:w="1290"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项目支出</w:t>
            </w:r>
          </w:p>
        </w:tc>
      </w:tr>
      <w:tr>
        <w:tblPrEx>
          <w:shd w:val="clear" w:color="auto" w:fill="auto"/>
          <w:tblCellMar>
            <w:top w:w="0" w:type="dxa"/>
            <w:left w:w="0" w:type="dxa"/>
            <w:bottom w:w="0" w:type="dxa"/>
            <w:right w:w="0" w:type="dxa"/>
          </w:tblCellMar>
        </w:tblPrEx>
        <w:trPr>
          <w:trHeight w:val="364"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公务接待费</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3.0</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0.45</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结余2.55</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400"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公车运行维护费</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430"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公务车购置费</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64"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因公出国费用</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64"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399" w:hRule="atLeast"/>
          <w:jc w:val="center"/>
        </w:trPr>
        <w:tc>
          <w:tcPr>
            <w:tcW w:w="1632" w:type="dxa"/>
            <w:tcBorders>
              <w:top w:val="nil"/>
              <w:left w:val="single" w:color="auto" w:sz="8" w:space="0"/>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合计</w:t>
            </w:r>
          </w:p>
        </w:tc>
        <w:tc>
          <w:tcPr>
            <w:tcW w:w="1065" w:type="dxa"/>
            <w:tcBorders>
              <w:top w:val="nil"/>
              <w:left w:val="nil"/>
              <w:bottom w:val="single" w:color="auto" w:sz="8" w:space="0"/>
              <w:right w:val="single" w:color="auto"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3.0</w:t>
            </w:r>
          </w:p>
        </w:tc>
        <w:tc>
          <w:tcPr>
            <w:tcW w:w="1125" w:type="dxa"/>
            <w:tcBorders>
              <w:top w:val="nil"/>
              <w:left w:val="nil"/>
              <w:bottom w:val="single" w:color="auto" w:sz="8" w:space="0"/>
              <w:right w:val="single" w:color="auto"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005" w:type="dxa"/>
            <w:tcBorders>
              <w:top w:val="nil"/>
              <w:left w:val="nil"/>
              <w:bottom w:val="single" w:color="auto" w:sz="8" w:space="0"/>
              <w:right w:val="single" w:color="auto"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0.45</w:t>
            </w:r>
          </w:p>
        </w:tc>
        <w:tc>
          <w:tcPr>
            <w:tcW w:w="1170" w:type="dxa"/>
            <w:tcBorders>
              <w:top w:val="nil"/>
              <w:left w:val="nil"/>
              <w:bottom w:val="single" w:color="auto" w:sz="8" w:space="0"/>
              <w:right w:val="single" w:color="auto"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149" w:type="dxa"/>
            <w:tcBorders>
              <w:top w:val="nil"/>
              <w:left w:val="nil"/>
              <w:bottom w:val="single" w:color="auto" w:sz="8" w:space="0"/>
              <w:right w:val="single" w:color="auto"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结余2.55</w:t>
            </w:r>
          </w:p>
        </w:tc>
        <w:tc>
          <w:tcPr>
            <w:tcW w:w="1290" w:type="dxa"/>
            <w:tcBorders>
              <w:top w:val="nil"/>
              <w:left w:val="nil"/>
              <w:bottom w:val="single" w:color="auto" w:sz="8" w:space="0"/>
              <w:right w:val="single" w:color="auto"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说明：我站严格按照相关规定严格控制公务接待支出，比预算节省了大笔开支。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16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2、“三公经费”与上年度比较</w:t>
      </w:r>
    </w:p>
    <w:tbl>
      <w:tblPr>
        <w:tblStyle w:val="5"/>
        <w:tblW w:w="0" w:type="auto"/>
        <w:jc w:val="center"/>
        <w:shd w:val="clear" w:color="auto" w:fill="auto"/>
        <w:tblLayout w:type="autofit"/>
        <w:tblCellMar>
          <w:top w:w="0" w:type="dxa"/>
          <w:left w:w="0" w:type="dxa"/>
          <w:bottom w:w="0" w:type="dxa"/>
          <w:right w:w="0" w:type="dxa"/>
        </w:tblCellMar>
      </w:tblPr>
      <w:tblGrid>
        <w:gridCol w:w="1795"/>
        <w:gridCol w:w="1179"/>
        <w:gridCol w:w="1255"/>
        <w:gridCol w:w="1249"/>
        <w:gridCol w:w="2477"/>
      </w:tblGrid>
      <w:tr>
        <w:tblPrEx>
          <w:shd w:val="clear" w:color="auto" w:fill="auto"/>
          <w:tblCellMar>
            <w:top w:w="0" w:type="dxa"/>
            <w:left w:w="0" w:type="dxa"/>
            <w:bottom w:w="0" w:type="dxa"/>
            <w:right w:w="0" w:type="dxa"/>
          </w:tblCellMar>
        </w:tblPrEx>
        <w:trPr>
          <w:trHeight w:val="331" w:hRule="atLeast"/>
          <w:jc w:val="center"/>
        </w:trPr>
        <w:tc>
          <w:tcPr>
            <w:tcW w:w="1795" w:type="dxa"/>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费用项目</w:t>
            </w:r>
          </w:p>
        </w:tc>
        <w:tc>
          <w:tcPr>
            <w:tcW w:w="1179"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本年金额</w:t>
            </w:r>
          </w:p>
        </w:tc>
        <w:tc>
          <w:tcPr>
            <w:tcW w:w="1255"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上年金额</w:t>
            </w:r>
          </w:p>
        </w:tc>
        <w:tc>
          <w:tcPr>
            <w:tcW w:w="1249"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增减额</w:t>
            </w:r>
          </w:p>
        </w:tc>
        <w:tc>
          <w:tcPr>
            <w:tcW w:w="2477"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增减率%</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公务接待费</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0.45</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1.4</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-0.95</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-67.86%</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公车运行维护费</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公务车辆购置费</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因公出国(境)费用</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tblCellMar>
            <w:top w:w="0" w:type="dxa"/>
            <w:left w:w="0" w:type="dxa"/>
            <w:bottom w:w="0" w:type="dxa"/>
            <w:right w:w="0" w:type="dxa"/>
          </w:tblCellMar>
        </w:tblPrEx>
        <w:trPr>
          <w:trHeight w:val="369" w:hRule="atLeast"/>
          <w:jc w:val="center"/>
        </w:trPr>
        <w:tc>
          <w:tcPr>
            <w:tcW w:w="1795" w:type="dxa"/>
            <w:tcBorders>
              <w:top w:val="nil"/>
              <w:left w:val="single" w:color="auto" w:sz="8" w:space="0"/>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合计</w:t>
            </w:r>
          </w:p>
        </w:tc>
        <w:tc>
          <w:tcPr>
            <w:tcW w:w="1179"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0.45</w:t>
            </w:r>
          </w:p>
        </w:tc>
        <w:tc>
          <w:tcPr>
            <w:tcW w:w="1255"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1.4</w:t>
            </w:r>
          </w:p>
        </w:tc>
        <w:tc>
          <w:tcPr>
            <w:tcW w:w="1249"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-0.95</w:t>
            </w:r>
          </w:p>
        </w:tc>
        <w:tc>
          <w:tcPr>
            <w:tcW w:w="2477" w:type="dxa"/>
            <w:tcBorders>
              <w:top w:val="nil"/>
              <w:left w:val="nil"/>
              <w:bottom w:val="single" w:color="auto" w:sz="8" w:space="0"/>
              <w:right w:val="single" w:color="auto"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-67.86%</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说明：公务接待费与2018年比有明显减少，是因为我站严格按照党中央相关规定严格控制公务接待支出。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（三）专项支出管理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16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1、专项资金基本情况及绩效目标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0"/>
          <w:szCs w:val="30"/>
        </w:rPr>
        <w:t>专项资金包括基金项目和经费项目，基金项目是根据省市下达的任务和硬性规定来做预算的，而经费项目的资金是根据所需资金的实际情况做的预算，所以都是专款专用。其中机关养老保险县级配套资金是为了保证养老保险金的及时、足额发放；信息及维护费是专门用来开展专项工作，保证单位工作正常运转和退休工人工资正常发放；养老资格认证是为了以防养老金冒领多领；基金征缴是为了积极响应上级相关要求确保用人单位养老保险征缴到位，保障广大劳工应该享有的基本权利。这些专项资金都是由同级财政拨款，该项目实施后对我站的工作效率和为社会服务水平有了很大的提高，对建设和谐社会发挥了巨大作用，增强了政府的执政能力和公信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2、专项资金预算执行</w:t>
      </w:r>
    </w:p>
    <w:tbl>
      <w:tblPr>
        <w:tblStyle w:val="5"/>
        <w:tblW w:w="8835" w:type="dxa"/>
        <w:tblInd w:w="0" w:type="dxa"/>
        <w:shd w:val="clear" w:color="auto" w:fill="auto"/>
        <w:tblLayout w:type="autofit"/>
        <w:tblCellMar>
          <w:top w:w="0" w:type="dxa"/>
          <w:left w:w="0" w:type="dxa"/>
          <w:bottom w:w="0" w:type="dxa"/>
          <w:right w:w="0" w:type="dxa"/>
        </w:tblCellMar>
      </w:tblPr>
      <w:tblGrid>
        <w:gridCol w:w="2550"/>
        <w:gridCol w:w="750"/>
        <w:gridCol w:w="763"/>
        <w:gridCol w:w="723"/>
        <w:gridCol w:w="777"/>
        <w:gridCol w:w="1363"/>
        <w:gridCol w:w="915"/>
        <w:gridCol w:w="994"/>
      </w:tblGrid>
      <w:tr>
        <w:tblPrEx>
          <w:shd w:val="clear" w:color="auto" w:fill="auto"/>
          <w:tblCellMar>
            <w:top w:w="0" w:type="dxa"/>
            <w:left w:w="0" w:type="dxa"/>
            <w:bottom w:w="0" w:type="dxa"/>
            <w:right w:w="0" w:type="dxa"/>
          </w:tblCellMar>
        </w:tblPrEx>
        <w:trPr>
          <w:trHeight w:val="415" w:hRule="atLeast"/>
        </w:trPr>
        <w:tc>
          <w:tcPr>
            <w:tcW w:w="2552" w:type="dxa"/>
            <w:vMerge w:val="restart"/>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专项子目名称</w:t>
            </w:r>
          </w:p>
        </w:tc>
        <w:tc>
          <w:tcPr>
            <w:tcW w:w="3013" w:type="dxa"/>
            <w:gridSpan w:val="4"/>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本年预算可用指标</w:t>
            </w:r>
          </w:p>
        </w:tc>
        <w:tc>
          <w:tcPr>
            <w:tcW w:w="1364" w:type="dxa"/>
            <w:vMerge w:val="restart"/>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本年实际支出</w:t>
            </w:r>
          </w:p>
        </w:tc>
        <w:tc>
          <w:tcPr>
            <w:tcW w:w="915" w:type="dxa"/>
            <w:vMerge w:val="restart"/>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本年结余</w:t>
            </w:r>
          </w:p>
        </w:tc>
        <w:tc>
          <w:tcPr>
            <w:tcW w:w="994" w:type="dxa"/>
            <w:vMerge w:val="restart"/>
            <w:tcBorders>
              <w:top w:val="single" w:color="auto" w:sz="12" w:space="0"/>
              <w:left w:val="nil"/>
              <w:bottom w:val="single" w:color="auto" w:sz="8" w:space="0"/>
              <w:right w:val="single" w:color="auto"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投入进度</w:t>
            </w:r>
          </w:p>
        </w:tc>
      </w:tr>
      <w:tr>
        <w:tblPrEx>
          <w:tblCellMar>
            <w:top w:w="0" w:type="dxa"/>
            <w:left w:w="0" w:type="dxa"/>
            <w:bottom w:w="0" w:type="dxa"/>
            <w:right w:w="0" w:type="dxa"/>
          </w:tblCellMar>
        </w:tblPrEx>
        <w:trPr>
          <w:trHeight w:val="756" w:hRule="atLeast"/>
        </w:trPr>
        <w:tc>
          <w:tcPr>
            <w:tcW w:w="2552" w:type="dxa"/>
            <w:vMerge w:val="continue"/>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5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上年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结余</w:t>
            </w:r>
          </w:p>
        </w:tc>
        <w:tc>
          <w:tcPr>
            <w:tcW w:w="76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年初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预算</w:t>
            </w:r>
          </w:p>
        </w:tc>
        <w:tc>
          <w:tcPr>
            <w:tcW w:w="72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本年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追加</w:t>
            </w:r>
          </w:p>
        </w:tc>
        <w:tc>
          <w:tcPr>
            <w:tcW w:w="77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合计</w:t>
            </w:r>
          </w:p>
        </w:tc>
        <w:tc>
          <w:tcPr>
            <w:tcW w:w="1364" w:type="dxa"/>
            <w:vMerge w:val="continue"/>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915" w:type="dxa"/>
            <w:vMerge w:val="continue"/>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994" w:type="dxa"/>
            <w:vMerge w:val="continue"/>
            <w:tcBorders>
              <w:top w:val="single" w:color="auto" w:sz="12" w:space="0"/>
              <w:left w:val="nil"/>
              <w:bottom w:val="single" w:color="auto" w:sz="8" w:space="0"/>
              <w:right w:val="single" w:color="auto" w:sz="12"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shd w:val="clear" w:color="auto" w:fill="auto"/>
          <w:tblCellMar>
            <w:top w:w="0" w:type="dxa"/>
            <w:left w:w="0" w:type="dxa"/>
            <w:bottom w:w="0" w:type="dxa"/>
            <w:right w:w="0" w:type="dxa"/>
          </w:tblCellMar>
        </w:tblPrEx>
        <w:trPr>
          <w:trHeight w:val="403" w:hRule="atLeast"/>
        </w:trPr>
        <w:tc>
          <w:tcPr>
            <w:tcW w:w="2552"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线路租用和系统维护</w:t>
            </w:r>
          </w:p>
        </w:tc>
        <w:tc>
          <w:tcPr>
            <w:tcW w:w="75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76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10</w:t>
            </w:r>
          </w:p>
        </w:tc>
        <w:tc>
          <w:tcPr>
            <w:tcW w:w="72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77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10</w:t>
            </w:r>
          </w:p>
        </w:tc>
        <w:tc>
          <w:tcPr>
            <w:tcW w:w="13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10</w:t>
            </w:r>
          </w:p>
        </w:tc>
        <w:tc>
          <w:tcPr>
            <w:tcW w:w="91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994"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403" w:hRule="atLeast"/>
        </w:trPr>
        <w:tc>
          <w:tcPr>
            <w:tcW w:w="2552"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离退休人员资格认证和稽核</w:t>
            </w:r>
          </w:p>
        </w:tc>
        <w:tc>
          <w:tcPr>
            <w:tcW w:w="75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76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20</w:t>
            </w:r>
          </w:p>
        </w:tc>
        <w:tc>
          <w:tcPr>
            <w:tcW w:w="72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77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20</w:t>
            </w:r>
          </w:p>
        </w:tc>
        <w:tc>
          <w:tcPr>
            <w:tcW w:w="13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20</w:t>
            </w:r>
          </w:p>
        </w:tc>
        <w:tc>
          <w:tcPr>
            <w:tcW w:w="91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994"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403" w:hRule="atLeast"/>
        </w:trPr>
        <w:tc>
          <w:tcPr>
            <w:tcW w:w="2552"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社保基金老系统数据管理</w:t>
            </w:r>
          </w:p>
        </w:tc>
        <w:tc>
          <w:tcPr>
            <w:tcW w:w="75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76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5</w:t>
            </w:r>
          </w:p>
        </w:tc>
        <w:tc>
          <w:tcPr>
            <w:tcW w:w="72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77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5</w:t>
            </w:r>
          </w:p>
        </w:tc>
        <w:tc>
          <w:tcPr>
            <w:tcW w:w="13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5</w:t>
            </w:r>
          </w:p>
        </w:tc>
        <w:tc>
          <w:tcPr>
            <w:tcW w:w="91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994"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403" w:hRule="atLeast"/>
        </w:trPr>
        <w:tc>
          <w:tcPr>
            <w:tcW w:w="2552"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both"/>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75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76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72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77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3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91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994"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403" w:hRule="atLeast"/>
        </w:trPr>
        <w:tc>
          <w:tcPr>
            <w:tcW w:w="2552"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75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76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72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77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13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91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994"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r>
        <w:tblPrEx>
          <w:shd w:val="clear" w:color="auto" w:fill="auto"/>
          <w:tblCellMar>
            <w:top w:w="0" w:type="dxa"/>
            <w:left w:w="0" w:type="dxa"/>
            <w:bottom w:w="0" w:type="dxa"/>
            <w:right w:w="0" w:type="dxa"/>
          </w:tblCellMar>
        </w:tblPrEx>
        <w:trPr>
          <w:trHeight w:val="440" w:hRule="atLeast"/>
        </w:trPr>
        <w:tc>
          <w:tcPr>
            <w:tcW w:w="2552" w:type="dxa"/>
            <w:tcBorders>
              <w:top w:val="nil"/>
              <w:left w:val="single" w:color="auto" w:sz="12" w:space="0"/>
              <w:bottom w:val="single" w:color="auto" w:sz="12"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合</w:t>
            </w:r>
            <w:r>
              <w:rPr>
                <w:rFonts w:hint="eastAsia" w:ascii="宋体" w:hAnsi="宋体" w:eastAsia="宋体" w:cs="宋体"/>
                <w:color w:val="000000"/>
                <w:sz w:val="21"/>
                <w:szCs w:val="21"/>
              </w:rPr>
              <w:t> </w:t>
            </w:r>
            <w:r>
              <w:rPr>
                <w:rFonts w:hint="eastAsia" w:ascii="仿宋" w:hAnsi="仿宋" w:eastAsia="仿宋" w:cs="仿宋"/>
                <w:color w:val="000000"/>
                <w:sz w:val="21"/>
                <w:szCs w:val="21"/>
              </w:rPr>
              <w:t>计</w:t>
            </w:r>
          </w:p>
        </w:tc>
        <w:tc>
          <w:tcPr>
            <w:tcW w:w="750"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763"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35</w:t>
            </w:r>
          </w:p>
        </w:tc>
        <w:tc>
          <w:tcPr>
            <w:tcW w:w="723"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777"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35</w:t>
            </w:r>
          </w:p>
        </w:tc>
        <w:tc>
          <w:tcPr>
            <w:tcW w:w="1364"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35</w:t>
            </w:r>
          </w:p>
        </w:tc>
        <w:tc>
          <w:tcPr>
            <w:tcW w:w="915"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994" w:type="dxa"/>
            <w:tcBorders>
              <w:top w:val="nil"/>
              <w:left w:val="nil"/>
              <w:bottom w:val="single" w:color="auto" w:sz="12" w:space="0"/>
              <w:right w:val="single" w:color="auto"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16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3、专项资金的管理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0"/>
          <w:szCs w:val="30"/>
        </w:rPr>
        <w:t>专项资金严格按照国家、省、市对养老保险基金管理的规定执行，在国有商业银行开设专管户，专款专用，由财政部门直接管理。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0"/>
          <w:szCs w:val="30"/>
        </w:rPr>
        <w:t>四、部门整体支出绩效评价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596" w:right="0" w:firstLine="45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0"/>
          <w:szCs w:val="30"/>
        </w:rPr>
        <w:t>从整体情况来看，2019年度我站严格按照年初预算进行部门整体支出，在严格落实《预算法》及省、市、县绩效管理的有关规定下，全力确保我县机关事业单位养老保险改革工作的顺利完成，同时保证全县机关事业单位离退休人员按时足额领取到退休费。前面通过对部门整体支出情况的概述好实际支出情况的分析，部门整体支出绩效目标管理情况评价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0"/>
          <w:szCs w:val="30"/>
        </w:rPr>
        <w:t>    （一）经济性评价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596" w:right="0" w:firstLine="45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0"/>
          <w:szCs w:val="30"/>
        </w:rPr>
        <w:t>本年预算配置控制一般。虽超出了编制人员数，但在职人员人数近几年没有增加。预算执行方面，支出总额虽超出预算总额，但都属于政策性工资、津补贴预算的追加以及本年度一些中心工作开支的增加，“三公”经费总体控制不是很理想，超过本年预算和上年决算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0"/>
          <w:szCs w:val="30"/>
        </w:rPr>
        <w:t>    （二）行政效能评价。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596" w:right="0" w:firstLine="75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0"/>
          <w:szCs w:val="30"/>
        </w:rPr>
        <w:t>成立预算绩效自评小组，完善各项规章制度，制度执行总体较为有效，但由于机关养老保险处于改革阶段，许多政策善待出台及完善，所以很多制度及执行能力都需进一步加强。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0"/>
          <w:szCs w:val="30"/>
        </w:rPr>
        <w:t>    （三）项目产出及实现的社会效益。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596" w:right="0" w:firstLine="45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0"/>
          <w:szCs w:val="30"/>
        </w:rPr>
        <w:t>做好机保改革工作、按时足额发放退休费以及足额收缴养老保险金，为构建和谐稳定新邵做出应尽之力。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0"/>
          <w:szCs w:val="30"/>
        </w:rPr>
        <w:t>    （四）社会公众满意度。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596" w:right="0" w:firstLine="45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0"/>
          <w:szCs w:val="30"/>
        </w:rPr>
        <w:t>2019年，全体干部职工在县委、县政府的正确领导下，在县人社局领导班子的带领下，在各股室成员的集体努力下，征收基金2.69亿，占全年目标任务2.13亿的126%，参保人数20058人（其中在职：14261人，离退休5797人），做好全县5797名离退休人员离退休费的发放工作，全年发放养老金1.98亿 ，全年新增离退休人员244人，稽核查处冒领养老金20.36万元，并追回养老金20.36万元。经过一年的努力，我们的付出得到了社会公众的认可，满意度为98%。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0"/>
          <w:szCs w:val="30"/>
        </w:rPr>
        <w:t>    （五）部门整体绩效得分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596" w:right="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0"/>
          <w:szCs w:val="30"/>
        </w:rPr>
        <w:t>根据相关要求和2019年度部门整体支出绩效评价指标评分表，本单位自评2019年度部门整体支出绩效评价得分98分。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0"/>
          <w:szCs w:val="30"/>
        </w:rPr>
        <w:t>    五、存在的主要问题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596" w:right="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0"/>
          <w:szCs w:val="30"/>
        </w:rPr>
        <w:t>一是年度支出超出预算数据较多，预算编制的合理性有待提高。二是绩效目标设立不够明确和细化，三是制度建设有待完善。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0"/>
          <w:szCs w:val="30"/>
        </w:rPr>
        <w:t>    六、改进意见及建议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0"/>
          <w:szCs w:val="30"/>
        </w:rPr>
        <w:t>   （一）后续工作计划。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0"/>
          <w:szCs w:val="30"/>
        </w:rPr>
        <w:t>1、细化预算编制工作，认真做好预算的编制。进一步加强内部预算管理意识，严格按照预算编制相关制度和要求进行预算编制；全面编制预算项目，进一步提高预算编制的科学性、严谨性和可控性。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0"/>
          <w:szCs w:val="30"/>
        </w:rPr>
        <w:t>2、持续抓好“三公”经费控制管理。严格控制“三公”经费的规模和</w:t>
      </w:r>
      <w:r>
        <w:rPr>
          <w:rFonts w:hint="eastAsia" w:ascii="仿宋" w:hAnsi="仿宋" w:eastAsia="仿宋" w:cs="仿宋"/>
          <w:i w:val="0"/>
          <w:caps w:val="0"/>
          <w:color w:val="000000"/>
          <w:spacing w:val="0"/>
          <w:sz w:val="30"/>
          <w:szCs w:val="30"/>
          <w:lang w:val="en-US" w:eastAsia="zh-CN"/>
        </w:rPr>
        <w:t>比例</w:t>
      </w:r>
      <w:r>
        <w:rPr>
          <w:rFonts w:hint="eastAsia" w:ascii="仿宋" w:hAnsi="仿宋" w:eastAsia="仿宋" w:cs="仿宋"/>
          <w:i w:val="0"/>
          <w:caps w:val="0"/>
          <w:color w:val="000000"/>
          <w:spacing w:val="0"/>
          <w:sz w:val="30"/>
          <w:szCs w:val="30"/>
        </w:rPr>
        <w:t>，把关“三公”经费支出的审核、审批，进一步细化“三公”经费的管理，合理压缩“三公”经费支出。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0"/>
          <w:szCs w:val="30"/>
        </w:rPr>
        <w:t>   （二）主要经验做法、存在的问题和建议。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0"/>
          <w:szCs w:val="30"/>
        </w:rPr>
        <w:t>1、进一步规范记账方法，严格按照机关事业单位财务制度的要求规范操作。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0"/>
          <w:szCs w:val="30"/>
        </w:rPr>
        <w:t>2、合理安排预算编制。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50" w:right="0" w:hanging="45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0"/>
          <w:szCs w:val="30"/>
        </w:rPr>
        <w:t>3、进一步完善绩效管理制度。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6" w:right="0" w:hanging="315"/>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4" w:lineRule="atLeast"/>
        <w:ind w:left="150" w:right="0" w:firstLine="60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center"/>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 </w:t>
      </w:r>
      <w:r>
        <w:rPr>
          <w:rFonts w:hint="default" w:ascii="Times New Roman" w:hAnsi="Times New Roman" w:eastAsia="微软雅黑" w:cs="Times New Roman"/>
          <w:i w:val="0"/>
          <w:caps w:val="0"/>
          <w:color w:val="000000"/>
          <w:spacing w:val="0"/>
          <w:sz w:val="36"/>
          <w:szCs w:val="36"/>
        </w:rPr>
        <w:t>2019</w:t>
      </w:r>
      <w:r>
        <w:rPr>
          <w:rFonts w:ascii="方正小标宋_GBK" w:hAnsi="方正小标宋_GBK" w:eastAsia="方正小标宋_GBK" w:cs="方正小标宋_GBK"/>
          <w:i w:val="0"/>
          <w:caps w:val="0"/>
          <w:color w:val="000000"/>
          <w:spacing w:val="0"/>
          <w:sz w:val="36"/>
          <w:szCs w:val="36"/>
        </w:rPr>
        <w:t>年度部门整体支出</w:t>
      </w:r>
      <w:r>
        <w:rPr>
          <w:rFonts w:hint="default" w:ascii="方正小标宋_GBK" w:hAnsi="方正小标宋_GBK" w:eastAsia="方正小标宋_GBK" w:cs="方正小标宋_GBK"/>
          <w:i w:val="0"/>
          <w:caps w:val="0"/>
          <w:color w:val="000000"/>
          <w:spacing w:val="-8"/>
          <w:sz w:val="36"/>
          <w:szCs w:val="36"/>
        </w:rPr>
        <w:t>绩效评价指标评分表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96" w:right="0" w:hanging="396"/>
        <w:jc w:val="both"/>
        <w:rPr>
          <w:rFonts w:hint="default" w:ascii="Times New Roman" w:hAnsi="Times New Roman" w:cs="Times New Roman"/>
          <w:sz w:val="21"/>
          <w:szCs w:val="21"/>
        </w:rPr>
      </w:pPr>
      <w:r>
        <w:rPr>
          <w:rFonts w:ascii="楷体" w:hAnsi="楷体" w:eastAsia="楷体" w:cs="楷体"/>
          <w:i w:val="0"/>
          <w:caps w:val="0"/>
          <w:color w:val="000000"/>
          <w:spacing w:val="-8"/>
          <w:sz w:val="28"/>
          <w:szCs w:val="28"/>
        </w:rPr>
        <w:t>填报单位（盖章）：</w:t>
      </w:r>
    </w:p>
    <w:tbl>
      <w:tblPr>
        <w:tblStyle w:val="5"/>
        <w:tblW w:w="14280" w:type="dxa"/>
        <w:jc w:val="center"/>
        <w:shd w:val="clear" w:color="auto" w:fill="auto"/>
        <w:tblLayout w:type="autofit"/>
        <w:tblCellMar>
          <w:top w:w="0" w:type="dxa"/>
          <w:left w:w="0" w:type="dxa"/>
          <w:bottom w:w="0" w:type="dxa"/>
          <w:right w:w="0" w:type="dxa"/>
        </w:tblCellMar>
      </w:tblPr>
      <w:tblGrid>
        <w:gridCol w:w="689"/>
        <w:gridCol w:w="704"/>
        <w:gridCol w:w="960"/>
        <w:gridCol w:w="5337"/>
        <w:gridCol w:w="5822"/>
        <w:gridCol w:w="768"/>
      </w:tblGrid>
      <w:tr>
        <w:tblPrEx>
          <w:tblCellMar>
            <w:top w:w="0" w:type="dxa"/>
            <w:left w:w="0" w:type="dxa"/>
            <w:bottom w:w="0" w:type="dxa"/>
            <w:right w:w="0" w:type="dxa"/>
          </w:tblCellMar>
        </w:tblPrEx>
        <w:trPr>
          <w:trHeight w:val="644" w:hRule="atLeast"/>
          <w:tblHeader/>
          <w:jc w:val="center"/>
        </w:trPr>
        <w:tc>
          <w:tcPr>
            <w:tcW w:w="690" w:type="dxa"/>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一级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指标</w:t>
            </w:r>
          </w:p>
        </w:tc>
        <w:tc>
          <w:tcPr>
            <w:tcW w:w="704"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二级指标</w:t>
            </w:r>
          </w:p>
        </w:tc>
        <w:tc>
          <w:tcPr>
            <w:tcW w:w="96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三级指标</w:t>
            </w:r>
          </w:p>
        </w:tc>
        <w:tc>
          <w:tcPr>
            <w:tcW w:w="534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指标解释</w:t>
            </w:r>
          </w:p>
        </w:tc>
        <w:tc>
          <w:tcPr>
            <w:tcW w:w="5825"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指标说明</w:t>
            </w:r>
          </w:p>
        </w:tc>
        <w:tc>
          <w:tcPr>
            <w:tcW w:w="768" w:type="dxa"/>
            <w:tcBorders>
              <w:top w:val="single" w:color="auto" w:sz="8" w:space="0"/>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自评分</w:t>
            </w:r>
          </w:p>
        </w:tc>
      </w:tr>
      <w:tr>
        <w:tblPrEx>
          <w:shd w:val="clear" w:color="auto" w:fill="auto"/>
          <w:tblCellMar>
            <w:top w:w="0" w:type="dxa"/>
            <w:left w:w="0" w:type="dxa"/>
            <w:bottom w:w="0" w:type="dxa"/>
            <w:right w:w="0" w:type="dxa"/>
          </w:tblCellMar>
        </w:tblPrEx>
        <w:trPr>
          <w:trHeight w:val="100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投入(20分)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目标</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绩效目标合理性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部门所设立的整体绩效目标依据是否充分，是否符合客观实际，用以反映和考核部门整体绩效目标与部门履职、年度工作任务的相符性情况。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①符合国家法律法规、国民经济和社会发展总体规划计1分；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②符合部门“三定”方案确定的职责计0.5分；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③是否符合部门制定的中长期实施规划计0.5分。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2</w:t>
            </w:r>
          </w:p>
        </w:tc>
      </w:tr>
      <w:tr>
        <w:tblPrEx>
          <w:shd w:val="clear" w:color="auto" w:fill="auto"/>
          <w:tblCellMar>
            <w:top w:w="0" w:type="dxa"/>
            <w:left w:w="0" w:type="dxa"/>
            <w:bottom w:w="0" w:type="dxa"/>
            <w:right w:w="0" w:type="dxa"/>
          </w:tblCellMar>
        </w:tblPrEx>
        <w:trPr>
          <w:trHeight w:val="109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绩效指标明确性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部门依据整体绩效目标所设定的绩效指标是否清晰、细化、可衡量，用以反映和考核部门整体绩效目标的明细化情况。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①将部门整体的绩效目标细化分解为具体的工作任务计1分；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②通过清晰、可衡量的指标值予以体现计0.5分；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③与部门年度的任务数或计划数相对应计0.5分；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④与本年度部门预算资金相匹配计1分。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3</w:t>
            </w:r>
          </w:p>
        </w:tc>
      </w:tr>
      <w:tr>
        <w:tblPrEx>
          <w:shd w:val="clear" w:color="auto" w:fill="auto"/>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预算</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配置（15分）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在职人员控制率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部门本年度实际在职人员数与编制数的比率，用以反映和考核部门对人员成本的控制程度。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4</w:t>
            </w:r>
          </w:p>
        </w:tc>
      </w:tr>
      <w:tr>
        <w:tblPrEx>
          <w:shd w:val="clear" w:color="auto" w:fill="auto"/>
          <w:tblCellMar>
            <w:top w:w="0" w:type="dxa"/>
            <w:left w:w="0" w:type="dxa"/>
            <w:bottom w:w="0" w:type="dxa"/>
            <w:right w:w="0" w:type="dxa"/>
          </w:tblCellMar>
        </w:tblPrEx>
        <w:trPr>
          <w:trHeight w:val="123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“三公经费”变动率（5分）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部门本年度“三公经费”预算数与上年度“三公经费”预算数的变动比率，用以反映和考核部门对控制重点行政成本的努力程度。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5</w:t>
            </w:r>
          </w:p>
        </w:tc>
      </w:tr>
      <w:tr>
        <w:tblPrEx>
          <w:shd w:val="clear" w:color="auto" w:fill="auto"/>
          <w:tblCellMar>
            <w:top w:w="0" w:type="dxa"/>
            <w:left w:w="0" w:type="dxa"/>
            <w:bottom w:w="0" w:type="dxa"/>
            <w:right w:w="0" w:type="dxa"/>
          </w:tblCellMar>
        </w:tblPrEx>
        <w:trPr>
          <w:trHeight w:val="155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重点支出安排率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部门本年度预算安排的重点项目支出与部门项目总支出的比率，用以反映和考核部门对履行主要职责或完成重点任务的保障程度。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5</w:t>
            </w:r>
          </w:p>
        </w:tc>
      </w:tr>
      <w:tr>
        <w:tblPrEx>
          <w:shd w:val="clear" w:color="auto" w:fill="auto"/>
          <w:tblCellMar>
            <w:top w:w="0" w:type="dxa"/>
            <w:left w:w="0" w:type="dxa"/>
            <w:bottom w:w="0" w:type="dxa"/>
            <w:right w:w="0" w:type="dxa"/>
          </w:tblCellMar>
        </w:tblPrEx>
        <w:trPr>
          <w:trHeight w:val="97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(40分)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预算</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(23分)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完成率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部门本年度预算完成数与预算数的比率，用以反映和考核部门预算完成程度。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预算完成率=（预算完成数/预算数）×100%。完成年初预算计4分，未完成年初预算按比例扣减，预算完成数：部门本年度实际完成的预算数。预算数：财政部门批复的本年度部门预算数。</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4</w:t>
            </w:r>
          </w:p>
        </w:tc>
      </w:tr>
      <w:tr>
        <w:tblPrEx>
          <w:shd w:val="clear" w:color="auto" w:fill="auto"/>
          <w:tblCellMar>
            <w:top w:w="0" w:type="dxa"/>
            <w:left w:w="0" w:type="dxa"/>
            <w:bottom w:w="0" w:type="dxa"/>
            <w:right w:w="0" w:type="dxa"/>
          </w:tblCellMar>
        </w:tblPrEx>
        <w:trPr>
          <w:trHeight w:val="150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调整率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部门本年度预算调整数与预算数的比率，用以反映和考核部门预算的调整程度。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2</w:t>
            </w:r>
          </w:p>
        </w:tc>
      </w:tr>
      <w:tr>
        <w:tblPrEx>
          <w:shd w:val="clear" w:color="auto" w:fill="auto"/>
          <w:tblCellMar>
            <w:top w:w="0" w:type="dxa"/>
            <w:left w:w="0" w:type="dxa"/>
            <w:bottom w:w="0" w:type="dxa"/>
            <w:right w:w="0" w:type="dxa"/>
          </w:tblCellMar>
        </w:tblPrEx>
        <w:trPr>
          <w:trHeight w:val="177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进度率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部门实际支付进度与既定支付进度的比率，用以反映和考核部门预算执行的及时性和均衡性程度。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2</w:t>
            </w:r>
          </w:p>
        </w:tc>
      </w:tr>
      <w:tr>
        <w:tblPrEx>
          <w:shd w:val="clear" w:color="auto" w:fill="auto"/>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结转结余控制率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部门本年度结转结余总额与上年结转结余总额增减比例，用以反映和考核部门对存量资金的实际控制程度。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4</w:t>
            </w:r>
          </w:p>
        </w:tc>
      </w:tr>
      <w:tr>
        <w:tblPrEx>
          <w:shd w:val="clear" w:color="auto" w:fill="auto"/>
          <w:tblCellMar>
            <w:top w:w="0" w:type="dxa"/>
            <w:left w:w="0" w:type="dxa"/>
            <w:bottom w:w="0" w:type="dxa"/>
            <w:right w:w="0" w:type="dxa"/>
          </w:tblCellMar>
        </w:tblPrEx>
        <w:trPr>
          <w:trHeight w:val="93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公用经费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部门本年度实际支出的公用经费总额与预算安排的公用经费总额的比率，用以反映和考核部门对机构运转成本的实际控制程度。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公用经费控制率=（实际支出公用经费总额/预算安排公用经费总额）×100%。为100%的计4分，每超过1个百分点扣0.1分，扣完为止。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4</w:t>
            </w:r>
          </w:p>
        </w:tc>
      </w:tr>
      <w:tr>
        <w:tblPrEx>
          <w:shd w:val="clear" w:color="auto" w:fill="auto"/>
          <w:tblCellMar>
            <w:top w:w="0" w:type="dxa"/>
            <w:left w:w="0" w:type="dxa"/>
            <w:bottom w:w="0" w:type="dxa"/>
            <w:right w:w="0" w:type="dxa"/>
          </w:tblCellMar>
        </w:tblPrEx>
        <w:trPr>
          <w:trHeight w:val="87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“三公经费”控制率（3分）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部门本年度“三公经费”实际支出数与预算安排数的比率，用以反映和考核部门对“三公经费”的实际控制程度。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“三公经费”控制率=（“三公经费”实际支出数/“三公经费”预算安排数）×100%。为100%的计3分，每超过1个百分点扣0.5分，扣完为止。</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3</w:t>
            </w:r>
          </w:p>
        </w:tc>
      </w:tr>
      <w:tr>
        <w:tblPrEx>
          <w:shd w:val="clear" w:color="auto" w:fill="auto"/>
          <w:tblCellMar>
            <w:top w:w="0" w:type="dxa"/>
            <w:left w:w="0" w:type="dxa"/>
            <w:bottom w:w="0" w:type="dxa"/>
            <w:right w:w="0" w:type="dxa"/>
          </w:tblCellMar>
        </w:tblPrEx>
        <w:trPr>
          <w:trHeight w:val="1283"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政府采购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执行率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部门本年度实际政府采购金额与年初政府采购预算的比率，用以反映和考核部门政府采购预算执行情况。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4</w:t>
            </w:r>
          </w:p>
        </w:tc>
      </w:tr>
      <w:tr>
        <w:tblPrEx>
          <w:shd w:val="clear" w:color="auto" w:fill="auto"/>
          <w:tblCellMar>
            <w:top w:w="0" w:type="dxa"/>
            <w:left w:w="0" w:type="dxa"/>
            <w:bottom w:w="0" w:type="dxa"/>
            <w:right w:w="0" w:type="dxa"/>
          </w:tblCellMar>
        </w:tblPrEx>
        <w:trPr>
          <w:trHeight w:val="952"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(12分)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健全性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部门为加强预算管理、规范财务行为而制定的管理制度是否健全完整，用以反映和考核部门预算管理制度对完成主要职责或促进事业发展的保障情况。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已制定或具有预算资金管理办法、内部财务管理制度、会计核算制度等管理制度计1分；相关管理制度合法、合规、完整计0.5分；相关管理制度得到有效执行计0.5分。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2</w:t>
            </w:r>
          </w:p>
        </w:tc>
      </w:tr>
      <w:tr>
        <w:tblPrEx>
          <w:shd w:val="clear" w:color="auto" w:fill="auto"/>
          <w:tblCellMar>
            <w:top w:w="0" w:type="dxa"/>
            <w:left w:w="0" w:type="dxa"/>
            <w:bottom w:w="0" w:type="dxa"/>
            <w:right w:w="0" w:type="dxa"/>
          </w:tblCellMar>
        </w:tblPrEx>
        <w:trPr>
          <w:trHeight w:val="1605"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资金使用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合规性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部门使用预算资金是否符合相关的预算财务管理制度的规定，用以反映和考核部门预算资金的规范运行情况。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①符合国家财经法规和财务管理制度规定以及有关专项资金管理办法的规定计1分；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②资金的拨付有完整的审批程序和手续计1分；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③项目的重大开支经过评估论证计1分；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④符合部门预算批复的用途计1分；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⑤不存在截留、挤占、挪用、虚列支出等情况计1分。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5</w:t>
            </w:r>
          </w:p>
        </w:tc>
      </w:tr>
      <w:tr>
        <w:tblPrEx>
          <w:shd w:val="clear" w:color="auto" w:fill="auto"/>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预决算信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息公开性（2分）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部门是否按照政府信息公开有关规定公开相关预决算信息，用以反映和考核部门预决算管理的公开透明情况。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①按规定内容公开预决算信息计1分；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②按规定时限公开预决算信息计1分。预决算信息是指与部门预算、执行、决算、监督、绩效等管理相关的信息。</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2</w:t>
            </w:r>
          </w:p>
        </w:tc>
      </w:tr>
      <w:tr>
        <w:tblPrEx>
          <w:shd w:val="clear" w:color="auto" w:fill="auto"/>
          <w:tblCellMar>
            <w:top w:w="0" w:type="dxa"/>
            <w:left w:w="0" w:type="dxa"/>
            <w:bottom w:w="0" w:type="dxa"/>
            <w:right w:w="0" w:type="dxa"/>
          </w:tblCellMar>
        </w:tblPrEx>
        <w:trPr>
          <w:trHeight w:val="93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基础信息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完善性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部门基础信息是否完善，用以反映和考核基础信息对预算管理工作的支撑情况。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①基础数据信息和会计信息资料真实计1分；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②基础数据信息和会计信息资料完整计1分；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③基础数据信息和会计信息资料准确计1分。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3</w:t>
            </w:r>
          </w:p>
        </w:tc>
      </w:tr>
      <w:tr>
        <w:tblPrEx>
          <w:shd w:val="clear" w:color="auto" w:fill="auto"/>
          <w:tblCellMar>
            <w:top w:w="0" w:type="dxa"/>
            <w:left w:w="0" w:type="dxa"/>
            <w:bottom w:w="0" w:type="dxa"/>
            <w:right w:w="0" w:type="dxa"/>
          </w:tblCellMar>
        </w:tblPrEx>
        <w:trPr>
          <w:trHeight w:val="96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资产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健全性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部门为加强资产管理、规范资产管理行为而制定的管理制度是否健全完整，用以反映和考核部门资产管理制度对完成主要职责或促进社会发展的保障情况。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①制定或具有资产管理制度计1分；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②相关资金管理制度合法、合规、完整计0.5分；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③相关资产管理制度得到有效执行计0.5分。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2</w:t>
            </w:r>
          </w:p>
        </w:tc>
      </w:tr>
      <w:tr>
        <w:tblPrEx>
          <w:shd w:val="clear" w:color="auto" w:fill="auto"/>
          <w:tblCellMar>
            <w:top w:w="0" w:type="dxa"/>
            <w:left w:w="0" w:type="dxa"/>
            <w:bottom w:w="0" w:type="dxa"/>
            <w:right w:w="0" w:type="dxa"/>
          </w:tblCellMar>
        </w:tblPrEx>
        <w:trPr>
          <w:trHeight w:val="156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资产管理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安全性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部门的资产是否保存完整、使用合规、配置合理、处置规范、收入及时足额上缴，用以反映和考核部门资产安全运行情况。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①资产保存完整计0.4分；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②资产配置合理计0.4分；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③资产处置规范计0.4分；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④资产账务管理合规、</w:t>
            </w:r>
            <w:r>
              <w:rPr>
                <w:rFonts w:hint="eastAsia" w:ascii="宋体" w:hAnsi="宋体" w:eastAsia="宋体" w:cs="宋体"/>
                <w:color w:val="000000"/>
                <w:sz w:val="21"/>
                <w:szCs w:val="21"/>
                <w:lang w:val="en-US" w:eastAsia="zh-CN"/>
              </w:rPr>
              <w:t>账</w:t>
            </w:r>
            <w:bookmarkStart w:id="0" w:name="_GoBack"/>
            <w:bookmarkEnd w:id="0"/>
            <w:r>
              <w:rPr>
                <w:rFonts w:hint="eastAsia" w:ascii="宋体" w:hAnsi="宋体" w:eastAsia="宋体" w:cs="宋体"/>
                <w:color w:val="000000"/>
                <w:sz w:val="21"/>
                <w:szCs w:val="21"/>
              </w:rPr>
              <w:t>实相符计0.4分；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⑤资产有偿使用及处置收入及时足额上缴计0.4分。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2</w:t>
            </w:r>
          </w:p>
        </w:tc>
      </w:tr>
      <w:tr>
        <w:tblPrEx>
          <w:shd w:val="clear" w:color="auto" w:fill="auto"/>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固定资产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利用率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（1分）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部门实际在用固定资产总额与所有固定资产总额的比率，用以反映和考核部门固定资产使用效率程度。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固定资产利用率=（实际在用固定资产总额/所有固定资产总额）×100%。利用率为100%的计1分，每降1个百分点扣0.1分，扣完为止。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1</w:t>
            </w:r>
          </w:p>
        </w:tc>
      </w:tr>
      <w:tr>
        <w:tblPrEx>
          <w:shd w:val="clear" w:color="auto" w:fill="auto"/>
          <w:tblCellMar>
            <w:top w:w="0" w:type="dxa"/>
            <w:left w:w="0" w:type="dxa"/>
            <w:bottom w:w="0" w:type="dxa"/>
            <w:right w:w="0" w:type="dxa"/>
          </w:tblCellMar>
        </w:tblPrEx>
        <w:trPr>
          <w:trHeight w:val="89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产出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职责</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履行</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实际完成率（5分）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部门履行职责而实际完成工作数与计划工作数的比率，用以反映和考核部门履职工作任务目标的实现程度。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实际完成率得分=完成县委县政府绩效考核得分或上级主管部门考核指标得分/指标分值*5分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5</w:t>
            </w:r>
          </w:p>
        </w:tc>
      </w:tr>
      <w:tr>
        <w:tblPrEx>
          <w:shd w:val="clear" w:color="auto" w:fill="auto"/>
          <w:tblCellMar>
            <w:top w:w="0" w:type="dxa"/>
            <w:left w:w="0" w:type="dxa"/>
            <w:bottom w:w="0" w:type="dxa"/>
            <w:right w:w="0" w:type="dxa"/>
          </w:tblCellMar>
        </w:tblPrEx>
        <w:trPr>
          <w:trHeight w:val="86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完成及时率（4分）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部门在规定时限内及时完成的实际工作数与计划工作数的比率,用以反映和考核部门履职时效目标的实现程度。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完成及时率=（及时完成实际工作数/计划工作数）×100%。1-4季度各得1分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4</w:t>
            </w:r>
          </w:p>
        </w:tc>
      </w:tr>
      <w:tr>
        <w:tblPrEx>
          <w:shd w:val="clear" w:color="auto" w:fill="auto"/>
          <w:tblCellMar>
            <w:top w:w="0" w:type="dxa"/>
            <w:left w:w="0" w:type="dxa"/>
            <w:bottom w:w="0" w:type="dxa"/>
            <w:right w:w="0" w:type="dxa"/>
          </w:tblCellMar>
        </w:tblPrEx>
        <w:trPr>
          <w:trHeight w:val="80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质量达标率（5分）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达到质量标准（绩效标准值）的实际工作数与计划工作数的比率,用以反映和考核部门履职质量目标的实现程度。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质量达标率=（质量达标实际工作数/计划工作数）×100%。实际得分=达标率*5分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5</w:t>
            </w:r>
          </w:p>
        </w:tc>
      </w:tr>
      <w:tr>
        <w:tblPrEx>
          <w:shd w:val="clear" w:color="auto" w:fill="auto"/>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重点工作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办结率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（6分）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部门年度重点工作实际完成数与交办或下达数的比率，用以反映部门对重点工作的办理落实程度。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重点工作办结率=（重点工作实际完成数/交办或下达数）×100%。实际得分=办结率*6分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6</w:t>
            </w:r>
          </w:p>
        </w:tc>
      </w:tr>
      <w:tr>
        <w:tblPrEx>
          <w:shd w:val="clear" w:color="auto" w:fill="auto"/>
          <w:tblCellMar>
            <w:top w:w="0" w:type="dxa"/>
            <w:left w:w="0" w:type="dxa"/>
            <w:bottom w:w="0" w:type="dxa"/>
            <w:right w:w="0" w:type="dxa"/>
          </w:tblCellMar>
        </w:tblPrEx>
        <w:trPr>
          <w:trHeight w:val="64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履职</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效益(20分)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经济效益（5分）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部门履行职责对经济发展所带来的直接或间接影响。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按经济效益实现程度计算得分（5分）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4</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社会效益（5分）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部门履行职责对社会发展所带来的直接或间接影响。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both"/>
              <w:rPr>
                <w:rFonts w:hint="default" w:ascii="Times New Roman" w:hAnsi="Times New Roman" w:cs="Times New Roman"/>
                <w:sz w:val="21"/>
                <w:szCs w:val="21"/>
              </w:rPr>
            </w:pPr>
            <w:r>
              <w:rPr>
                <w:rFonts w:hint="eastAsia" w:ascii="宋体" w:hAnsi="宋体" w:eastAsia="宋体" w:cs="宋体"/>
                <w:color w:val="000000"/>
                <w:sz w:val="21"/>
                <w:szCs w:val="21"/>
              </w:rPr>
              <w:t>按社会效益实现程度计算得分（5分）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5</w:t>
            </w:r>
          </w:p>
        </w:tc>
      </w:tr>
      <w:tr>
        <w:tblPrEx>
          <w:shd w:val="clear" w:color="auto" w:fill="auto"/>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宋体" w:hAnsi="宋体" w:eastAsia="宋体" w:cs="宋体"/>
                <w:color w:val="000000"/>
                <w:sz w:val="21"/>
                <w:szCs w:val="21"/>
              </w:rPr>
              <w:t>行政效能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促进部门改进文风会风，加强经费及资产管理，推动网上办事，提高行政效率。</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降低行政成本效果较好的计6分；一般3分；无效果或者效果不明显0分。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5</w:t>
            </w:r>
          </w:p>
        </w:tc>
      </w:tr>
      <w:tr>
        <w:tblPrEx>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社会公众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或服务对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象满意度（5分）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社会公众或部门的服务对象对部门履职效果的满意程度。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18"/>
                <w:szCs w:val="18"/>
              </w:rPr>
              <w:t>90%</w:t>
            </w:r>
            <w:r>
              <w:rPr>
                <w:rFonts w:hint="eastAsia" w:ascii="宋体" w:hAnsi="宋体" w:eastAsia="宋体" w:cs="宋体"/>
                <w:color w:val="000000"/>
                <w:sz w:val="21"/>
                <w:szCs w:val="21"/>
              </w:rPr>
              <w:t>（含）以上计5分；80%（含）-90%，计4分；70%（含）-80%，计3分；60%（含）-70%，计2分；低于60%计0分。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5</w:t>
            </w:r>
          </w:p>
        </w:tc>
      </w:tr>
      <w:tr>
        <w:tblPrEx>
          <w:shd w:val="clear" w:color="auto" w:fill="auto"/>
          <w:tblCellMar>
            <w:top w:w="0" w:type="dxa"/>
            <w:left w:w="0" w:type="dxa"/>
            <w:bottom w:w="0" w:type="dxa"/>
            <w:right w:w="0" w:type="dxa"/>
          </w:tblCellMar>
        </w:tblPrEx>
        <w:trPr>
          <w:trHeight w:val="608" w:hRule="atLeast"/>
          <w:jc w:val="center"/>
        </w:trPr>
        <w:tc>
          <w:tcPr>
            <w:tcW w:w="690" w:type="dxa"/>
            <w:tcBorders>
              <w:top w:val="nil"/>
              <w:left w:val="single" w:color="auto" w:sz="8" w:space="0"/>
              <w:bottom w:val="nil"/>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总分</w:t>
            </w:r>
          </w:p>
        </w:tc>
        <w:tc>
          <w:tcPr>
            <w:tcW w:w="704" w:type="dxa"/>
            <w:tcBorders>
              <w:top w:val="nil"/>
              <w:left w:val="nil"/>
              <w:bottom w:val="nil"/>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100</w:t>
            </w:r>
          </w:p>
        </w:tc>
        <w:tc>
          <w:tcPr>
            <w:tcW w:w="960" w:type="dxa"/>
            <w:tcBorders>
              <w:top w:val="nil"/>
              <w:left w:val="nil"/>
              <w:bottom w:val="nil"/>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100　</w:t>
            </w:r>
          </w:p>
        </w:tc>
        <w:tc>
          <w:tcPr>
            <w:tcW w:w="5340" w:type="dxa"/>
            <w:tcBorders>
              <w:top w:val="nil"/>
              <w:left w:val="nil"/>
              <w:bottom w:val="nil"/>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5825" w:type="dxa"/>
            <w:tcBorders>
              <w:top w:val="nil"/>
              <w:left w:val="nil"/>
              <w:bottom w:val="nil"/>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768" w:type="dxa"/>
            <w:tcBorders>
              <w:top w:val="nil"/>
              <w:left w:val="nil"/>
              <w:bottom w:val="nil"/>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98</w:t>
            </w:r>
          </w:p>
        </w:tc>
      </w:tr>
      <w:tr>
        <w:tblPrEx>
          <w:shd w:val="clear" w:color="auto" w:fill="auto"/>
          <w:tblCellMar>
            <w:top w:w="0" w:type="dxa"/>
            <w:left w:w="0" w:type="dxa"/>
            <w:bottom w:w="0" w:type="dxa"/>
            <w:right w:w="0" w:type="dxa"/>
          </w:tblCellMar>
        </w:tblPrEx>
        <w:trPr>
          <w:trHeight w:val="608" w:hRule="atLeast"/>
          <w:jc w:val="center"/>
        </w:trPr>
        <w:tc>
          <w:tcPr>
            <w:tcW w:w="690" w:type="dxa"/>
            <w:tcBorders>
              <w:top w:val="nil"/>
              <w:left w:val="single" w:color="auto" w:sz="8" w:space="0"/>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704"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8" w:right="0" w:hanging="147"/>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NjRjZGViZWVhMzdmNzhlYmU5MTM3MGM4YjYwNWMifQ=="/>
  </w:docVars>
  <w:rsids>
    <w:rsidRoot w:val="00000000"/>
    <w:rsid w:val="033458D5"/>
    <w:rsid w:val="1FD5063E"/>
    <w:rsid w:val="47173D19"/>
    <w:rsid w:val="4A094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7579</Words>
  <Characters>8521</Characters>
  <Lines>0</Lines>
  <Paragraphs>0</Paragraphs>
  <TotalTime>3</TotalTime>
  <ScaleCrop>false</ScaleCrop>
  <LinksUpToDate>false</LinksUpToDate>
  <CharactersWithSpaces>8524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2021-06-06T06:50:00Z</dcterms:created>
  <dc:creator>Administrator</dc:creator>
  <cp:lastModifiedBy>朱亚林</cp:lastModifiedBy>
  <dcterms:modified xsi:type="dcterms:W3CDTF">2022-10-14T13:56:30Z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B726EF5D87744CC0BB7FC6EE3B3896D8</vt:lpwstr>
  </property>
</Properties>
</file>