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新邵县机关事务服务中心2019年度部门整体支出绩效自评报告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450"/>
        <w:jc w:val="left"/>
        <w:rPr>
          <w:rFonts w:hint="eastAsia" w:ascii="仿宋" w:hAnsi="仿宋" w:eastAsia="仿宋" w:cs="仿宋"/>
          <w:i w:val="0"/>
          <w:caps w:val="0"/>
          <w:color w:val="1E1E1E"/>
          <w:spacing w:val="0"/>
          <w:kern w:val="0"/>
          <w:sz w:val="30"/>
          <w:szCs w:val="30"/>
          <w:lang w:val="en-US" w:eastAsia="zh-CN" w:bidi="ar"/>
        </w:rPr>
      </w:pPr>
      <w:r>
        <w:rPr>
          <w:rFonts w:ascii="仿宋" w:hAnsi="仿宋" w:eastAsia="仿宋" w:cs="仿宋"/>
          <w:i w:val="0"/>
          <w:caps w:val="0"/>
          <w:color w:val="1E1E1E"/>
          <w:spacing w:val="0"/>
          <w:kern w:val="0"/>
          <w:sz w:val="30"/>
          <w:szCs w:val="30"/>
          <w:lang w:val="en-US" w:eastAsia="zh-CN" w:bidi="ar"/>
        </w:rPr>
        <w:t>根据</w:t>
      </w:r>
      <w:r>
        <w:rPr>
          <w:rFonts w:hint="eastAsia" w:ascii="仿宋" w:hAnsi="仿宋" w:eastAsia="仿宋" w:cs="仿宋"/>
          <w:i w:val="0"/>
          <w:caps w:val="0"/>
          <w:color w:val="1E1E1E"/>
          <w:spacing w:val="0"/>
          <w:kern w:val="0"/>
          <w:sz w:val="30"/>
          <w:szCs w:val="30"/>
          <w:lang w:val="en-US" w:eastAsia="zh-CN" w:bidi="ar"/>
        </w:rPr>
        <w:t>县财政局《关于开展部门整体支出和专项支出绩效自评工作的通知》，我单位组织开展了2019年度部门预算支出绩效管理工作并进行了全面综合评价，自我评分98分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450"/>
        <w:jc w:val="left"/>
      </w:pPr>
      <w:r>
        <w:rPr>
          <w:rFonts w:hint="eastAsia" w:ascii="仿宋" w:hAnsi="仿宋" w:eastAsia="仿宋" w:cs="仿宋"/>
          <w:i w:val="0"/>
          <w:caps w:val="0"/>
          <w:color w:val="1E1E1E"/>
          <w:spacing w:val="0"/>
          <w:kern w:val="0"/>
          <w:sz w:val="30"/>
          <w:szCs w:val="30"/>
          <w:lang w:val="en-US" w:eastAsia="zh-CN" w:bidi="ar"/>
        </w:rPr>
        <w:t>（详见附表），现将有关情况报告如下：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hanging="720"/>
        <w:jc w:val="left"/>
      </w:pPr>
      <w:r>
        <w:rPr>
          <w:rFonts w:hint="eastAsia" w:ascii="仿宋" w:hAnsi="仿宋" w:eastAsia="仿宋" w:cs="仿宋"/>
          <w:i w:val="0"/>
          <w:caps w:val="0"/>
          <w:color w:val="1E1E1E"/>
          <w:spacing w:val="0"/>
          <w:kern w:val="0"/>
          <w:sz w:val="32"/>
          <w:szCs w:val="32"/>
          <w:lang w:val="en-US" w:eastAsia="zh-CN" w:bidi="ar"/>
        </w:rPr>
        <w:t>一、 部门概况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caps w:val="0"/>
          <w:color w:val="333333"/>
          <w:spacing w:val="0"/>
          <w:kern w:val="0"/>
          <w:sz w:val="24"/>
          <w:szCs w:val="24"/>
          <w:shd w:val="clear" w:fill="FFFFFF"/>
          <w:lang w:val="en-US" w:eastAsia="zh-CN" w:bidi="ar"/>
        </w:rPr>
        <w:t>　</w:t>
      </w:r>
      <w:r>
        <w:rPr>
          <w:rFonts w:ascii="楷体_GB2312" w:hAnsi="微软雅黑" w:eastAsia="楷体_GB2312" w:cs="楷体_GB2312"/>
          <w:i w:val="0"/>
          <w:caps w:val="0"/>
          <w:color w:val="333333"/>
          <w:spacing w:val="0"/>
          <w:kern w:val="0"/>
          <w:sz w:val="32"/>
          <w:szCs w:val="32"/>
          <w:shd w:val="clear" w:fill="FFFFFF"/>
          <w:lang w:val="en-US" w:eastAsia="zh-CN" w:bidi="ar"/>
        </w:rPr>
        <w:t>（一）机构人员情况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16" w:right="0" w:firstLine="750"/>
        <w:jc w:val="left"/>
      </w:pPr>
      <w:r>
        <w:rPr>
          <w:rFonts w:hint="eastAsia" w:ascii="仿宋" w:hAnsi="仿宋" w:eastAsia="仿宋" w:cs="仿宋"/>
          <w:i w:val="0"/>
          <w:caps w:val="0"/>
          <w:color w:val="333333"/>
          <w:spacing w:val="0"/>
          <w:kern w:val="0"/>
          <w:sz w:val="30"/>
          <w:szCs w:val="30"/>
          <w:shd w:val="clear" w:fill="FFFFFF"/>
          <w:lang w:val="en-US" w:eastAsia="zh-CN" w:bidi="ar"/>
        </w:rPr>
        <w:t>根据编办核定，2019年我单位内设股室6个，分别是综合股、公车管理股、财务资产股、综治安保股、政府采购股、会议服务股。为全额拨款事业单位，共有编制15人，实有人数11人，退休人员4人。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16" w:right="0" w:firstLine="750"/>
        <w:jc w:val="left"/>
      </w:pPr>
      <w:r>
        <w:rPr>
          <w:rFonts w:hint="eastAsia" w:ascii="仿宋" w:hAnsi="仿宋" w:eastAsia="仿宋" w:cs="仿宋"/>
          <w:i w:val="0"/>
          <w:caps w:val="0"/>
          <w:color w:val="333333"/>
          <w:spacing w:val="0"/>
          <w:kern w:val="0"/>
          <w:sz w:val="30"/>
          <w:szCs w:val="30"/>
          <w:shd w:val="clear" w:fill="FFFFFF"/>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1、负责研究拟定全县机关事务管理工作的有关政策、规章制度并组织实施；指导全县后勤体制改革工作，会同有关部门推进全县节约型机关建设。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640"/>
        <w:jc w:val="left"/>
      </w:pPr>
      <w:r>
        <w:rPr>
          <w:rFonts w:hint="eastAsia" w:ascii="仿宋" w:hAnsi="仿宋" w:eastAsia="仿宋" w:cs="仿宋"/>
          <w:i w:val="0"/>
          <w:caps w:val="0"/>
          <w:color w:val="1E1E1E"/>
          <w:spacing w:val="0"/>
          <w:kern w:val="0"/>
          <w:sz w:val="32"/>
          <w:szCs w:val="32"/>
          <w:lang w:val="en-US" w:eastAsia="zh-CN" w:bidi="ar"/>
        </w:rPr>
        <w:t>2、负责全县公务用车的配置、调配、更新、维修、处置、车险、油料以及预算内专项用于解决全县行政事业单位公务用车的经费管理工作。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3、根据中共中央办公厅国务院办公厅印发的《党政机关办公用房管理办法》的有关规定，负责做好全县党政机关办公用房的规划、权属、配置、使用、维修、处置等相关工作。负责县委大院、县直机关第二办公区的水、电、道路等基础设施的建设、管理、维修；负责两个办公区的环境卫生和绿化美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4、负责县委大院、县直机关第二办公区域内的安全保卫工作，协助做好信访工作。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5、负责县直机关政府采购的组织实施。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6、负责全县公共机构节能统计、报表等事务性工作，配合县政府办公室做好公共节能监督管理及全县公共机构节能单位节能降耗的目标考核等工作。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7、承担全县大型活动、重要会议的后勤服务保障、预算编制和经费的使用管理工作；负责大礼堂、小礼堂、县委县政府办公楼四楼常委会会</w:t>
      </w:r>
      <w:bookmarkStart w:id="0" w:name="_GoBack"/>
      <w:bookmarkEnd w:id="0"/>
      <w:r>
        <w:rPr>
          <w:rFonts w:hint="eastAsia" w:ascii="仿宋" w:hAnsi="仿宋" w:eastAsia="仿宋" w:cs="仿宋"/>
          <w:i w:val="0"/>
          <w:caps w:val="0"/>
          <w:color w:val="1E1E1E"/>
          <w:spacing w:val="0"/>
          <w:kern w:val="0"/>
          <w:sz w:val="32"/>
          <w:szCs w:val="32"/>
          <w:lang w:val="en-US" w:eastAsia="zh-CN" w:bidi="ar"/>
        </w:rPr>
        <w:t>议室、五楼党政联席会议室的保洁管理、设备设施使用和维护工作。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8、负责县委大院、县直机关第二办公区、县人民武装部食堂的管理、设备设施的使用和维护工作。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9、完成上级交办的其他工作。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 w:hAnsi="仿宋" w:eastAsia="仿宋" w:cs="仿宋"/>
          <w:i w:val="0"/>
          <w:caps w:val="0"/>
          <w:color w:val="1E1E1E"/>
          <w:spacing w:val="0"/>
          <w:kern w:val="0"/>
          <w:sz w:val="32"/>
          <w:szCs w:val="32"/>
          <w:lang w:val="en-US" w:eastAsia="zh-CN" w:bidi="ar"/>
        </w:rPr>
        <w:t>（三）</w:t>
      </w:r>
      <w:r>
        <w:rPr>
          <w:rFonts w:hint="eastAsia" w:ascii="仿宋" w:hAnsi="仿宋" w:eastAsia="仿宋" w:cs="仿宋"/>
          <w:b w:val="0"/>
          <w:i w:val="0"/>
          <w:caps w:val="0"/>
          <w:color w:val="000000"/>
          <w:spacing w:val="0"/>
          <w:kern w:val="0"/>
          <w:sz w:val="32"/>
          <w:szCs w:val="32"/>
          <w:lang w:val="en-US" w:eastAsia="zh-CN" w:bidi="ar"/>
        </w:rPr>
        <w:t>2020年工作思路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下一步，我中心工作将继续坚持以习近平新时代中国特色社会主义思想为指导，紧紧围绕中央、省、市、县决策部署，以及上级部门的工作要点，继续推进中心服务事业转型升级，全面提升服务水平，发挥事务服务在经济社会发展中的基础保障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1.年初预算收支（金额：万元）</w:t>
      </w:r>
    </w:p>
    <w:tbl>
      <w:tblPr>
        <w:tblStyle w:val="6"/>
        <w:tblW w:w="0" w:type="auto"/>
        <w:jc w:val="center"/>
        <w:shd w:val="clear" w:color="auto" w:fill="auto"/>
        <w:tblLayout w:type="autofit"/>
        <w:tblCellMar>
          <w:top w:w="0" w:type="dxa"/>
          <w:left w:w="0" w:type="dxa"/>
          <w:bottom w:w="0" w:type="dxa"/>
          <w:right w:w="0" w:type="dxa"/>
        </w:tblCellMar>
      </w:tblPr>
      <w:tblGrid>
        <w:gridCol w:w="2087"/>
        <w:gridCol w:w="1710"/>
        <w:gridCol w:w="1590"/>
        <w:gridCol w:w="1329"/>
        <w:gridCol w:w="1806"/>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109.34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91.34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507.44%</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1798</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1420</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378</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26.62%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11.4</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1809.4</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2922.06</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1014.72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2.年度预算支出决算及结余</w:t>
      </w:r>
    </w:p>
    <w:tbl>
      <w:tblPr>
        <w:tblStyle w:val="6"/>
        <w:tblW w:w="7953" w:type="dxa"/>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1871.17</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1761.83</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1038.42</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-759.58</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2909.59</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1002.25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273.02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超支183.4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11.4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1241.74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超支1230.34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8.09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节约0.23</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348.31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348.31</w:t>
            </w:r>
          </w:p>
        </w:tc>
      </w:tr>
      <w:tr>
        <w:tblPrEx>
          <w:shd w:val="clear" w:color="auto" w:fill="auto"/>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1871.17</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1761.83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基本工资</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30.35</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38.26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超支7.91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超支率20.67%</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津贴补贴</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21.22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超支21.22</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奖金</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2.53</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超支0.13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超支率4.9%</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伙食补助费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23.03</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超支23.03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绩效工资</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17.33</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112.21</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超支94.88</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超支率84.56%</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机关事业单位基本养老保险缴费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11.02</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节约11.02</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职业年金缴费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9.79</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超支9.79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职工基本医疗保险缴费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超支1.69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公务员医疗补助缴费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其他社会保障缴费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10.39</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节约10.39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住房公积金</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医疗费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其他工资福利支出</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64.16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超支46.16</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超支率71.95%</w:t>
            </w:r>
          </w:p>
        </w:tc>
      </w:tr>
      <w:tr>
        <w:tblPrEx>
          <w:shd w:val="clear" w:color="auto" w:fill="auto"/>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89.62</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273.02</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超支183.4</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10.65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7.65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71.83%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水电</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17.62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94.32%</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21.93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20.93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95.44%</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7.02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94.3%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82.91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82.91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-188.46%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7.92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7.92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90.57%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519.9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519.9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160.23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160.23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11.4</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1241.74</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超支1230.34</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6"/>
        <w:tblW w:w="8364" w:type="dxa"/>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8.32</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7.27</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7.27</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0.82</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0.82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8.32</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8.09</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节约0.23</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1、“三公经费”预算执行</w:t>
      </w:r>
    </w:p>
    <w:tbl>
      <w:tblPr>
        <w:tblStyle w:val="6"/>
        <w:tblW w:w="0" w:type="auto"/>
        <w:jc w:val="center"/>
        <w:shd w:val="clear" w:color="auto" w:fill="auto"/>
        <w:tblLayout w:type="autofit"/>
        <w:tblCellMar>
          <w:top w:w="0" w:type="dxa"/>
          <w:left w:w="0" w:type="dxa"/>
          <w:bottom w:w="0" w:type="dxa"/>
          <w:right w:w="0" w:type="dxa"/>
        </w:tblCellMar>
      </w:tblPr>
      <w:tblGrid>
        <w:gridCol w:w="1607"/>
        <w:gridCol w:w="1053"/>
        <w:gridCol w:w="1112"/>
        <w:gridCol w:w="995"/>
        <w:gridCol w:w="1158"/>
        <w:gridCol w:w="1135"/>
        <w:gridCol w:w="1276"/>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1.04</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519.9</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680.1</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223.02</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223.02</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1.04</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734.59</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1.04</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1.78</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-0.74</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-41.57%</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519.9</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532.5</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-12.6</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-2.37%</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223.02</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223.02</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743.96</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534.28</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209.68</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39.25%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1、专项资金基本情况及绩效目标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我单位2019年度专项资金预算为1798万元，来源于财政拨款，主要使用于公车、维修、办公区专项、周转房、会议费等开支，绩效目标就是加强内部控制，根据工作职能用好每一份钱。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2、专项资金预算执行</w:t>
      </w:r>
    </w:p>
    <w:tbl>
      <w:tblPr>
        <w:tblStyle w:val="6"/>
        <w:tblW w:w="9160" w:type="dxa"/>
        <w:tblInd w:w="0" w:type="dxa"/>
        <w:shd w:val="clear" w:color="auto" w:fill="auto"/>
        <w:tblLayout w:type="autofit"/>
        <w:tblCellMar>
          <w:top w:w="0" w:type="dxa"/>
          <w:left w:w="0" w:type="dxa"/>
          <w:bottom w:w="0" w:type="dxa"/>
          <w:right w:w="0" w:type="dxa"/>
        </w:tblCellMar>
      </w:tblPr>
      <w:tblGrid>
        <w:gridCol w:w="2686"/>
        <w:gridCol w:w="737"/>
        <w:gridCol w:w="583"/>
        <w:gridCol w:w="555"/>
        <w:gridCol w:w="849"/>
        <w:gridCol w:w="832"/>
        <w:gridCol w:w="712"/>
        <w:gridCol w:w="2206"/>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专项子目名称</w:t>
            </w:r>
          </w:p>
        </w:tc>
        <w:tc>
          <w:tcPr>
            <w:tcW w:w="2689"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本年预算可用指标</w:t>
            </w:r>
          </w:p>
        </w:tc>
        <w:tc>
          <w:tcPr>
            <w:tcW w:w="833"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本年实际支出</w:t>
            </w:r>
          </w:p>
        </w:tc>
        <w:tc>
          <w:tcPr>
            <w:tcW w:w="713"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本年结余</w:t>
            </w:r>
          </w:p>
        </w:tc>
        <w:tc>
          <w:tcPr>
            <w:tcW w:w="2221" w:type="dxa"/>
            <w:vMerge w:val="restart"/>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投入进度</w:t>
            </w:r>
          </w:p>
        </w:tc>
      </w:tr>
      <w:tr>
        <w:tblPrEx>
          <w:shd w:val="clear" w:color="auto" w:fill="auto"/>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追加</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833"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13"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221" w:type="dxa"/>
            <w:vMerge w:val="continue"/>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公共节能</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公务用车专项</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735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行政事务管理专项</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办公区域物业管理、安保执勤、信访维稳</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2.55</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245</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247.55</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51.81</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办公用房及设施维护</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0.12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150.12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6.48</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县级干部周转房</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会议室管理及水电补助</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公车平台系统维护</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合 计</w:t>
            </w:r>
          </w:p>
        </w:tc>
        <w:tc>
          <w:tcPr>
            <w:tcW w:w="739"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1798</w:t>
            </w:r>
          </w:p>
        </w:tc>
        <w:tc>
          <w:tcPr>
            <w:tcW w:w="517"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1806.67</w:t>
            </w:r>
          </w:p>
        </w:tc>
        <w:tc>
          <w:tcPr>
            <w:tcW w:w="83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1266.38</w:t>
            </w:r>
          </w:p>
        </w:tc>
        <w:tc>
          <w:tcPr>
            <w:tcW w:w="71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540.29</w:t>
            </w:r>
          </w:p>
        </w:tc>
        <w:tc>
          <w:tcPr>
            <w:tcW w:w="2221"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1E1E1E"/>
          <w:spacing w:val="0"/>
          <w:kern w:val="0"/>
          <w:sz w:val="32"/>
          <w:szCs w:val="32"/>
          <w:lang w:val="en-US" w:eastAsia="zh-CN" w:bidi="ar"/>
        </w:rPr>
        <w:t>3、专项资金的管理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both"/>
      </w:pPr>
      <w:r>
        <w:rPr>
          <w:rFonts w:hint="eastAsia" w:ascii="仿宋" w:hAnsi="仿宋" w:eastAsia="仿宋" w:cs="仿宋"/>
          <w:i w:val="0"/>
          <w:caps w:val="0"/>
          <w:color w:val="333333"/>
          <w:spacing w:val="0"/>
          <w:sz w:val="32"/>
          <w:szCs w:val="32"/>
          <w:shd w:val="clear" w:fill="FFFFFF"/>
        </w:rPr>
        <w:t>为切实规范专项资金管理，保障资金安全、高效运行，发挥资金使用效益，特制定以下管理制度：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1、专项资金实行“专人管理、专户储存、专账核算、专项使用”。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2、专项资金实行报账制，资金拨付一律转账结算，杜绝现金支付。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3、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4、严格专项资金初审、审核、复核制度，不准缺项和越程序办理手续，各类专项资金审批程序，以该专项资金审批表所列内容和文件要求为准。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5、专项资金报账拨付要附真实、有效、合法的凭证。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6、加强审计监督，实行单项工程决算审计、整体项目验收审计、年度资金收支审计。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7、对专项资金要定期或不定期进行督查，确保项目资金专款专用，要全程参与项目验收和采购项目接交。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8、对工程类项目专项资金所发生的隐蔽工程，负责资金结算的工作人员，必须到现场签证认可，否则不予结算。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color w:val="F29F05"/>
          <w:sz w:val="225"/>
          <w:szCs w:val="225"/>
        </w:rPr>
      </w:pPr>
      <w:r>
        <w:rPr>
          <w:rFonts w:hint="eastAsia" w:ascii="仿宋" w:hAnsi="仿宋" w:eastAsia="仿宋" w:cs="仿宋"/>
          <w:b w:val="0"/>
          <w:i w:val="0"/>
          <w:caps w:val="0"/>
          <w:color w:val="F29F05"/>
          <w:spacing w:val="0"/>
          <w:sz w:val="32"/>
          <w:szCs w:val="32"/>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（一）年初预算及调整情况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left"/>
      </w:pPr>
      <w:r>
        <w:rPr>
          <w:rFonts w:hint="eastAsia" w:ascii="仿宋" w:hAnsi="仿宋" w:eastAsia="仿宋" w:cs="仿宋"/>
          <w:i w:val="0"/>
          <w:caps w:val="0"/>
          <w:color w:val="1E1E1E"/>
          <w:spacing w:val="0"/>
          <w:kern w:val="0"/>
          <w:sz w:val="32"/>
          <w:szCs w:val="32"/>
          <w:lang w:val="en-US" w:eastAsia="zh-CN" w:bidi="ar"/>
        </w:rPr>
        <w:t>年初预算：2019年，财政下达我中心的预算收入、支出为1907.34万元，其中基本支出为109.34万元，本级专项（项目）资金为1798万元。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（二）部门预算执行及决算情况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316" w:right="0" w:firstLine="320"/>
        <w:jc w:val="left"/>
      </w:pPr>
      <w:r>
        <w:rPr>
          <w:rFonts w:hint="eastAsia" w:ascii="仿宋" w:hAnsi="仿宋" w:eastAsia="仿宋" w:cs="仿宋"/>
          <w:i w:val="0"/>
          <w:caps w:val="0"/>
          <w:color w:val="1E1E1E"/>
          <w:spacing w:val="0"/>
          <w:kern w:val="0"/>
          <w:sz w:val="32"/>
          <w:szCs w:val="32"/>
          <w:lang w:val="en-US" w:eastAsia="zh-CN" w:bidi="ar"/>
        </w:rPr>
        <w:t>我中心严格坚持收支两条线，无坐支行为，无公款私存、无小金库；严格遵守财务制度，按规定实行政府采购，所有支出做到合法合规，专项资金专款专用，无截留、挪用、虚列支出，资金支出等合法、合规、安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（三）部门整体支出绩效目标完成情况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单位在省、市各级领导的关怀下，在县委、县政府的坚强领导下，认真履职，创新工作机制，强力推进项目建设，各项工作圆满完成；严格执行财政预算绩效目标管理要求，强化费用管理和监督，严格控制非生产性开支，部门整体支出合理、合法、高效、安全，实现了年初确定的各项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超额完成各项工作目标。 </w:t>
      </w:r>
      <w:r>
        <w:rPr>
          <w:rFonts w:hint="eastAsia" w:ascii="仿宋" w:hAnsi="仿宋" w:eastAsia="仿宋" w:cs="仿宋"/>
          <w:b/>
          <w:i w:val="0"/>
          <w:caps w:val="0"/>
          <w:color w:val="1E1E1E"/>
          <w:spacing w:val="0"/>
          <w:kern w:val="0"/>
          <w:sz w:val="32"/>
          <w:szCs w:val="32"/>
          <w:lang w:val="en-US" w:eastAsia="zh-CN" w:bidi="ar"/>
        </w:rPr>
        <w:t>一是</w:t>
      </w:r>
      <w:r>
        <w:rPr>
          <w:rFonts w:hint="eastAsia" w:ascii="仿宋" w:hAnsi="仿宋" w:eastAsia="仿宋" w:cs="仿宋"/>
          <w:i w:val="0"/>
          <w:caps w:val="0"/>
          <w:color w:val="1E1E1E"/>
          <w:spacing w:val="0"/>
          <w:kern w:val="0"/>
          <w:sz w:val="32"/>
          <w:szCs w:val="32"/>
          <w:lang w:val="en-US" w:eastAsia="zh-CN" w:bidi="ar"/>
        </w:rPr>
        <w:t>进一步完善了县委机关大院疗养院的环境卫生、绿化改造的工作；</w:t>
      </w:r>
      <w:r>
        <w:rPr>
          <w:rFonts w:hint="eastAsia" w:ascii="仿宋" w:hAnsi="仿宋" w:eastAsia="仿宋" w:cs="仿宋"/>
          <w:b/>
          <w:i w:val="0"/>
          <w:caps w:val="0"/>
          <w:color w:val="1E1E1E"/>
          <w:spacing w:val="0"/>
          <w:kern w:val="0"/>
          <w:sz w:val="32"/>
          <w:szCs w:val="32"/>
          <w:lang w:val="en-US" w:eastAsia="zh-CN" w:bidi="ar"/>
        </w:rPr>
        <w:t>二是</w:t>
      </w:r>
      <w:r>
        <w:rPr>
          <w:rFonts w:hint="eastAsia" w:ascii="仿宋" w:hAnsi="仿宋" w:eastAsia="仿宋" w:cs="仿宋"/>
          <w:i w:val="0"/>
          <w:caps w:val="0"/>
          <w:color w:val="1E1E1E"/>
          <w:spacing w:val="0"/>
          <w:kern w:val="0"/>
          <w:sz w:val="32"/>
          <w:szCs w:val="32"/>
          <w:lang w:val="en-US" w:eastAsia="zh-CN" w:bidi="ar"/>
        </w:rPr>
        <w:t>做好县委机关大院和疗养院二办公区的综合治理和维稳工作；</w:t>
      </w:r>
      <w:r>
        <w:rPr>
          <w:rFonts w:hint="eastAsia" w:ascii="仿宋" w:hAnsi="仿宋" w:eastAsia="仿宋" w:cs="仿宋"/>
          <w:b/>
          <w:i w:val="0"/>
          <w:caps w:val="0"/>
          <w:color w:val="1E1E1E"/>
          <w:spacing w:val="0"/>
          <w:kern w:val="0"/>
          <w:sz w:val="32"/>
          <w:szCs w:val="32"/>
          <w:lang w:val="en-US" w:eastAsia="zh-CN" w:bidi="ar"/>
        </w:rPr>
        <w:t>三是</w:t>
      </w:r>
      <w:r>
        <w:rPr>
          <w:rFonts w:hint="eastAsia" w:ascii="仿宋" w:hAnsi="仿宋" w:eastAsia="仿宋" w:cs="仿宋"/>
          <w:i w:val="0"/>
          <w:caps w:val="0"/>
          <w:color w:val="1E1E1E"/>
          <w:spacing w:val="0"/>
          <w:kern w:val="0"/>
          <w:sz w:val="32"/>
          <w:szCs w:val="32"/>
          <w:lang w:val="en-US" w:eastAsia="zh-CN" w:bidi="ar"/>
        </w:rPr>
        <w:t>做好去年延续下来的各项提质维修工程；</w:t>
      </w:r>
      <w:r>
        <w:rPr>
          <w:rFonts w:hint="eastAsia" w:ascii="仿宋" w:hAnsi="仿宋" w:eastAsia="仿宋" w:cs="仿宋"/>
          <w:b/>
          <w:i w:val="0"/>
          <w:caps w:val="0"/>
          <w:color w:val="1E1E1E"/>
          <w:spacing w:val="0"/>
          <w:kern w:val="0"/>
          <w:sz w:val="32"/>
          <w:szCs w:val="32"/>
          <w:lang w:val="en-US" w:eastAsia="zh-CN" w:bidi="ar"/>
        </w:rPr>
        <w:t>四是</w:t>
      </w:r>
      <w:r>
        <w:rPr>
          <w:rFonts w:hint="eastAsia" w:ascii="仿宋" w:hAnsi="仿宋" w:eastAsia="仿宋" w:cs="仿宋"/>
          <w:i w:val="0"/>
          <w:caps w:val="0"/>
          <w:color w:val="1E1E1E"/>
          <w:spacing w:val="0"/>
          <w:kern w:val="0"/>
          <w:sz w:val="32"/>
          <w:szCs w:val="32"/>
          <w:lang w:val="en-US" w:eastAsia="zh-CN" w:bidi="ar"/>
        </w:rPr>
        <w:t>做好公车调度，保障公务出行；</w:t>
      </w:r>
      <w:r>
        <w:rPr>
          <w:rFonts w:hint="eastAsia" w:ascii="仿宋" w:hAnsi="仿宋" w:eastAsia="仿宋" w:cs="仿宋"/>
          <w:b/>
          <w:i w:val="0"/>
          <w:caps w:val="0"/>
          <w:color w:val="1E1E1E"/>
          <w:spacing w:val="0"/>
          <w:kern w:val="0"/>
          <w:sz w:val="32"/>
          <w:szCs w:val="32"/>
          <w:lang w:val="en-US" w:eastAsia="zh-CN" w:bidi="ar"/>
        </w:rPr>
        <w:t>五是</w:t>
      </w:r>
      <w:r>
        <w:rPr>
          <w:rFonts w:hint="eastAsia" w:ascii="仿宋" w:hAnsi="仿宋" w:eastAsia="仿宋" w:cs="仿宋"/>
          <w:i w:val="0"/>
          <w:caps w:val="0"/>
          <w:color w:val="1E1E1E"/>
          <w:spacing w:val="0"/>
          <w:kern w:val="0"/>
          <w:sz w:val="32"/>
          <w:szCs w:val="32"/>
          <w:lang w:val="en-US" w:eastAsia="zh-CN" w:bidi="ar"/>
        </w:rPr>
        <w:t>做好节能减排宣传工作。</w:t>
      </w:r>
      <w:r>
        <w:rPr>
          <w:rFonts w:hint="eastAsia" w:ascii="仿宋" w:hAnsi="仿宋" w:eastAsia="仿宋" w:cs="仿宋"/>
          <w:b/>
          <w:i w:val="0"/>
          <w:caps w:val="0"/>
          <w:color w:val="1E1E1E"/>
          <w:spacing w:val="0"/>
          <w:kern w:val="0"/>
          <w:sz w:val="32"/>
          <w:szCs w:val="32"/>
          <w:lang w:val="en-US" w:eastAsia="zh-CN" w:bidi="ar"/>
        </w:rPr>
        <w:t>六是</w:t>
      </w:r>
      <w:r>
        <w:rPr>
          <w:rFonts w:hint="eastAsia" w:ascii="仿宋" w:hAnsi="仿宋" w:eastAsia="仿宋" w:cs="仿宋"/>
          <w:i w:val="0"/>
          <w:caps w:val="0"/>
          <w:color w:val="1E1E1E"/>
          <w:spacing w:val="0"/>
          <w:kern w:val="0"/>
          <w:sz w:val="32"/>
          <w:szCs w:val="32"/>
          <w:lang w:val="en-US" w:eastAsia="zh-CN" w:bidi="ar"/>
        </w:rPr>
        <w:t>做好全县重大会议和活动的会议服务工作。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20" w:right="0" w:firstLine="32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48" w:right="0" w:hanging="147"/>
        <w:jc w:val="left"/>
      </w:pPr>
      <w:r>
        <w:rPr>
          <w:rFonts w:ascii="黑体" w:hAnsi="宋体" w:eastAsia="黑体" w:cs="黑体"/>
          <w:i w:val="0"/>
          <w:caps w:val="0"/>
          <w:color w:val="1E1E1E"/>
          <w:spacing w:val="0"/>
          <w:kern w:val="0"/>
          <w:sz w:val="32"/>
          <w:szCs w:val="32"/>
          <w:lang w:val="en-US" w:eastAsia="zh-CN" w:bidi="ar"/>
        </w:rPr>
        <w:t>五、自评结论及建议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中心严格执行《预算法》《党政机关厉行节约反对浪费条例》等法律法规，全体干部牢固树立财政预算和财政计划观念，强化预算支出的责任和效率，预算绩效管理监督考核工作制度化、规范化、科学化。同时，强化财务制度、固定资产管理制度、厉行节约制度、专项资金管理制度、财务人员岗位职责等制度体系建设，强化资金使用监督，提高项目建设资金效率；厉行节约，切实减少“三公”等非生产性支出，全年实现了收支平衡，实现了财政预算资金效益最大化目标，干部评价效果好，民主测评满意度高，社会反响效果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由于项目建设多，部分费用开支较大，有待进一步改进和加强。拟提如下建议：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1、增强财政预算的全面性和科学性。现行财政预算项目不全面，部分科目预算不科学，部门单位预算没有差异预算等，增加了预算执行和监督的困难。比如说，一般商品与服务项目支出没有考虑到单位的特殊性质和实际情况，在差旅费、公务接待、车辆运行维护等项目，预算太少，根本就不能保证单位的正常运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2、进一步加强业务学习，进一步完善各项财务制度。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ascii="Calibri" w:hAnsi="Calibri" w:eastAsia="微软雅黑" w:cs="Calibri"/>
          <w:i w:val="0"/>
          <w:caps w:val="0"/>
          <w:color w:val="1E1E1E"/>
          <w:spacing w:val="0"/>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i w:val="0"/>
          <w:caps w:val="0"/>
          <w:color w:val="1E1E1E"/>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黑体" w:hAnsi="宋体" w:eastAsia="黑体" w:cs="黑体"/>
          <w:i w:val="0"/>
          <w:caps w:val="0"/>
          <w:color w:val="1E1E1E"/>
          <w:spacing w:val="0"/>
          <w:kern w:val="0"/>
          <w:sz w:val="32"/>
          <w:szCs w:val="32"/>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201</w:t>
      </w:r>
      <w:r>
        <w:rPr>
          <w:rFonts w:ascii="方正小标宋_GBK" w:hAnsi="方正小标宋_GBK" w:eastAsia="方正小标宋_GBK" w:cs="方正小标宋_GBK"/>
          <w:i w:val="0"/>
          <w:caps w:val="0"/>
          <w:color w:val="1E1E1E"/>
          <w:spacing w:val="0"/>
          <w:kern w:val="0"/>
          <w:sz w:val="36"/>
          <w:szCs w:val="36"/>
          <w:lang w:val="en-US" w:eastAsia="zh-CN" w:bidi="ar"/>
        </w:rPr>
        <w:t>9</w:t>
      </w:r>
      <w:r>
        <w:rPr>
          <w:rFonts w:hint="default" w:ascii="方正小标宋_GBK" w:hAnsi="方正小标宋_GBK" w:eastAsia="方正小标宋_GBK" w:cs="方正小标宋_GBK"/>
          <w:i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hint="default" w:ascii="楷体_GB2312" w:hAnsi="微软雅黑" w:eastAsia="楷体_GB2312" w:cs="楷体_GB2312"/>
          <w:i w:val="0"/>
          <w:caps w:val="0"/>
          <w:color w:val="1E1E1E"/>
          <w:spacing w:val="-8"/>
          <w:kern w:val="0"/>
          <w:sz w:val="28"/>
          <w:szCs w:val="28"/>
          <w:lang w:val="en-US" w:eastAsia="zh-CN" w:bidi="ar"/>
        </w:rPr>
        <w:t>填报单位（盖章）：</w:t>
      </w:r>
    </w:p>
    <w:tbl>
      <w:tblPr>
        <w:tblStyle w:val="6"/>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一级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2.5</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3.5</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98</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pPr>
      <w:r>
        <w:rPr>
          <w:rFonts w:hint="default" w:ascii="Calibri" w:hAnsi="Calibri" w:eastAsia="微软雅黑" w:cs="Calibri"/>
          <w:i w:val="0"/>
          <w:caps w:val="0"/>
          <w:color w:val="1E1E1E"/>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eastAsia" w:ascii="仿宋" w:hAnsi="仿宋" w:eastAsia="仿宋" w:cs="仿宋"/>
          <w:i w:val="0"/>
          <w:caps w:val="0"/>
          <w:color w:val="1E1E1E"/>
          <w:spacing w:val="0"/>
          <w:kern w:val="0"/>
          <w:sz w:val="36"/>
          <w:szCs w:val="36"/>
          <w:lang w:val="en-US" w:eastAsia="zh-CN" w:bidi="ar"/>
        </w:rPr>
        <w:t>新邵县机关事务服务中心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eastAsia" w:ascii="仿宋" w:hAnsi="仿宋" w:eastAsia="仿宋" w:cs="仿宋"/>
          <w:i w:val="0"/>
          <w:caps w:val="0"/>
          <w:color w:val="1E1E1E"/>
          <w:spacing w:val="0"/>
          <w:kern w:val="0"/>
          <w:sz w:val="36"/>
          <w:szCs w:val="36"/>
          <w:lang w:val="en-US" w:eastAsia="zh-CN" w:bidi="ar"/>
        </w:rPr>
        <w:t>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450"/>
        <w:jc w:val="left"/>
        <w:rPr>
          <w:rFonts w:hint="eastAsia" w:ascii="仿宋" w:hAnsi="仿宋" w:eastAsia="仿宋" w:cs="仿宋"/>
          <w:i w:val="0"/>
          <w:caps w:val="0"/>
          <w:color w:val="1E1E1E"/>
          <w:spacing w:val="0"/>
          <w:kern w:val="0"/>
          <w:sz w:val="30"/>
          <w:szCs w:val="30"/>
          <w:lang w:val="en-US" w:eastAsia="zh-CN" w:bidi="ar"/>
        </w:rPr>
      </w:pPr>
      <w:r>
        <w:rPr>
          <w:rFonts w:hint="eastAsia" w:ascii="仿宋" w:hAnsi="仿宋" w:eastAsia="仿宋" w:cs="仿宋"/>
          <w:i w:val="0"/>
          <w:caps w:val="0"/>
          <w:color w:val="1E1E1E"/>
          <w:spacing w:val="0"/>
          <w:kern w:val="0"/>
          <w:sz w:val="30"/>
          <w:szCs w:val="30"/>
          <w:lang w:val="en-US" w:eastAsia="zh-CN" w:bidi="ar"/>
        </w:rPr>
        <w:t>根据县财政局《关于开展部门整体支出和专项支出绩效自评工作的通知》，我单位组织开展了2019年度部门预算支出绩效管理工作并进行了全面综合评价，自我评分98分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450"/>
        <w:jc w:val="left"/>
      </w:pPr>
      <w:r>
        <w:rPr>
          <w:rFonts w:hint="eastAsia" w:ascii="仿宋" w:hAnsi="仿宋" w:eastAsia="仿宋" w:cs="仿宋"/>
          <w:i w:val="0"/>
          <w:caps w:val="0"/>
          <w:color w:val="1E1E1E"/>
          <w:spacing w:val="0"/>
          <w:kern w:val="0"/>
          <w:sz w:val="30"/>
          <w:szCs w:val="30"/>
          <w:lang w:val="en-US" w:eastAsia="zh-CN" w:bidi="ar"/>
        </w:rPr>
        <w:t>（详见附表），现将有关情况报告如下：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hanging="720"/>
        <w:jc w:val="left"/>
      </w:pPr>
      <w:r>
        <w:rPr>
          <w:rFonts w:hint="eastAsia" w:ascii="仿宋" w:hAnsi="仿宋" w:eastAsia="仿宋" w:cs="仿宋"/>
          <w:i w:val="0"/>
          <w:caps w:val="0"/>
          <w:color w:val="1E1E1E"/>
          <w:spacing w:val="0"/>
          <w:kern w:val="0"/>
          <w:sz w:val="32"/>
          <w:szCs w:val="32"/>
          <w:lang w:val="en-US" w:eastAsia="zh-CN" w:bidi="ar"/>
        </w:rPr>
        <w:t>一、 部门概况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pPr>
      <w:r>
        <w:rPr>
          <w:rFonts w:hint="eastAsia" w:ascii="宋体" w:hAnsi="宋体" w:eastAsia="宋体" w:cs="宋体"/>
          <w:i w:val="0"/>
          <w:caps w:val="0"/>
          <w:color w:val="333333"/>
          <w:spacing w:val="0"/>
          <w:kern w:val="0"/>
          <w:sz w:val="24"/>
          <w:szCs w:val="24"/>
          <w:shd w:val="clear" w:fill="FFFFFF"/>
          <w:lang w:val="en-US" w:eastAsia="zh-CN" w:bidi="ar"/>
        </w:rPr>
        <w:t>　</w:t>
      </w:r>
      <w:r>
        <w:rPr>
          <w:rFonts w:hint="default" w:ascii="楷体_GB2312" w:hAnsi="微软雅黑" w:eastAsia="楷体_GB2312" w:cs="楷体_GB2312"/>
          <w:i w:val="0"/>
          <w:caps w:val="0"/>
          <w:color w:val="333333"/>
          <w:spacing w:val="0"/>
          <w:kern w:val="0"/>
          <w:sz w:val="32"/>
          <w:szCs w:val="32"/>
          <w:shd w:val="clear" w:fill="FFFFFF"/>
          <w:lang w:val="en-US" w:eastAsia="zh-CN" w:bidi="ar"/>
        </w:rPr>
        <w:t>（一）机构人员情况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16" w:right="0" w:firstLine="750"/>
        <w:jc w:val="left"/>
      </w:pPr>
      <w:r>
        <w:rPr>
          <w:rFonts w:hint="eastAsia" w:ascii="仿宋" w:hAnsi="仿宋" w:eastAsia="仿宋" w:cs="仿宋"/>
          <w:i w:val="0"/>
          <w:caps w:val="0"/>
          <w:color w:val="333333"/>
          <w:spacing w:val="0"/>
          <w:kern w:val="0"/>
          <w:sz w:val="30"/>
          <w:szCs w:val="30"/>
          <w:shd w:val="clear" w:fill="FFFFFF"/>
          <w:lang w:val="en-US" w:eastAsia="zh-CN" w:bidi="ar"/>
        </w:rPr>
        <w:t>根据编办核定，2019年我单位内设股室6个，分别是综合股、公车管理股、财务资产股、综治安保股、政府采购股、会议服务股。为全额拨款事业单位，共有编制15人，实有人数11人，退休人员4人。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316" w:right="0" w:firstLine="750"/>
        <w:jc w:val="left"/>
      </w:pPr>
      <w:r>
        <w:rPr>
          <w:rFonts w:hint="eastAsia" w:ascii="仿宋" w:hAnsi="仿宋" w:eastAsia="仿宋" w:cs="仿宋"/>
          <w:i w:val="0"/>
          <w:caps w:val="0"/>
          <w:color w:val="333333"/>
          <w:spacing w:val="0"/>
          <w:kern w:val="0"/>
          <w:sz w:val="30"/>
          <w:szCs w:val="30"/>
          <w:shd w:val="clear" w:fill="FFFFFF"/>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1、负责研究拟定全县机关事务管理工作的有关政策、规章制度并组织实施；指导全县后勤体制改革工作，会同有关部门推进全县节约型机关建设。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640"/>
        <w:jc w:val="left"/>
      </w:pPr>
      <w:r>
        <w:rPr>
          <w:rFonts w:hint="eastAsia" w:ascii="仿宋" w:hAnsi="仿宋" w:eastAsia="仿宋" w:cs="仿宋"/>
          <w:i w:val="0"/>
          <w:caps w:val="0"/>
          <w:color w:val="1E1E1E"/>
          <w:spacing w:val="0"/>
          <w:kern w:val="0"/>
          <w:sz w:val="32"/>
          <w:szCs w:val="32"/>
          <w:lang w:val="en-US" w:eastAsia="zh-CN" w:bidi="ar"/>
        </w:rPr>
        <w:t>2、负责全县公务用车的配置、调配、更新、维修、处置、车险、油料以及预算内专项用于解决全县行政事业单位公务用车的经费管理工作。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3、根据中共中央办公厅国务院办公厅印发的《党政机关办公用房管理办法》的有关规定，负责做好全县党政机关办公用房的规划、权属、配置、使用、维修、处置等相关工作。负责县委大院、县直机关第二办公区的水、电、道路等基础设施的建设、管理、维修；负责两个办公区的环境卫生和绿化美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4、负责县委大院、县直机关第二办公区域内的安全保卫工作，协助做好信访工作。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5、负责县直机关政府采购的组织实施。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480"/>
        <w:jc w:val="left"/>
      </w:pPr>
      <w:r>
        <w:rPr>
          <w:rFonts w:hint="eastAsia" w:ascii="仿宋" w:hAnsi="仿宋" w:eastAsia="仿宋" w:cs="仿宋"/>
          <w:i w:val="0"/>
          <w:caps w:val="0"/>
          <w:color w:val="1E1E1E"/>
          <w:spacing w:val="0"/>
          <w:kern w:val="0"/>
          <w:sz w:val="32"/>
          <w:szCs w:val="32"/>
          <w:lang w:val="en-US" w:eastAsia="zh-CN" w:bidi="ar"/>
        </w:rPr>
        <w:t>6、负责全县公共机构节能统计、报表等事务性工作，配合县政府办公室做好公共节能监督管理及全县公共机构节能单位节能降耗的目标考核等工作。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7、承担全县大型活动、重要会议的后勤服务保障、预算编制和经费的使用管理工作；负责大礼堂、小礼堂、县委县政府办公楼四楼常委会议室、五楼党政联席会议室的保洁管理、设备设施使用和维护工作。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8、负责县委大院、县直机关第二办公区、县人民武装部食堂的管理、设备设施的使用和维护工作。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9、完成上级交办的其他工作。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 w:hAnsi="仿宋" w:eastAsia="仿宋" w:cs="仿宋"/>
          <w:i w:val="0"/>
          <w:caps w:val="0"/>
          <w:color w:val="1E1E1E"/>
          <w:spacing w:val="0"/>
          <w:kern w:val="0"/>
          <w:sz w:val="32"/>
          <w:szCs w:val="32"/>
          <w:lang w:val="en-US" w:eastAsia="zh-CN" w:bidi="ar"/>
        </w:rPr>
        <w:t>（三）</w:t>
      </w:r>
      <w:r>
        <w:rPr>
          <w:rFonts w:hint="eastAsia" w:ascii="仿宋" w:hAnsi="仿宋" w:eastAsia="仿宋" w:cs="仿宋"/>
          <w:b w:val="0"/>
          <w:i w:val="0"/>
          <w:caps w:val="0"/>
          <w:color w:val="000000"/>
          <w:spacing w:val="0"/>
          <w:kern w:val="0"/>
          <w:sz w:val="32"/>
          <w:szCs w:val="32"/>
          <w:lang w:val="en-US" w:eastAsia="zh-CN" w:bidi="ar"/>
        </w:rPr>
        <w:t>2020年工作思路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仿宋" w:hAnsi="仿宋" w:eastAsia="仿宋" w:cs="仿宋"/>
          <w:i w:val="0"/>
          <w:caps w:val="0"/>
          <w:color w:val="000000"/>
          <w:spacing w:val="0"/>
          <w:kern w:val="0"/>
          <w:sz w:val="32"/>
          <w:szCs w:val="32"/>
          <w:shd w:val="clear" w:fill="FFFFFF"/>
          <w:lang w:val="en-US" w:eastAsia="zh-CN" w:bidi="ar"/>
        </w:rPr>
        <w:t>下一步，我中心工作将继续坚持以习近平新时代中国特色社会主义思想为指导，紧紧围绕中央、省、市、县决策部署，以及上级部门的工作要点，继续推进中心服务事业转型升级，全面提升服务水平，发挥事务服务在经济社会发展中的基础保障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20" w:right="0" w:firstLine="32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1.年初预算收支（金额：万元）</w:t>
      </w:r>
    </w:p>
    <w:tbl>
      <w:tblPr>
        <w:tblStyle w:val="6"/>
        <w:tblW w:w="0" w:type="auto"/>
        <w:jc w:val="center"/>
        <w:shd w:val="clear" w:color="auto" w:fill="auto"/>
        <w:tblLayout w:type="autofit"/>
        <w:tblCellMar>
          <w:top w:w="0" w:type="dxa"/>
          <w:left w:w="0" w:type="dxa"/>
          <w:bottom w:w="0" w:type="dxa"/>
          <w:right w:w="0" w:type="dxa"/>
        </w:tblCellMar>
      </w:tblPr>
      <w:tblGrid>
        <w:gridCol w:w="2087"/>
        <w:gridCol w:w="1710"/>
        <w:gridCol w:w="1590"/>
        <w:gridCol w:w="1329"/>
        <w:gridCol w:w="1806"/>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color w:val="010101"/>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1907.34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1438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469.34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32.64%</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109.34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18</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91.34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507.44%</w:t>
            </w:r>
          </w:p>
        </w:tc>
      </w:tr>
      <w:tr>
        <w:tblPrEx>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color w:val="010101"/>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1798</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1420</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color w:val="010101"/>
                <w:kern w:val="0"/>
                <w:sz w:val="21"/>
                <w:szCs w:val="21"/>
                <w:lang w:val="en-US" w:eastAsia="zh-CN" w:bidi="ar"/>
              </w:rPr>
              <w:t>378</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26.62%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11.4</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1809.4</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2922.06</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1014.72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2.年度预算支出决算及结余</w:t>
      </w:r>
    </w:p>
    <w:tbl>
      <w:tblPr>
        <w:tblStyle w:val="6"/>
        <w:tblW w:w="7953" w:type="dxa"/>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1871.17</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1761.83</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1798</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1038.42</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-759.58</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2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1907.34</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2909.59</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1002.25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89.62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273.02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超支183.4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11.4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1241.74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超支1230.34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8.32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8.09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节约0.23</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348.31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348.31</w:t>
            </w:r>
          </w:p>
        </w:tc>
      </w:tr>
      <w:tr>
        <w:tblPrEx>
          <w:shd w:val="clear" w:color="auto" w:fill="auto"/>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109.34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1871.17</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1761.83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基本工资</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30.35</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38.26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超支7.91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超支率20.67%</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津贴补贴</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21.22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超支21.22</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奖金</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2.53</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超支0.13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超支率4.9%</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伙食补助费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23.03</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超支23.03</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绩效工资</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17.33</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112.21</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超支94.88</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超支率84.56%</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机关事业单位基本养老保险缴费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11.02</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节约11.02</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职业年金缴费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9.79</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超支9.79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职工基本医疗保险缴费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超支1.69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公务员医疗补助缴费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其他社会保障缴费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10.39</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节约10.39</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节约率100%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住房公积金</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医疗费</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其他工资福利支出</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13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64.16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超支46.16</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超支率71.95%</w:t>
            </w:r>
          </w:p>
        </w:tc>
      </w:tr>
      <w:tr>
        <w:tblPrEx>
          <w:shd w:val="clear" w:color="auto" w:fill="auto"/>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89.62</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273.02</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超支183.4</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（2）商品和服务支出</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10.65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7.65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71.83%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11.05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水电</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000FF"/>
                <w:kern w:val="0"/>
                <w:sz w:val="21"/>
                <w:szCs w:val="21"/>
                <w:lang w:val="en-US" w:eastAsia="zh-CN" w:bidi="ar"/>
              </w:rPr>
              <w:t>17.62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94.32%</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21.93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20.93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95.44%</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7.02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94.3%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82.91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82.91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-188.46%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7.92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7.92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90.57%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519.9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519.9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160.23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160.23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11.4</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1241.74</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超支1230.34</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6"/>
        <w:tblW w:w="8364" w:type="dxa"/>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8.32</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-8.32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7.27</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7.27</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0.82</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0.82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8.32</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8.09</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FF0000"/>
                <w:kern w:val="0"/>
                <w:sz w:val="21"/>
                <w:szCs w:val="21"/>
                <w:lang w:val="en-US" w:eastAsia="zh-CN" w:bidi="ar"/>
              </w:rPr>
              <w:t>节约0.23</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1、“三公经费”预算执行</w:t>
      </w:r>
    </w:p>
    <w:tbl>
      <w:tblPr>
        <w:tblStyle w:val="6"/>
        <w:tblW w:w="0" w:type="auto"/>
        <w:jc w:val="center"/>
        <w:shd w:val="clear" w:color="auto" w:fill="auto"/>
        <w:tblLayout w:type="autofit"/>
        <w:tblCellMar>
          <w:top w:w="0" w:type="dxa"/>
          <w:left w:w="0" w:type="dxa"/>
          <w:bottom w:w="0" w:type="dxa"/>
          <w:right w:w="0" w:type="dxa"/>
        </w:tblCellMar>
      </w:tblPr>
      <w:tblGrid>
        <w:gridCol w:w="1607"/>
        <w:gridCol w:w="1053"/>
        <w:gridCol w:w="1112"/>
        <w:gridCol w:w="995"/>
        <w:gridCol w:w="1158"/>
        <w:gridCol w:w="1135"/>
        <w:gridCol w:w="1276"/>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1.04</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519.9</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680.1</w:t>
            </w:r>
          </w:p>
        </w:tc>
      </w:tr>
      <w:tr>
        <w:tblPrEx>
          <w:shd w:val="clear" w:color="auto" w:fill="auto"/>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223.02</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223.02</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1.04</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734.59</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1.04</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1.78</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-0.74</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-41.57%</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519.9</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532.5</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-12.6</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-2.37%</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223.02</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223.02</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743.96</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534.28</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209.68</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FF0000"/>
                <w:kern w:val="0"/>
                <w:sz w:val="21"/>
                <w:szCs w:val="21"/>
                <w:lang w:val="en-US" w:eastAsia="zh-CN" w:bidi="ar"/>
              </w:rPr>
              <w:t>39.25%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1、专项资金基本情况及绩效目标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我单位2019年度专项资金预算为1798万元，来源于财政拨款，主要使用于公车、维修、办公区专项、周转房、会议费等开支，绩效目标就是加强内部控制，根据工作职能用好每一份钱。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2、专项资金预算执行</w:t>
      </w:r>
    </w:p>
    <w:tbl>
      <w:tblPr>
        <w:tblStyle w:val="6"/>
        <w:tblW w:w="9160" w:type="dxa"/>
        <w:tblInd w:w="0" w:type="dxa"/>
        <w:shd w:val="clear" w:color="auto" w:fill="auto"/>
        <w:tblLayout w:type="autofit"/>
        <w:tblCellMar>
          <w:top w:w="0" w:type="dxa"/>
          <w:left w:w="0" w:type="dxa"/>
          <w:bottom w:w="0" w:type="dxa"/>
          <w:right w:w="0" w:type="dxa"/>
        </w:tblCellMar>
      </w:tblPr>
      <w:tblGrid>
        <w:gridCol w:w="2686"/>
        <w:gridCol w:w="737"/>
        <w:gridCol w:w="583"/>
        <w:gridCol w:w="555"/>
        <w:gridCol w:w="849"/>
        <w:gridCol w:w="832"/>
        <w:gridCol w:w="712"/>
        <w:gridCol w:w="2206"/>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专项子目名称</w:t>
            </w:r>
          </w:p>
        </w:tc>
        <w:tc>
          <w:tcPr>
            <w:tcW w:w="2689"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本年预算可用指标</w:t>
            </w:r>
          </w:p>
        </w:tc>
        <w:tc>
          <w:tcPr>
            <w:tcW w:w="833"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本年实际支出</w:t>
            </w:r>
          </w:p>
        </w:tc>
        <w:tc>
          <w:tcPr>
            <w:tcW w:w="713"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本年结余</w:t>
            </w:r>
          </w:p>
        </w:tc>
        <w:tc>
          <w:tcPr>
            <w:tcW w:w="2221" w:type="dxa"/>
            <w:vMerge w:val="restart"/>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投入进度</w:t>
            </w:r>
          </w:p>
        </w:tc>
      </w:tr>
      <w:tr>
        <w:tblPrEx>
          <w:shd w:val="clear" w:color="auto" w:fill="auto"/>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追加</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833"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13"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221" w:type="dxa"/>
            <w:vMerge w:val="continue"/>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公共节能</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公务用车专项</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1200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735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行政事务管理专项</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办公区域物业管理、安保执勤、信访维稳</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2.55</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245</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247.55</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195.74</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51.81</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办公用房及设施维护</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0.12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150.12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143.64</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6.48</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县级干部周转房</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20</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会议室管理及水电补助</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45</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公车平台系统维护</w:t>
            </w:r>
          </w:p>
        </w:tc>
        <w:tc>
          <w:tcPr>
            <w:tcW w:w="7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w:t>
            </w:r>
          </w:p>
        </w:tc>
        <w:tc>
          <w:tcPr>
            <w:tcW w:w="5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5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w:t>
            </w:r>
          </w:p>
        </w:tc>
        <w:tc>
          <w:tcPr>
            <w:tcW w:w="83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32</w:t>
            </w:r>
          </w:p>
        </w:tc>
        <w:tc>
          <w:tcPr>
            <w:tcW w:w="7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2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合 计</w:t>
            </w:r>
          </w:p>
        </w:tc>
        <w:tc>
          <w:tcPr>
            <w:tcW w:w="739"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8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1798</w:t>
            </w:r>
          </w:p>
        </w:tc>
        <w:tc>
          <w:tcPr>
            <w:tcW w:w="517"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850"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1806.67</w:t>
            </w:r>
          </w:p>
        </w:tc>
        <w:tc>
          <w:tcPr>
            <w:tcW w:w="83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1266.38</w:t>
            </w:r>
          </w:p>
        </w:tc>
        <w:tc>
          <w:tcPr>
            <w:tcW w:w="71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540.29</w:t>
            </w:r>
          </w:p>
        </w:tc>
        <w:tc>
          <w:tcPr>
            <w:tcW w:w="2221"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1E1E1E"/>
          <w:spacing w:val="0"/>
          <w:kern w:val="0"/>
          <w:sz w:val="32"/>
          <w:szCs w:val="32"/>
          <w:lang w:val="en-US" w:eastAsia="zh-CN" w:bidi="ar"/>
        </w:rPr>
        <w:t>3、专项资金的管理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0"/>
        <w:jc w:val="both"/>
      </w:pPr>
      <w:r>
        <w:rPr>
          <w:rFonts w:hint="eastAsia" w:ascii="仿宋" w:hAnsi="仿宋" w:eastAsia="仿宋" w:cs="仿宋"/>
          <w:i w:val="0"/>
          <w:caps w:val="0"/>
          <w:color w:val="333333"/>
          <w:spacing w:val="0"/>
          <w:sz w:val="32"/>
          <w:szCs w:val="32"/>
          <w:shd w:val="clear" w:fill="FFFFFF"/>
        </w:rPr>
        <w:t>为切实规范专项资金管理，保障资金安全、高效运行，发挥资金使用效益，特制定以下管理制度：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1、专项资金实行“专人管理、专户储存、专账核算、专项使用”。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2、专项资金实行报账制，资金拨付一律转账结算，杜绝现金支付。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3、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4、严格专项资金初审、审核、复核制度，不准缺项和越程序办理手续，各类专项资金审批程序，以该专项资金审批表所列内容和文件要求为准。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5、专项资金报账拨付要附真实、有效、合法的凭证。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6、加强审计监督，实行单项工程决算审计、整体项目验收审计、年度资金收支审计。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7、对专项资金要定期或不定期进行督查，确保项目资金专款专用，要全程参与项目验收和采购项目接交。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480" w:right="0" w:hanging="480"/>
        <w:jc w:val="both"/>
      </w:pPr>
      <w:r>
        <w:rPr>
          <w:rFonts w:hint="eastAsia" w:ascii="仿宋" w:hAnsi="仿宋" w:eastAsia="仿宋" w:cs="仿宋"/>
          <w:i w:val="0"/>
          <w:caps w:val="0"/>
          <w:color w:val="333333"/>
          <w:spacing w:val="0"/>
          <w:sz w:val="32"/>
          <w:szCs w:val="32"/>
          <w:shd w:val="clear" w:fill="FFFFFF"/>
        </w:rPr>
        <w:t>　　8、对工程类项目专项资金所发生的隐蔽工程，负责资金结算的工作人员，必须到现场签证认可，否则不予结算。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color w:val="F29F05"/>
          <w:sz w:val="225"/>
          <w:szCs w:val="225"/>
        </w:rPr>
      </w:pPr>
      <w:r>
        <w:rPr>
          <w:rFonts w:hint="eastAsia" w:ascii="仿宋" w:hAnsi="仿宋" w:eastAsia="仿宋" w:cs="仿宋"/>
          <w:b w:val="0"/>
          <w:i w:val="0"/>
          <w:caps w:val="0"/>
          <w:color w:val="F29F05"/>
          <w:spacing w:val="0"/>
          <w:sz w:val="32"/>
          <w:szCs w:val="32"/>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（一）年初预算及调整情况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left"/>
      </w:pPr>
      <w:r>
        <w:rPr>
          <w:rFonts w:hint="eastAsia" w:ascii="仿宋" w:hAnsi="仿宋" w:eastAsia="仿宋" w:cs="仿宋"/>
          <w:i w:val="0"/>
          <w:caps w:val="0"/>
          <w:color w:val="1E1E1E"/>
          <w:spacing w:val="0"/>
          <w:kern w:val="0"/>
          <w:sz w:val="32"/>
          <w:szCs w:val="32"/>
          <w:lang w:val="en-US" w:eastAsia="zh-CN" w:bidi="ar"/>
        </w:rPr>
        <w:t>年初预算：2019年，财政下达我中心的预算收入、支出为1907.34万元，其中基本支出为109.34万元，本级专项（项目）资金为1798万元。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（二）部门预算执行及决算情况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316" w:right="0" w:firstLine="320"/>
        <w:jc w:val="left"/>
      </w:pPr>
      <w:r>
        <w:rPr>
          <w:rFonts w:hint="eastAsia" w:ascii="仿宋" w:hAnsi="仿宋" w:eastAsia="仿宋" w:cs="仿宋"/>
          <w:i w:val="0"/>
          <w:caps w:val="0"/>
          <w:color w:val="1E1E1E"/>
          <w:spacing w:val="0"/>
          <w:kern w:val="0"/>
          <w:sz w:val="32"/>
          <w:szCs w:val="32"/>
          <w:lang w:val="en-US" w:eastAsia="zh-CN" w:bidi="ar"/>
        </w:rPr>
        <w:t>我中心严格坚持收支两条线，无坐支行为，无公款私存、无小金库；严格遵守财务制度，按规定实行政府采购，所有支出做到合法合规，专项资金专款专用，无截留、挪用、虚列支出，资金支出等合法、合规、安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（三）部门整体支出绩效目标完成情况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单位在省、市各级领导的关怀下，在县委、县政府的坚强领导下，认真履职，创新工作机制，强力推进项目建设，各项工作圆满完成；严格执行财政预算绩效目标管理要求，强化费用管理和监督，严格控制非生产性开支，部门整体支出合理、合法、高效、安全，实现了年初确定的各项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超额完成各项工作目标。 </w:t>
      </w:r>
      <w:r>
        <w:rPr>
          <w:rFonts w:hint="eastAsia" w:ascii="仿宋" w:hAnsi="仿宋" w:eastAsia="仿宋" w:cs="仿宋"/>
          <w:b/>
          <w:i w:val="0"/>
          <w:caps w:val="0"/>
          <w:color w:val="1E1E1E"/>
          <w:spacing w:val="0"/>
          <w:kern w:val="0"/>
          <w:sz w:val="32"/>
          <w:szCs w:val="32"/>
          <w:lang w:val="en-US" w:eastAsia="zh-CN" w:bidi="ar"/>
        </w:rPr>
        <w:t>一是</w:t>
      </w:r>
      <w:r>
        <w:rPr>
          <w:rFonts w:hint="eastAsia" w:ascii="仿宋" w:hAnsi="仿宋" w:eastAsia="仿宋" w:cs="仿宋"/>
          <w:i w:val="0"/>
          <w:caps w:val="0"/>
          <w:color w:val="1E1E1E"/>
          <w:spacing w:val="0"/>
          <w:kern w:val="0"/>
          <w:sz w:val="32"/>
          <w:szCs w:val="32"/>
          <w:lang w:val="en-US" w:eastAsia="zh-CN" w:bidi="ar"/>
        </w:rPr>
        <w:t>进一步完善了县委机关大院疗养院的环境卫生、绿化改造的工作；</w:t>
      </w:r>
      <w:r>
        <w:rPr>
          <w:rFonts w:hint="eastAsia" w:ascii="仿宋" w:hAnsi="仿宋" w:eastAsia="仿宋" w:cs="仿宋"/>
          <w:b/>
          <w:i w:val="0"/>
          <w:caps w:val="0"/>
          <w:color w:val="1E1E1E"/>
          <w:spacing w:val="0"/>
          <w:kern w:val="0"/>
          <w:sz w:val="32"/>
          <w:szCs w:val="32"/>
          <w:lang w:val="en-US" w:eastAsia="zh-CN" w:bidi="ar"/>
        </w:rPr>
        <w:t>二是</w:t>
      </w:r>
      <w:r>
        <w:rPr>
          <w:rFonts w:hint="eastAsia" w:ascii="仿宋" w:hAnsi="仿宋" w:eastAsia="仿宋" w:cs="仿宋"/>
          <w:i w:val="0"/>
          <w:caps w:val="0"/>
          <w:color w:val="1E1E1E"/>
          <w:spacing w:val="0"/>
          <w:kern w:val="0"/>
          <w:sz w:val="32"/>
          <w:szCs w:val="32"/>
          <w:lang w:val="en-US" w:eastAsia="zh-CN" w:bidi="ar"/>
        </w:rPr>
        <w:t>做好县委机关大院和疗养院二办公区的综合治理和维稳工作；</w:t>
      </w:r>
      <w:r>
        <w:rPr>
          <w:rFonts w:hint="eastAsia" w:ascii="仿宋" w:hAnsi="仿宋" w:eastAsia="仿宋" w:cs="仿宋"/>
          <w:b/>
          <w:i w:val="0"/>
          <w:caps w:val="0"/>
          <w:color w:val="1E1E1E"/>
          <w:spacing w:val="0"/>
          <w:kern w:val="0"/>
          <w:sz w:val="32"/>
          <w:szCs w:val="32"/>
          <w:lang w:val="en-US" w:eastAsia="zh-CN" w:bidi="ar"/>
        </w:rPr>
        <w:t>三是</w:t>
      </w:r>
      <w:r>
        <w:rPr>
          <w:rFonts w:hint="eastAsia" w:ascii="仿宋" w:hAnsi="仿宋" w:eastAsia="仿宋" w:cs="仿宋"/>
          <w:i w:val="0"/>
          <w:caps w:val="0"/>
          <w:color w:val="1E1E1E"/>
          <w:spacing w:val="0"/>
          <w:kern w:val="0"/>
          <w:sz w:val="32"/>
          <w:szCs w:val="32"/>
          <w:lang w:val="en-US" w:eastAsia="zh-CN" w:bidi="ar"/>
        </w:rPr>
        <w:t>做好去年延续下来的各项提质维修工程；</w:t>
      </w:r>
      <w:r>
        <w:rPr>
          <w:rFonts w:hint="eastAsia" w:ascii="仿宋" w:hAnsi="仿宋" w:eastAsia="仿宋" w:cs="仿宋"/>
          <w:b/>
          <w:i w:val="0"/>
          <w:caps w:val="0"/>
          <w:color w:val="1E1E1E"/>
          <w:spacing w:val="0"/>
          <w:kern w:val="0"/>
          <w:sz w:val="32"/>
          <w:szCs w:val="32"/>
          <w:lang w:val="en-US" w:eastAsia="zh-CN" w:bidi="ar"/>
        </w:rPr>
        <w:t>四是</w:t>
      </w:r>
      <w:r>
        <w:rPr>
          <w:rFonts w:hint="eastAsia" w:ascii="仿宋" w:hAnsi="仿宋" w:eastAsia="仿宋" w:cs="仿宋"/>
          <w:i w:val="0"/>
          <w:caps w:val="0"/>
          <w:color w:val="1E1E1E"/>
          <w:spacing w:val="0"/>
          <w:kern w:val="0"/>
          <w:sz w:val="32"/>
          <w:szCs w:val="32"/>
          <w:lang w:val="en-US" w:eastAsia="zh-CN" w:bidi="ar"/>
        </w:rPr>
        <w:t>做好公车调度，保障公务出行；</w:t>
      </w:r>
      <w:r>
        <w:rPr>
          <w:rFonts w:hint="eastAsia" w:ascii="仿宋" w:hAnsi="仿宋" w:eastAsia="仿宋" w:cs="仿宋"/>
          <w:b/>
          <w:i w:val="0"/>
          <w:caps w:val="0"/>
          <w:color w:val="1E1E1E"/>
          <w:spacing w:val="0"/>
          <w:kern w:val="0"/>
          <w:sz w:val="32"/>
          <w:szCs w:val="32"/>
          <w:lang w:val="en-US" w:eastAsia="zh-CN" w:bidi="ar"/>
        </w:rPr>
        <w:t>五是</w:t>
      </w:r>
      <w:r>
        <w:rPr>
          <w:rFonts w:hint="eastAsia" w:ascii="仿宋" w:hAnsi="仿宋" w:eastAsia="仿宋" w:cs="仿宋"/>
          <w:i w:val="0"/>
          <w:caps w:val="0"/>
          <w:color w:val="1E1E1E"/>
          <w:spacing w:val="0"/>
          <w:kern w:val="0"/>
          <w:sz w:val="32"/>
          <w:szCs w:val="32"/>
          <w:lang w:val="en-US" w:eastAsia="zh-CN" w:bidi="ar"/>
        </w:rPr>
        <w:t>做好节能减排宣传工作。</w:t>
      </w:r>
      <w:r>
        <w:rPr>
          <w:rFonts w:hint="eastAsia" w:ascii="仿宋" w:hAnsi="仿宋" w:eastAsia="仿宋" w:cs="仿宋"/>
          <w:b/>
          <w:i w:val="0"/>
          <w:caps w:val="0"/>
          <w:color w:val="1E1E1E"/>
          <w:spacing w:val="0"/>
          <w:kern w:val="0"/>
          <w:sz w:val="32"/>
          <w:szCs w:val="32"/>
          <w:lang w:val="en-US" w:eastAsia="zh-CN" w:bidi="ar"/>
        </w:rPr>
        <w:t>六是</w:t>
      </w:r>
      <w:r>
        <w:rPr>
          <w:rFonts w:hint="eastAsia" w:ascii="仿宋" w:hAnsi="仿宋" w:eastAsia="仿宋" w:cs="仿宋"/>
          <w:i w:val="0"/>
          <w:caps w:val="0"/>
          <w:color w:val="1E1E1E"/>
          <w:spacing w:val="0"/>
          <w:kern w:val="0"/>
          <w:sz w:val="32"/>
          <w:szCs w:val="32"/>
          <w:lang w:val="en-US" w:eastAsia="zh-CN" w:bidi="ar"/>
        </w:rPr>
        <w:t>做好全县重大会议和活动的会议服务工作。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20" w:right="0" w:firstLine="32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48" w:right="0" w:hanging="147"/>
        <w:jc w:val="left"/>
      </w:pPr>
      <w:r>
        <w:rPr>
          <w:rFonts w:hint="eastAsia" w:ascii="黑体" w:hAnsi="宋体" w:eastAsia="黑体" w:cs="黑体"/>
          <w:i w:val="0"/>
          <w:caps w:val="0"/>
          <w:color w:val="1E1E1E"/>
          <w:spacing w:val="0"/>
          <w:kern w:val="0"/>
          <w:sz w:val="32"/>
          <w:szCs w:val="32"/>
          <w:lang w:val="en-US" w:eastAsia="zh-CN" w:bidi="ar"/>
        </w:rPr>
        <w:t>五、自评结论及建议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中心严格执行《预算法》《党政机关厉行节约反对浪费条例》等法律法规，全体干部牢固树立财政预算和财政计划观念，强化预算支出的责任和效率，预算绩效管理监督考核工作制度化、规范化、科学化。同时，强化财务制度、固定资产管理制度、厉行节约制度、专项资金管理制度、财务人员岗位职责等制度体系建设，强化资金使用监督，提高项目建设资金效率；厉行节约，切实减少“三公”等非生产性支出，全年实现了收支平衡，实现了财政预算资金效益最大化目标，干部评价效果好，民主测评满意度高，社会反响效果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由于项目建设多，部分费用开支较大，有待进一步改进和加强。拟提如下建议：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1、增强财政预算的全面性和科学性。现行财政预算项目不全面，部分科目预算不科学，部门单位预算没有差异预算等，增加了预算执行和监督的困难。比如说，一般商品与服务项目支出没有考虑到单位的特殊性质和实际情况，在差旅费、公务接待、车辆运行维护等项目，预算太少，根本就不能保证单位的正常运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2、进一步加强业务学习，进一步完善各项财务制度。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i w:val="0"/>
          <w:caps w:val="0"/>
          <w:color w:val="1E1E1E"/>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黑体" w:hAnsi="宋体" w:eastAsia="黑体" w:cs="黑体"/>
          <w:i w:val="0"/>
          <w:caps w:val="0"/>
          <w:color w:val="1E1E1E"/>
          <w:spacing w:val="0"/>
          <w:kern w:val="0"/>
          <w:sz w:val="32"/>
          <w:szCs w:val="32"/>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Calibri" w:hAnsi="Calibri" w:eastAsia="微软雅黑" w:cs="Calibri"/>
          <w:i w:val="0"/>
          <w:caps w:val="0"/>
          <w:color w:val="1E1E1E"/>
          <w:spacing w:val="0"/>
          <w:kern w:val="0"/>
          <w:sz w:val="36"/>
          <w:szCs w:val="36"/>
          <w:lang w:val="en-US" w:eastAsia="zh-CN" w:bidi="ar"/>
        </w:rPr>
        <w:t>201</w:t>
      </w:r>
      <w:r>
        <w:rPr>
          <w:rFonts w:hint="default" w:ascii="方正小标宋_GBK" w:hAnsi="方正小标宋_GBK" w:eastAsia="方正小标宋_GBK" w:cs="方正小标宋_GBK"/>
          <w:i w:val="0"/>
          <w:caps w:val="0"/>
          <w:color w:val="1E1E1E"/>
          <w:spacing w:val="0"/>
          <w:kern w:val="0"/>
          <w:sz w:val="36"/>
          <w:szCs w:val="36"/>
          <w:lang w:val="en-US" w:eastAsia="zh-CN" w:bidi="ar"/>
        </w:rPr>
        <w:t>9年度部门整体支出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hint="default" w:ascii="楷体_GB2312" w:hAnsi="微软雅黑" w:eastAsia="楷体_GB2312" w:cs="楷体_GB2312"/>
          <w:i w:val="0"/>
          <w:caps w:val="0"/>
          <w:color w:val="1E1E1E"/>
          <w:spacing w:val="-8"/>
          <w:kern w:val="0"/>
          <w:sz w:val="28"/>
          <w:szCs w:val="28"/>
          <w:lang w:val="en-US" w:eastAsia="zh-CN" w:bidi="ar"/>
        </w:rPr>
        <w:t>填报单位（盖章）：</w:t>
      </w:r>
    </w:p>
    <w:tbl>
      <w:tblPr>
        <w:tblStyle w:val="6"/>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一级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自评分</w:t>
            </w:r>
          </w:p>
        </w:tc>
      </w:tr>
      <w:tr>
        <w:tblPrEx>
          <w:shd w:val="clear" w:color="auto" w:fill="auto"/>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2.5</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3.5</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6</w:t>
            </w:r>
          </w:p>
        </w:tc>
      </w:tr>
      <w:tr>
        <w:tblPrEx>
          <w:shd w:val="clear" w:color="auto" w:fill="auto"/>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履职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98</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pPr>
      <w:r>
        <w:rPr>
          <w:rFonts w:hint="default" w:ascii="Calibri" w:hAnsi="Calibri" w:eastAsia="微软雅黑" w:cs="Calibri"/>
          <w:i w:val="0"/>
          <w:caps w:val="0"/>
          <w:color w:val="1E1E1E"/>
          <w:spacing w:val="0"/>
          <w:kern w:val="0"/>
          <w:sz w:val="21"/>
          <w:szCs w:val="21"/>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NDkxZjczODgxOWUzZWZiNDhmOGI2YTJiZDY5MTMifQ=="/>
  </w:docVars>
  <w:rsids>
    <w:rsidRoot w:val="00000000"/>
    <w:rsid w:val="175E36E4"/>
    <w:rsid w:val="1C6A1D57"/>
    <w:rsid w:val="44C82259"/>
    <w:rsid w:val="48DC6CA9"/>
    <w:rsid w:val="60A852BD"/>
    <w:rsid w:val="674C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14862</Words>
  <Characters>16924</Characters>
  <Lines>0</Lines>
  <Paragraphs>0</Paragraphs>
  <TotalTime>0</TotalTime>
  <ScaleCrop>false</ScaleCrop>
  <LinksUpToDate>false</LinksUpToDate>
  <CharactersWithSpaces>16962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2021-06-06T05:31:00Z</dcterms:created>
  <dc:creator>Administrator</dc:creator>
  <cp:lastModifiedBy>user</cp:lastModifiedBy>
  <dcterms:modified xsi:type="dcterms:W3CDTF">2022-10-15T03:48:40Z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4FBE70202C8B482192DB8301EB6ADF6A</vt:lpwstr>
  </property>
</Properties>
</file>