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新邵县劳动人事争议仲裁院2019年度部门整体支出绩效自评报告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2" w:right="0" w:hanging="452"/>
        <w:jc w:val="both"/>
        <w:rPr>
          <w:rFonts w:hint="default" w:ascii="Times New Roman" w:hAnsi="Times New Roman" w:cs="Times New Roman"/>
          <w:sz w:val="21"/>
          <w:szCs w:val="21"/>
        </w:rPr>
      </w:pPr>
      <w:r>
        <w:rPr>
          <w:rFonts w:ascii="仿宋" w:hAnsi="仿宋" w:eastAsia="仿宋" w:cs="仿宋"/>
          <w:b/>
          <w:i w:val="0"/>
          <w:caps w:val="0"/>
          <w:color w:val="1E1E1E"/>
          <w:spacing w:val="0"/>
          <w:sz w:val="30"/>
          <w:szCs w:val="30"/>
        </w:rPr>
        <w:t>一、部门概况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2" w:right="0" w:hanging="45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（一）部门基本情况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1、</w:t>
      </w:r>
      <w:r>
        <w:rPr>
          <w:rFonts w:hint="eastAsia" w:ascii="仿宋" w:hAnsi="仿宋" w:eastAsia="仿宋" w:cs="仿宋"/>
          <w:b/>
          <w:i w:val="0"/>
          <w:caps w:val="0"/>
          <w:color w:val="1E1E1E"/>
          <w:spacing w:val="0"/>
          <w:sz w:val="30"/>
          <w:szCs w:val="30"/>
        </w:rPr>
        <w:t>单位基本情况：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48" w:right="0" w:hanging="1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本单位编制人数5人，实际在职人员4人，退休人员0人。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2" w:right="0" w:hanging="45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2、机构设置情况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2" w:right="0" w:hanging="452"/>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（一）内设机构为3个：综合审理庭、立案庭、办公室。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38" w:right="0" w:hanging="138"/>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（二）主要工作职责。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1、聘任、解聘专职或者兼职仲裁员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2、受理全县劳动争议案件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3、讨论重大或者疑难的劳动争议案件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4、对仲裁活动进行监督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（三）2019年度工作计划。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50" w:right="56" w:firstLine="590"/>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（一）强化庭前调解。</w:t>
      </w:r>
      <w:r>
        <w:rPr>
          <w:rFonts w:hint="eastAsia" w:ascii="仿宋" w:hAnsi="仿宋" w:eastAsia="仿宋" w:cs="仿宋"/>
          <w:i w:val="0"/>
          <w:caps w:val="0"/>
          <w:color w:val="1E1E1E"/>
          <w:spacing w:val="0"/>
          <w:sz w:val="30"/>
          <w:szCs w:val="30"/>
        </w:rPr>
        <w:t>坚持“重调解、轻裁决”的工作思路，和各乡镇的基层调解组织联动，积极探索劳动争议调解的新方法，进一步完善劳动人事争议多元解决机制，化解各类矛盾纠纷，争取全年劳动人事争议调解率达到65％以上。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50" w:right="56" w:firstLine="443"/>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（二）进一步提高仲裁案件质量和效果。</w:t>
      </w:r>
      <w:r>
        <w:rPr>
          <w:rFonts w:hint="eastAsia" w:ascii="仿宋" w:hAnsi="仿宋" w:eastAsia="仿宋" w:cs="仿宋"/>
          <w:i w:val="0"/>
          <w:caps w:val="0"/>
          <w:color w:val="1E1E1E"/>
          <w:spacing w:val="0"/>
          <w:sz w:val="30"/>
          <w:szCs w:val="30"/>
        </w:rPr>
        <w:t>加强业务培训和学习，规范开展工作。提高调解效能，提升办案质量，通过调解裁决等各种方式引导用人单位依法规范用工，引导劳动者依法维权。强化仲裁队伍建设，不断提高仲裁员的业务水平和知识储备，抓好重大集体案件和农民工工资争议案件，有力维护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50" w:right="0" w:firstLine="60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（三）建立法律援助窗口。 </w:t>
      </w:r>
      <w:r>
        <w:rPr>
          <w:rFonts w:hint="eastAsia" w:ascii="仿宋" w:hAnsi="仿宋" w:eastAsia="仿宋" w:cs="仿宋"/>
          <w:i w:val="0"/>
          <w:caps w:val="0"/>
          <w:color w:val="1E1E1E"/>
          <w:spacing w:val="0"/>
          <w:sz w:val="30"/>
          <w:szCs w:val="30"/>
        </w:rPr>
        <w:t>根据仲裁工作实际，和司法行政部门沟通协调，探索设置法律援助窗口，便于当事人就近进行法律咨询，更好的维护自己的合法权益，不断提高公共服务能力和水平。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2" w:right="0" w:hanging="45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二、部门整体支出规模、使用方向和内容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0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以下所有表格可根据实际情况进行相应调整（金额：万元）。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（一）年度预算收支情况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1.年初预算收支</w:t>
      </w:r>
    </w:p>
    <w:tbl>
      <w:tblPr>
        <w:tblStyle w:val="6"/>
        <w:tblpPr w:vertAnchor="text" w:tblpXSpec="left"/>
        <w:tblW w:w="8760" w:type="dxa"/>
        <w:tblInd w:w="0" w:type="dxa"/>
        <w:shd w:val="clear" w:color="auto" w:fill="auto"/>
        <w:tblLayout w:type="autofit"/>
        <w:tblCellMar>
          <w:top w:w="0" w:type="dxa"/>
          <w:left w:w="0" w:type="dxa"/>
          <w:bottom w:w="0" w:type="dxa"/>
          <w:right w:w="0" w:type="dxa"/>
        </w:tblCellMar>
      </w:tblPr>
      <w:tblGrid>
        <w:gridCol w:w="2135"/>
        <w:gridCol w:w="1659"/>
        <w:gridCol w:w="1703"/>
        <w:gridCol w:w="1703"/>
        <w:gridCol w:w="1560"/>
      </w:tblGrid>
      <w:tr>
        <w:tblPrEx>
          <w:shd w:val="clear" w:color="auto" w:fill="auto"/>
          <w:tblCellMar>
            <w:top w:w="0" w:type="dxa"/>
            <w:left w:w="0" w:type="dxa"/>
            <w:bottom w:w="0" w:type="dxa"/>
            <w:right w:w="0" w:type="dxa"/>
          </w:tblCellMar>
        </w:tblPrEx>
        <w:trPr>
          <w:trHeight w:val="337" w:hRule="atLeast"/>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textAlignment w:val="center"/>
              <w:rPr>
                <w:rFonts w:hint="default" w:ascii="Times New Roman" w:hAnsi="Times New Roman" w:cs="Times New Roman"/>
                <w:sz w:val="21"/>
                <w:szCs w:val="21"/>
              </w:rPr>
            </w:pPr>
            <w:r>
              <w:rPr>
                <w:rFonts w:hint="eastAsia" w:ascii="仿宋" w:hAnsi="仿宋" w:eastAsia="仿宋" w:cs="仿宋"/>
                <w:b/>
                <w:sz w:val="28"/>
                <w:szCs w:val="28"/>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textAlignment w:val="center"/>
              <w:rPr>
                <w:rFonts w:hint="default" w:ascii="Times New Roman" w:hAnsi="Times New Roman" w:cs="Times New Roman"/>
                <w:sz w:val="21"/>
                <w:szCs w:val="21"/>
              </w:rPr>
            </w:pPr>
            <w:r>
              <w:rPr>
                <w:rFonts w:hint="eastAsia" w:ascii="仿宋" w:hAnsi="仿宋" w:eastAsia="仿宋" w:cs="仿宋"/>
                <w:b/>
                <w:sz w:val="28"/>
                <w:szCs w:val="28"/>
              </w:rPr>
              <w:t>预算金额</w:t>
            </w:r>
          </w:p>
        </w:tc>
        <w:tc>
          <w:tcPr>
            <w:tcW w:w="32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textAlignment w:val="center"/>
              <w:rPr>
                <w:rFonts w:hint="default" w:ascii="Times New Roman" w:hAnsi="Times New Roman" w:cs="Times New Roman"/>
                <w:sz w:val="21"/>
                <w:szCs w:val="21"/>
              </w:rPr>
            </w:pPr>
            <w:r>
              <w:rPr>
                <w:rFonts w:hint="eastAsia" w:ascii="仿宋" w:hAnsi="仿宋" w:eastAsia="仿宋" w:cs="仿宋"/>
                <w:b/>
                <w:sz w:val="28"/>
                <w:szCs w:val="28"/>
              </w:rPr>
              <w:t>较上年增减变化</w:t>
            </w:r>
          </w:p>
        </w:tc>
      </w:tr>
      <w:tr>
        <w:tblPrEx>
          <w:tblCellMar>
            <w:top w:w="0" w:type="dxa"/>
            <w:left w:w="0" w:type="dxa"/>
            <w:bottom w:w="0" w:type="dxa"/>
            <w:right w:w="0" w:type="dxa"/>
          </w:tblCellMar>
        </w:tblPrEx>
        <w:trPr>
          <w:trHeight w:val="397" w:hRule="atLeast"/>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65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textAlignment w:val="center"/>
              <w:rPr>
                <w:rFonts w:hint="default" w:ascii="Times New Roman" w:hAnsi="Times New Roman" w:cs="Times New Roman"/>
                <w:sz w:val="21"/>
                <w:szCs w:val="21"/>
              </w:rPr>
            </w:pPr>
            <w:r>
              <w:rPr>
                <w:rFonts w:hint="eastAsia" w:ascii="仿宋" w:hAnsi="仿宋" w:eastAsia="仿宋" w:cs="仿宋"/>
                <w:b/>
                <w:sz w:val="28"/>
                <w:szCs w:val="28"/>
              </w:rPr>
              <w:t>2019年</w:t>
            </w:r>
          </w:p>
        </w:tc>
        <w:tc>
          <w:tcPr>
            <w:tcW w:w="1702"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textAlignment w:val="center"/>
              <w:rPr>
                <w:rFonts w:hint="default" w:ascii="Times New Roman" w:hAnsi="Times New Roman" w:cs="Times New Roman"/>
                <w:sz w:val="21"/>
                <w:szCs w:val="21"/>
              </w:rPr>
            </w:pPr>
            <w:r>
              <w:rPr>
                <w:rFonts w:hint="eastAsia" w:ascii="仿宋" w:hAnsi="仿宋" w:eastAsia="仿宋" w:cs="仿宋"/>
                <w:b/>
                <w:sz w:val="28"/>
                <w:szCs w:val="28"/>
              </w:rPr>
              <w:t>2018年</w:t>
            </w:r>
          </w:p>
        </w:tc>
        <w:tc>
          <w:tcPr>
            <w:tcW w:w="1702"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textAlignment w:val="center"/>
              <w:rPr>
                <w:rFonts w:hint="default" w:ascii="Times New Roman" w:hAnsi="Times New Roman" w:cs="Times New Roman"/>
                <w:sz w:val="21"/>
                <w:szCs w:val="21"/>
              </w:rPr>
            </w:pPr>
            <w:r>
              <w:rPr>
                <w:rFonts w:hint="eastAsia" w:ascii="仿宋" w:hAnsi="仿宋" w:eastAsia="仿宋" w:cs="仿宋"/>
                <w:b/>
                <w:sz w:val="28"/>
                <w:szCs w:val="28"/>
              </w:rPr>
              <w:t>金额</w:t>
            </w:r>
          </w:p>
        </w:tc>
        <w:tc>
          <w:tcPr>
            <w:tcW w:w="155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textAlignment w:val="center"/>
              <w:rPr>
                <w:rFonts w:hint="default" w:ascii="Times New Roman" w:hAnsi="Times New Roman" w:cs="Times New Roman"/>
                <w:sz w:val="21"/>
                <w:szCs w:val="21"/>
              </w:rPr>
            </w:pPr>
            <w:r>
              <w:rPr>
                <w:rFonts w:hint="eastAsia" w:ascii="仿宋" w:hAnsi="仿宋" w:eastAsia="仿宋" w:cs="仿宋"/>
                <w:b/>
                <w:sz w:val="28"/>
                <w:szCs w:val="28"/>
              </w:rPr>
              <w:t>比例</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left"/>
              <w:rPr>
                <w:rFonts w:hint="default" w:ascii="Times New Roman" w:hAnsi="Times New Roman" w:cs="Times New Roman"/>
                <w:sz w:val="21"/>
                <w:szCs w:val="21"/>
              </w:rPr>
            </w:pPr>
            <w:r>
              <w:rPr>
                <w:rFonts w:hint="eastAsia" w:ascii="仿宋" w:hAnsi="仿宋" w:eastAsia="仿宋" w:cs="仿宋"/>
                <w:b/>
                <w:sz w:val="28"/>
                <w:szCs w:val="28"/>
              </w:rPr>
              <w:t>收入预算</w:t>
            </w:r>
          </w:p>
        </w:tc>
        <w:tc>
          <w:tcPr>
            <w:tcW w:w="1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60</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9%</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rPr>
                <w:rFonts w:hint="default" w:ascii="Times New Roman" w:hAnsi="Times New Roman" w:cs="Times New Roman"/>
                <w:sz w:val="21"/>
                <w:szCs w:val="21"/>
              </w:rPr>
            </w:pPr>
            <w:r>
              <w:rPr>
                <w:rFonts w:hint="eastAsia" w:ascii="仿宋" w:hAnsi="仿宋" w:eastAsia="仿宋" w:cs="仿宋"/>
                <w:sz w:val="28"/>
                <w:szCs w:val="28"/>
              </w:rPr>
              <w:t>其中：财政经费拨款</w:t>
            </w:r>
          </w:p>
        </w:tc>
        <w:tc>
          <w:tcPr>
            <w:tcW w:w="1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60</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9%</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left"/>
              <w:rPr>
                <w:rFonts w:hint="default" w:ascii="Times New Roman" w:hAnsi="Times New Roman" w:cs="Times New Roman"/>
                <w:sz w:val="21"/>
                <w:szCs w:val="21"/>
              </w:rPr>
            </w:pPr>
            <w:r>
              <w:rPr>
                <w:rFonts w:hint="eastAsia" w:ascii="仿宋" w:hAnsi="仿宋" w:eastAsia="仿宋" w:cs="仿宋"/>
                <w:b/>
                <w:sz w:val="28"/>
                <w:szCs w:val="28"/>
              </w:rPr>
              <w:t>支出预算</w:t>
            </w:r>
          </w:p>
        </w:tc>
        <w:tc>
          <w:tcPr>
            <w:tcW w:w="1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60</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9%</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rPr>
                <w:rFonts w:hint="default" w:ascii="Times New Roman" w:hAnsi="Times New Roman" w:cs="Times New Roman"/>
                <w:sz w:val="21"/>
                <w:szCs w:val="21"/>
              </w:rPr>
            </w:pPr>
            <w:r>
              <w:rPr>
                <w:rFonts w:hint="eastAsia" w:ascii="仿宋" w:hAnsi="仿宋" w:eastAsia="仿宋" w:cs="仿宋"/>
                <w:sz w:val="28"/>
                <w:szCs w:val="28"/>
              </w:rPr>
              <w:t>其中：基本支出</w:t>
            </w:r>
          </w:p>
        </w:tc>
        <w:tc>
          <w:tcPr>
            <w:tcW w:w="1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60</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5</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9%</w:t>
            </w:r>
          </w:p>
        </w:tc>
      </w:tr>
      <w:tr>
        <w:tblPrEx>
          <w:tblCellMar>
            <w:top w:w="0" w:type="dxa"/>
            <w:left w:w="0" w:type="dxa"/>
            <w:bottom w:w="0" w:type="dxa"/>
            <w:right w:w="0" w:type="dxa"/>
          </w:tblCellMar>
        </w:tblPrEx>
        <w:trPr>
          <w:trHeight w:val="512"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rPr>
                <w:rFonts w:hint="default" w:ascii="Times New Roman" w:hAnsi="Times New Roman" w:cs="Times New Roman"/>
                <w:sz w:val="21"/>
                <w:szCs w:val="21"/>
              </w:rPr>
            </w:pPr>
            <w:r>
              <w:rPr>
                <w:rFonts w:hint="eastAsia" w:ascii="仿宋" w:hAnsi="仿宋" w:eastAsia="仿宋" w:cs="仿宋"/>
                <w:sz w:val="28"/>
                <w:szCs w:val="28"/>
              </w:rPr>
              <w:t>其中：项目支出</w:t>
            </w:r>
          </w:p>
        </w:tc>
        <w:tc>
          <w:tcPr>
            <w:tcW w:w="1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 </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 </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126" w:hanging="420"/>
              <w:jc w:val="right"/>
              <w:rPr>
                <w:rFonts w:hint="default" w:ascii="Times New Roman" w:hAnsi="Times New Roman" w:cs="Times New Roman"/>
                <w:sz w:val="21"/>
                <w:szCs w:val="21"/>
              </w:rPr>
            </w:pPr>
            <w:r>
              <w:rPr>
                <w:rFonts w:hint="eastAsia" w:ascii="仿宋" w:hAnsi="仿宋" w:eastAsia="仿宋" w:cs="仿宋"/>
                <w:sz w:val="28"/>
                <w:szCs w:val="28"/>
              </w:rPr>
              <w:t> </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财政预算整体支出使用范围、方向和内容</w:t>
      </w:r>
    </w:p>
    <w:tbl>
      <w:tblPr>
        <w:tblStyle w:val="6"/>
        <w:tblW w:w="0" w:type="auto"/>
        <w:jc w:val="center"/>
        <w:shd w:val="clear" w:color="auto" w:fill="auto"/>
        <w:tblLayout w:type="autofit"/>
        <w:tblCellMar>
          <w:top w:w="0" w:type="dxa"/>
          <w:left w:w="0" w:type="dxa"/>
          <w:bottom w:w="0" w:type="dxa"/>
          <w:right w:w="0" w:type="dxa"/>
        </w:tblCellMar>
      </w:tblPr>
      <w:tblGrid>
        <w:gridCol w:w="2133"/>
        <w:gridCol w:w="2270"/>
        <w:gridCol w:w="1537"/>
        <w:gridCol w:w="2379"/>
      </w:tblGrid>
      <w:tr>
        <w:tblPrEx>
          <w:shd w:val="clear" w:color="auto" w:fill="auto"/>
          <w:tblCellMar>
            <w:top w:w="0" w:type="dxa"/>
            <w:left w:w="0" w:type="dxa"/>
            <w:bottom w:w="0" w:type="dxa"/>
            <w:right w:w="0" w:type="dxa"/>
          </w:tblCellMar>
        </w:tblPrEx>
        <w:trPr>
          <w:trHeight w:val="276"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支出项目</w:t>
            </w:r>
          </w:p>
        </w:tc>
        <w:tc>
          <w:tcPr>
            <w:tcW w:w="227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基本支出</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合计</w:t>
            </w:r>
          </w:p>
        </w:tc>
      </w:tr>
      <w:tr>
        <w:tblPrEx>
          <w:tblCellMar>
            <w:top w:w="0" w:type="dxa"/>
            <w:left w:w="0" w:type="dxa"/>
            <w:bottom w:w="0" w:type="dxa"/>
            <w:right w:w="0" w:type="dxa"/>
          </w:tblCellMar>
        </w:tblPrEx>
        <w:trPr>
          <w:trHeight w:val="43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工资福利支出</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26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26</w:t>
            </w:r>
          </w:p>
        </w:tc>
      </w:tr>
      <w:tr>
        <w:tblPrEx>
          <w:tblCellMar>
            <w:top w:w="0" w:type="dxa"/>
            <w:left w:w="0" w:type="dxa"/>
            <w:bottom w:w="0" w:type="dxa"/>
            <w:right w:w="0" w:type="dxa"/>
          </w:tblCellMar>
        </w:tblPrEx>
        <w:trPr>
          <w:trHeight w:val="43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textAlignment w:val="center"/>
              <w:rPr>
                <w:rFonts w:hint="default" w:ascii="Times New Roman" w:hAnsi="Times New Roman" w:cs="Times New Roman"/>
                <w:sz w:val="21"/>
                <w:szCs w:val="21"/>
              </w:rPr>
            </w:pPr>
            <w:r>
              <w:rPr>
                <w:rFonts w:hint="eastAsia" w:ascii="仿宋" w:hAnsi="仿宋" w:eastAsia="仿宋" w:cs="仿宋"/>
                <w:sz w:val="24"/>
                <w:szCs w:val="24"/>
              </w:rPr>
              <w:t>商品和服务支出</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34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34</w:t>
            </w:r>
          </w:p>
        </w:tc>
      </w:tr>
      <w:tr>
        <w:tblPrEx>
          <w:tblCellMar>
            <w:top w:w="0" w:type="dxa"/>
            <w:left w:w="0" w:type="dxa"/>
            <w:bottom w:w="0" w:type="dxa"/>
            <w:right w:w="0" w:type="dxa"/>
          </w:tblCellMar>
        </w:tblPrEx>
        <w:trPr>
          <w:trHeight w:val="43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textAlignment w:val="center"/>
              <w:rPr>
                <w:rFonts w:hint="default" w:ascii="Times New Roman" w:hAnsi="Times New Roman" w:cs="Times New Roman"/>
                <w:sz w:val="21"/>
                <w:szCs w:val="21"/>
              </w:rPr>
            </w:pPr>
            <w:r>
              <w:rPr>
                <w:rFonts w:hint="eastAsia" w:ascii="仿宋" w:hAnsi="仿宋" w:eastAsia="仿宋" w:cs="仿宋"/>
                <w:sz w:val="24"/>
                <w:szCs w:val="24"/>
              </w:rPr>
              <w:t>对个人和家庭的补助</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67" w:hRule="atLeast"/>
          <w:jc w:val="center"/>
        </w:trPr>
        <w:tc>
          <w:tcPr>
            <w:tcW w:w="2133"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合</w:t>
            </w:r>
            <w:r>
              <w:rPr>
                <w:rFonts w:hint="eastAsia" w:ascii="宋体" w:hAnsi="宋体" w:eastAsia="宋体" w:cs="宋体"/>
                <w:sz w:val="30"/>
                <w:szCs w:val="30"/>
              </w:rPr>
              <w:t> </w:t>
            </w:r>
            <w:r>
              <w:rPr>
                <w:rFonts w:hint="eastAsia" w:ascii="仿宋" w:hAnsi="仿宋" w:eastAsia="仿宋" w:cs="仿宋"/>
                <w:sz w:val="30"/>
                <w:szCs w:val="30"/>
              </w:rPr>
              <w:t>计</w:t>
            </w:r>
          </w:p>
        </w:tc>
        <w:tc>
          <w:tcPr>
            <w:tcW w:w="2270"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60</w:t>
            </w:r>
          </w:p>
        </w:tc>
        <w:tc>
          <w:tcPr>
            <w:tcW w:w="1537"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60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（二）年度收支决算情况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1.年度收入决算</w:t>
      </w:r>
    </w:p>
    <w:tbl>
      <w:tblPr>
        <w:tblStyle w:val="6"/>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60</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52.3015</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-7.6985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2.年度预算支出决算及结余</w:t>
      </w:r>
    </w:p>
    <w:tbl>
      <w:tblPr>
        <w:tblStyle w:val="6"/>
        <w:tblW w:w="7950" w:type="dxa"/>
        <w:tblInd w:w="0" w:type="dxa"/>
        <w:shd w:val="clear" w:color="auto" w:fill="auto"/>
        <w:tblLayout w:type="autofit"/>
        <w:tblCellMar>
          <w:top w:w="0" w:type="dxa"/>
          <w:left w:w="0" w:type="dxa"/>
          <w:bottom w:w="0" w:type="dxa"/>
          <w:right w:w="0" w:type="dxa"/>
        </w:tblCellMar>
      </w:tblPr>
      <w:tblGrid>
        <w:gridCol w:w="2097"/>
        <w:gridCol w:w="1908"/>
        <w:gridCol w:w="1983"/>
        <w:gridCol w:w="1962"/>
      </w:tblGrid>
      <w:tr>
        <w:tblPrEx>
          <w:shd w:val="clear" w:color="auto" w:fill="auto"/>
        </w:tblPrEx>
        <w:trPr>
          <w:trHeight w:val="517" w:hRule="atLeast"/>
        </w:trPr>
        <w:tc>
          <w:tcPr>
            <w:tcW w:w="2098"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预算支出类别</w:t>
            </w:r>
          </w:p>
        </w:tc>
        <w:tc>
          <w:tcPr>
            <w:tcW w:w="1909"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增减金额</w:t>
            </w:r>
          </w:p>
        </w:tc>
      </w:tr>
      <w:tr>
        <w:tblPrEx>
          <w:tblCellMar>
            <w:top w:w="0" w:type="dxa"/>
            <w:left w:w="0" w:type="dxa"/>
            <w:bottom w:w="0" w:type="dxa"/>
            <w:right w:w="0" w:type="dxa"/>
          </w:tblCellMar>
        </w:tblPrEx>
        <w:trPr>
          <w:trHeight w:val="523" w:hRule="atLeast"/>
        </w:trPr>
        <w:tc>
          <w:tcPr>
            <w:tcW w:w="2098"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基本支出</w:t>
            </w:r>
          </w:p>
        </w:tc>
        <w:tc>
          <w:tcPr>
            <w:tcW w:w="19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60</w:t>
            </w:r>
          </w:p>
        </w:tc>
        <w:tc>
          <w:tcPr>
            <w:tcW w:w="1984"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52.3015</w:t>
            </w:r>
          </w:p>
        </w:tc>
        <w:tc>
          <w:tcPr>
            <w:tcW w:w="1962"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-7.6985</w:t>
            </w:r>
          </w:p>
        </w:tc>
      </w:tr>
      <w:tr>
        <w:tblPrEx>
          <w:tblCellMar>
            <w:top w:w="0" w:type="dxa"/>
            <w:left w:w="0" w:type="dxa"/>
            <w:bottom w:w="0" w:type="dxa"/>
            <w:right w:w="0" w:type="dxa"/>
          </w:tblCellMar>
        </w:tblPrEx>
        <w:trPr>
          <w:trHeight w:val="523" w:hRule="atLeast"/>
        </w:trPr>
        <w:tc>
          <w:tcPr>
            <w:tcW w:w="2098"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项目支出</w:t>
            </w:r>
          </w:p>
        </w:tc>
        <w:tc>
          <w:tcPr>
            <w:tcW w:w="19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984"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6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r>
      <w:tr>
        <w:trPr>
          <w:trHeight w:val="400" w:hRule="atLeast"/>
        </w:trPr>
        <w:tc>
          <w:tcPr>
            <w:tcW w:w="2098"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小计</w:t>
            </w:r>
          </w:p>
        </w:tc>
        <w:tc>
          <w:tcPr>
            <w:tcW w:w="1909"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60</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52.3015</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-7.6985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 w:hAnsi="仿宋" w:eastAsia="仿宋" w:cs="仿宋"/>
          <w:b w:val="0"/>
          <w:i w:val="0"/>
          <w:caps w:val="0"/>
          <w:color w:val="1E1E1E"/>
          <w:spacing w:val="0"/>
          <w:sz w:val="30"/>
          <w:szCs w:val="30"/>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0"/>
          <w:szCs w:val="30"/>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宋体" w:hAnsi="宋体" w:eastAsia="宋体" w:cs="宋体"/>
                <w:sz w:val="30"/>
                <w:szCs w:val="30"/>
              </w:rPr>
              <w:t> </w:t>
            </w:r>
            <w:r>
              <w:rPr>
                <w:rFonts w:hint="eastAsia" w:ascii="仿宋" w:hAnsi="仿宋" w:eastAsia="仿宋" w:cs="仿宋"/>
                <w:sz w:val="30"/>
                <w:szCs w:val="30"/>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19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16.0927</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-2.9073</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41</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36.2088</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-4.7912</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60</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52.3015</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textAlignment w:val="center"/>
              <w:rPr>
                <w:rFonts w:hint="default" w:ascii="Times New Roman" w:hAnsi="Times New Roman" w:cs="Times New Roman"/>
                <w:sz w:val="21"/>
                <w:szCs w:val="21"/>
              </w:rPr>
            </w:pPr>
            <w:r>
              <w:rPr>
                <w:rFonts w:hint="eastAsia" w:ascii="仿宋" w:hAnsi="仿宋" w:eastAsia="仿宋" w:cs="仿宋"/>
                <w:sz w:val="30"/>
                <w:szCs w:val="30"/>
              </w:rPr>
              <w:t>-7.6985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2、基本支出中各费用明细支出管理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1864"/>
        <w:gridCol w:w="1417"/>
        <w:gridCol w:w="1418"/>
        <w:gridCol w:w="1417"/>
        <w:gridCol w:w="1664"/>
      </w:tblGrid>
      <w:tr>
        <w:tblPrEx>
          <w:shd w:val="clear" w:color="auto" w:fill="auto"/>
          <w:tblCellMar>
            <w:top w:w="0" w:type="dxa"/>
            <w:left w:w="0" w:type="dxa"/>
            <w:bottom w:w="0" w:type="dxa"/>
            <w:right w:w="0" w:type="dxa"/>
          </w:tblCellMar>
        </w:tblPrEx>
        <w:trPr>
          <w:trHeight w:val="1376" w:hRule="atLeast"/>
          <w:jc w:val="center"/>
        </w:trPr>
        <w:tc>
          <w:tcPr>
            <w:tcW w:w="186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费用项目</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预算金额</w:t>
            </w:r>
          </w:p>
        </w:tc>
        <w:tc>
          <w:tcPr>
            <w:tcW w:w="1418"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节约/超支金额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节约/超支率</w:t>
            </w:r>
          </w:p>
        </w:tc>
      </w:tr>
      <w:tr>
        <w:tblPrEx>
          <w:shd w:val="clear" w:color="auto" w:fill="auto"/>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基本工资</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7</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-14.29%</w:t>
            </w:r>
          </w:p>
        </w:tc>
      </w:tr>
      <w:tr>
        <w:tblPrEx>
          <w:shd w:val="clear" w:color="auto" w:fill="auto"/>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津贴补贴</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1.26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-0.74</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-37.00%</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奖金</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7</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6.2017</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-0.7983</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-11.40%</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伙食补助费</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1.845</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-0.155</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-7.75%</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绩效工资</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机关事业单位基本养老保险缴费</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0.015</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0.015</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职业年金缴费</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职工基本医疗保险缴费</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公务员医疗补助缴费</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其他社会保障缴费</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住房公积金</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医疗费</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57" w:hRule="atLeast"/>
          <w:jc w:val="center"/>
        </w:trPr>
        <w:tc>
          <w:tcPr>
            <w:tcW w:w="186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其他工资福利支出</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0.771</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-0.229</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-22.90%</w:t>
            </w:r>
          </w:p>
        </w:tc>
      </w:tr>
      <w:tr>
        <w:tblPrEx>
          <w:tblCellMar>
            <w:top w:w="0" w:type="dxa"/>
            <w:left w:w="0" w:type="dxa"/>
            <w:bottom w:w="0" w:type="dxa"/>
            <w:right w:w="0" w:type="dxa"/>
          </w:tblCellMar>
        </w:tblPrEx>
        <w:trPr>
          <w:trHeight w:val="411" w:hRule="atLeast"/>
          <w:jc w:val="center"/>
        </w:trPr>
        <w:tc>
          <w:tcPr>
            <w:tcW w:w="1864"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合计</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19</w:t>
            </w:r>
          </w:p>
        </w:tc>
        <w:tc>
          <w:tcPr>
            <w:tcW w:w="141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16.0927</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-2.9073</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-15.30%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（2）商品和服务支出</w:t>
      </w:r>
    </w:p>
    <w:tbl>
      <w:tblPr>
        <w:tblStyle w:val="6"/>
        <w:tblW w:w="0" w:type="auto"/>
        <w:jc w:val="center"/>
        <w:shd w:val="clear" w:color="auto" w:fill="auto"/>
        <w:tblLayout w:type="autofit"/>
        <w:tblCellMar>
          <w:top w:w="0" w:type="dxa"/>
          <w:left w:w="0" w:type="dxa"/>
          <w:bottom w:w="0" w:type="dxa"/>
          <w:right w:w="0" w:type="dxa"/>
        </w:tblCellMar>
      </w:tblPr>
      <w:tblGrid>
        <w:gridCol w:w="2185"/>
        <w:gridCol w:w="1346"/>
        <w:gridCol w:w="1537"/>
        <w:gridCol w:w="1429"/>
        <w:gridCol w:w="1643"/>
      </w:tblGrid>
      <w:tr>
        <w:tblPrEx>
          <w:shd w:val="clear" w:color="auto" w:fill="auto"/>
          <w:tblCellMar>
            <w:top w:w="0" w:type="dxa"/>
            <w:left w:w="0" w:type="dxa"/>
            <w:bottom w:w="0" w:type="dxa"/>
            <w:right w:w="0" w:type="dxa"/>
          </w:tblCellMar>
        </w:tblPrEx>
        <w:trPr>
          <w:trHeight w:val="343" w:hRule="atLeast"/>
          <w:tblHeader/>
          <w:jc w:val="center"/>
        </w:trPr>
        <w:tc>
          <w:tcPr>
            <w:tcW w:w="2185"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支出项目</w:t>
            </w:r>
          </w:p>
        </w:tc>
        <w:tc>
          <w:tcPr>
            <w:tcW w:w="134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增减率</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办公费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1.9580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-4.042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-67.37%</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印刷费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仿宋" w:hAnsi="仿宋" w:eastAsia="仿宋" w:cs="仿宋"/>
                <w:sz w:val="30"/>
                <w:szCs w:val="30"/>
              </w:rPr>
              <w:t>4.9998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-0.0002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0.00%</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咨询费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手续费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水电费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邮电费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0.374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-0.626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-62.60%</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取暖费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物业管理费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差旅费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10.2342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0.2342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2.34%</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因公出国（境）费用</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维修（护）费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0.0528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-0.9472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-94.72%</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租赁费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会议费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-100.00%</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培训费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-100.00%</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公务接待费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0.2688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-1.7312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-86.56%</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专用材料费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被装购置费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-100.00%</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专用燃料费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劳务费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1.937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-0.563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-22.52%</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委托业务费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工会经费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0.034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-1.966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-98.30%</w:t>
            </w:r>
          </w:p>
        </w:tc>
      </w:tr>
      <w:tr>
        <w:tblPrEx>
          <w:shd w:val="clear" w:color="auto" w:fill="auto"/>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福利费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公务用车运行维护费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其他交通费</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2.3882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-1.6118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-40.30%</w:t>
            </w:r>
          </w:p>
        </w:tc>
      </w:tr>
      <w:tr>
        <w:tblPrEx>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税金及附加费用</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43" w:hRule="atLeast"/>
          <w:jc w:val="center"/>
        </w:trPr>
        <w:tc>
          <w:tcPr>
            <w:tcW w:w="21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其他商品和服务支出</w:t>
            </w:r>
          </w:p>
        </w:tc>
        <w:tc>
          <w:tcPr>
            <w:tcW w:w="13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13.762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11.762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588.10%</w:t>
            </w:r>
          </w:p>
        </w:tc>
      </w:tr>
      <w:tr>
        <w:tblPrEx>
          <w:tblCellMar>
            <w:top w:w="0" w:type="dxa"/>
            <w:left w:w="0" w:type="dxa"/>
            <w:bottom w:w="0" w:type="dxa"/>
            <w:right w:w="0" w:type="dxa"/>
          </w:tblCellMar>
        </w:tblPrEx>
        <w:trPr>
          <w:trHeight w:val="359" w:hRule="atLeast"/>
          <w:jc w:val="center"/>
        </w:trPr>
        <w:tc>
          <w:tcPr>
            <w:tcW w:w="2185"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合计</w:t>
            </w:r>
          </w:p>
        </w:tc>
        <w:tc>
          <w:tcPr>
            <w:tcW w:w="1346"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41</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36.2088</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-4.7912</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-11.69%</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（3）对个人和家庭的补助</w:t>
      </w:r>
    </w:p>
    <w:tbl>
      <w:tblPr>
        <w:tblStyle w:val="6"/>
        <w:tblW w:w="8370" w:type="dxa"/>
        <w:tblInd w:w="0" w:type="dxa"/>
        <w:shd w:val="clear" w:color="auto" w:fill="auto"/>
        <w:tblLayout w:type="autofit"/>
        <w:tblCellMar>
          <w:top w:w="0" w:type="dxa"/>
          <w:left w:w="0" w:type="dxa"/>
          <w:bottom w:w="0" w:type="dxa"/>
          <w:right w:w="0" w:type="dxa"/>
        </w:tblCellMar>
      </w:tblPr>
      <w:tblGrid>
        <w:gridCol w:w="1817"/>
        <w:gridCol w:w="1539"/>
        <w:gridCol w:w="1561"/>
        <w:gridCol w:w="1876"/>
        <w:gridCol w:w="1577"/>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医疗费补助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个人农业生产补贴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（二）“三公经费”支出使用和管理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1、“三公经费”预算执行</w:t>
      </w:r>
    </w:p>
    <w:tbl>
      <w:tblPr>
        <w:tblStyle w:val="6"/>
        <w:tblW w:w="8430" w:type="dxa"/>
        <w:jc w:val="center"/>
        <w:shd w:val="clear" w:color="auto" w:fill="auto"/>
        <w:tblLayout w:type="autofit"/>
        <w:tblCellMar>
          <w:top w:w="0" w:type="dxa"/>
          <w:left w:w="0" w:type="dxa"/>
          <w:bottom w:w="0" w:type="dxa"/>
          <w:right w:w="0" w:type="dxa"/>
        </w:tblCellMar>
      </w:tblPr>
      <w:tblGrid>
        <w:gridCol w:w="1630"/>
        <w:gridCol w:w="1064"/>
        <w:gridCol w:w="1124"/>
        <w:gridCol w:w="1005"/>
        <w:gridCol w:w="1169"/>
        <w:gridCol w:w="1149"/>
        <w:gridCol w:w="1289"/>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rPr>
                <w:rFonts w:hint="default" w:ascii="Times New Roman" w:hAnsi="Times New Roman" w:cs="Times New Roman"/>
                <w:sz w:val="21"/>
                <w:szCs w:val="21"/>
              </w:rPr>
            </w:pPr>
            <w:r>
              <w:rPr>
                <w:rFonts w:hint="eastAsia" w:ascii="仿宋" w:hAnsi="仿宋" w:eastAsia="仿宋" w:cs="仿宋"/>
                <w:sz w:val="24"/>
                <w:szCs w:val="24"/>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rPr>
                <w:rFonts w:hint="default" w:ascii="Times New Roman" w:hAnsi="Times New Roman" w:cs="Times New Roman"/>
                <w:sz w:val="21"/>
                <w:szCs w:val="21"/>
              </w:rPr>
            </w:pPr>
            <w:r>
              <w:rPr>
                <w:rFonts w:hint="eastAsia" w:ascii="仿宋" w:hAnsi="仿宋" w:eastAsia="仿宋" w:cs="仿宋"/>
                <w:sz w:val="24"/>
                <w:szCs w:val="24"/>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rPr>
                <w:rFonts w:hint="default" w:ascii="Times New Roman" w:hAnsi="Times New Roman" w:cs="Times New Roman"/>
                <w:sz w:val="21"/>
                <w:szCs w:val="21"/>
              </w:rPr>
            </w:pPr>
            <w:r>
              <w:rPr>
                <w:rFonts w:hint="eastAsia" w:ascii="仿宋" w:hAnsi="仿宋" w:eastAsia="仿宋" w:cs="仿宋"/>
                <w:sz w:val="24"/>
                <w:szCs w:val="24"/>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rPr>
                <w:rFonts w:hint="default" w:ascii="Times New Roman" w:hAnsi="Times New Roman" w:cs="Times New Roman"/>
                <w:sz w:val="21"/>
                <w:szCs w:val="21"/>
              </w:rPr>
            </w:pPr>
            <w:r>
              <w:rPr>
                <w:rFonts w:hint="eastAsia" w:ascii="仿宋" w:hAnsi="仿宋" w:eastAsia="仿宋" w:cs="仿宋"/>
                <w:sz w:val="24"/>
                <w:szCs w:val="24"/>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rPr>
                <w:rFonts w:hint="default" w:ascii="Times New Roman" w:hAnsi="Times New Roman" w:cs="Times New Roman"/>
                <w:sz w:val="21"/>
                <w:szCs w:val="21"/>
              </w:rPr>
            </w:pPr>
            <w:r>
              <w:rPr>
                <w:rFonts w:hint="eastAsia" w:ascii="仿宋" w:hAnsi="仿宋" w:eastAsia="仿宋" w:cs="仿宋"/>
                <w:sz w:val="24"/>
                <w:szCs w:val="24"/>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60" w:right="0" w:hanging="360"/>
              <w:jc w:val="center"/>
              <w:rPr>
                <w:rFonts w:hint="default" w:ascii="Times New Roman" w:hAnsi="Times New Roman" w:cs="Times New Roman"/>
                <w:sz w:val="21"/>
                <w:szCs w:val="21"/>
              </w:rPr>
            </w:pPr>
            <w:r>
              <w:rPr>
                <w:rFonts w:hint="eastAsia" w:ascii="仿宋" w:hAnsi="仿宋" w:eastAsia="仿宋" w:cs="仿宋"/>
                <w:sz w:val="24"/>
                <w:szCs w:val="24"/>
              </w:rPr>
              <w:t>项目支出</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0.2668</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-1.7332</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shd w:val="clear" w:color="auto" w:fill="auto"/>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0.2668</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-1.7332</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0" w:firstLine="60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公务接待费比年初预算节约87%，是严格落实中央八项规定和严格按标准按规定招待。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rPr>
                <w:rFonts w:hint="default" w:ascii="Times New Roman" w:hAnsi="Times New Roman" w:cs="Times New Roman"/>
                <w:sz w:val="21"/>
                <w:szCs w:val="21"/>
              </w:rPr>
            </w:pPr>
            <w:r>
              <w:rPr>
                <w:rFonts w:hint="eastAsia" w:ascii="仿宋" w:hAnsi="仿宋" w:eastAsia="仿宋" w:cs="仿宋"/>
                <w:sz w:val="28"/>
                <w:szCs w:val="28"/>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0.2668</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2.1126</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-1.8458</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-87%</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0.2668</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2.1126</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-1.8458</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center"/>
              <w:rPr>
                <w:rFonts w:hint="default" w:ascii="Times New Roman" w:hAnsi="Times New Roman" w:cs="Times New Roman"/>
                <w:sz w:val="21"/>
                <w:szCs w:val="21"/>
              </w:rPr>
            </w:pPr>
            <w:r>
              <w:rPr>
                <w:rFonts w:hint="eastAsia" w:ascii="仿宋" w:hAnsi="仿宋" w:eastAsia="仿宋" w:cs="仿宋"/>
                <w:sz w:val="30"/>
                <w:szCs w:val="30"/>
              </w:rPr>
              <w:t>-87%</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0" w:firstLine="60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公务接待费比上年节约87%，是严格落实中央八项规定和严格按标准按规定招待及有部分招待费未按时报</w:t>
      </w:r>
      <w:r>
        <w:rPr>
          <w:rFonts w:hint="eastAsia" w:ascii="仿宋" w:hAnsi="仿宋" w:eastAsia="仿宋" w:cs="仿宋"/>
          <w:i w:val="0"/>
          <w:caps w:val="0"/>
          <w:color w:val="1E1E1E"/>
          <w:spacing w:val="0"/>
          <w:sz w:val="30"/>
          <w:szCs w:val="30"/>
          <w:lang w:eastAsia="zh-CN"/>
        </w:rPr>
        <w:t>账</w:t>
      </w:r>
      <w:bookmarkStart w:id="0" w:name="_GoBack"/>
      <w:bookmarkEnd w:id="0"/>
      <w:r>
        <w:rPr>
          <w:rFonts w:hint="eastAsia" w:ascii="仿宋" w:hAnsi="仿宋" w:eastAsia="仿宋" w:cs="仿宋"/>
          <w:i w:val="0"/>
          <w:caps w:val="0"/>
          <w:color w:val="1E1E1E"/>
          <w:spacing w:val="0"/>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color w:val="F29F05"/>
          <w:sz w:val="225"/>
          <w:szCs w:val="225"/>
        </w:rPr>
      </w:pPr>
      <w:r>
        <w:rPr>
          <w:rFonts w:hint="eastAsia" w:ascii="仿宋" w:hAnsi="仿宋" w:eastAsia="仿宋" w:cs="仿宋"/>
          <w:i w:val="0"/>
          <w:caps w:val="0"/>
          <w:color w:val="F29F05"/>
          <w:spacing w:val="0"/>
          <w:sz w:val="30"/>
          <w:szCs w:val="30"/>
        </w:rPr>
        <w:t>四、部门整体支出绩效评价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0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根据年度重点和日常工作安排，各项工作取得了哪些新成绩和突破；前面通过对部门整体支出情况的概述和实际支出情况的分析，部门整体支出绩效目标管理情况评价如下：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0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（一）经济性评价</w:t>
      </w:r>
      <w:r>
        <w:rPr>
          <w:rFonts w:hint="eastAsia" w:ascii="仿宋" w:hAnsi="仿宋" w:eastAsia="仿宋" w:cs="仿宋"/>
          <w:i w:val="0"/>
          <w:caps w:val="0"/>
          <w:color w:val="1E1E1E"/>
          <w:spacing w:val="0"/>
          <w:sz w:val="30"/>
          <w:szCs w:val="30"/>
        </w:rPr>
        <w:t>：2019年一般公共预算拨款收入（经费拨款和纳入一般公共预算管理的收入拨款）60万元，具体安排情况如下：</w:t>
      </w:r>
      <w:r>
        <w:rPr>
          <w:rFonts w:hint="eastAsia" w:ascii="仿宋" w:hAnsi="仿宋" w:eastAsia="仿宋" w:cs="仿宋"/>
          <w:i w:val="0"/>
          <w:caps w:val="0"/>
          <w:color w:val="1E1E1E"/>
          <w:spacing w:val="0"/>
          <w:sz w:val="30"/>
          <w:szCs w:val="30"/>
        </w:rPr>
        <w:br w:type="textWrapping"/>
      </w:r>
      <w:r>
        <w:rPr>
          <w:rFonts w:hint="eastAsia" w:ascii="仿宋" w:hAnsi="仿宋" w:eastAsia="仿宋" w:cs="仿宋"/>
          <w:i w:val="0"/>
          <w:caps w:val="0"/>
          <w:color w:val="1E1E1E"/>
          <w:spacing w:val="0"/>
          <w:sz w:val="30"/>
          <w:szCs w:val="30"/>
        </w:rPr>
        <w:t>　  2019年年初预算数为60万元，是指我院为完成劳动人事争议调解仲裁工作而发生的支出，主要用于办案费用、培训费用、印刷费用、宣传费用各项支出。  </w:t>
      </w:r>
      <w:r>
        <w:rPr>
          <w:rFonts w:hint="eastAsia" w:ascii="仿宋" w:hAnsi="仿宋" w:eastAsia="仿宋" w:cs="仿宋"/>
          <w:i w:val="0"/>
          <w:caps w:val="0"/>
          <w:color w:val="1E1E1E"/>
          <w:spacing w:val="0"/>
          <w:sz w:val="30"/>
          <w:szCs w:val="30"/>
        </w:rPr>
        <w:br w:type="textWrapping"/>
      </w:r>
      <w:r>
        <w:rPr>
          <w:rFonts w:hint="eastAsia" w:ascii="仿宋" w:hAnsi="仿宋" w:eastAsia="仿宋" w:cs="仿宋"/>
          <w:i w:val="0"/>
          <w:caps w:val="0"/>
          <w:color w:val="1E1E1E"/>
          <w:spacing w:val="0"/>
          <w:sz w:val="30"/>
          <w:szCs w:val="30"/>
        </w:rPr>
        <w:t>  </w:t>
      </w:r>
      <w:r>
        <w:rPr>
          <w:rFonts w:hint="eastAsia" w:ascii="仿宋" w:hAnsi="仿宋" w:eastAsia="仿宋" w:cs="仿宋"/>
          <w:b/>
          <w:i w:val="0"/>
          <w:caps w:val="0"/>
          <w:color w:val="1E1E1E"/>
          <w:spacing w:val="0"/>
          <w:sz w:val="30"/>
          <w:szCs w:val="30"/>
        </w:rPr>
        <w:t>（二）行政效能评价</w:t>
      </w:r>
      <w:r>
        <w:rPr>
          <w:rFonts w:hint="eastAsia" w:ascii="仿宋" w:hAnsi="仿宋" w:eastAsia="仿宋" w:cs="仿宋"/>
          <w:i w:val="0"/>
          <w:caps w:val="0"/>
          <w:color w:val="1E1E1E"/>
          <w:spacing w:val="0"/>
          <w:sz w:val="30"/>
          <w:szCs w:val="30"/>
        </w:rPr>
        <w:t>：我院制定、完善了《新邵县劳动人事争议仲裁院2019年机关管理制度》、《新邵县劳动人事争议仲裁院财政预算绩效管理工作方案》、《新邵县劳动人事争议仲裁院财政预算绩效管理工作办法》等一系列内部制度。确保各项资金核算准确，</w:t>
      </w:r>
      <w:r>
        <w:rPr>
          <w:rFonts w:hint="eastAsia" w:ascii="仿宋" w:hAnsi="仿宋" w:eastAsia="仿宋" w:cs="仿宋"/>
          <w:i w:val="0"/>
          <w:caps w:val="0"/>
          <w:color w:val="1E1E1E"/>
          <w:spacing w:val="0"/>
          <w:sz w:val="30"/>
          <w:szCs w:val="30"/>
          <w:lang w:eastAsia="zh-CN"/>
        </w:rPr>
        <w:t>账账</w:t>
      </w:r>
      <w:r>
        <w:rPr>
          <w:rFonts w:hint="eastAsia" w:ascii="仿宋" w:hAnsi="仿宋" w:eastAsia="仿宋" w:cs="仿宋"/>
          <w:i w:val="0"/>
          <w:caps w:val="0"/>
          <w:color w:val="1E1E1E"/>
          <w:spacing w:val="0"/>
          <w:sz w:val="30"/>
          <w:szCs w:val="30"/>
        </w:rPr>
        <w:t>、</w:t>
      </w:r>
      <w:r>
        <w:rPr>
          <w:rFonts w:hint="eastAsia" w:ascii="仿宋" w:hAnsi="仿宋" w:eastAsia="仿宋" w:cs="仿宋"/>
          <w:i w:val="0"/>
          <w:caps w:val="0"/>
          <w:color w:val="1E1E1E"/>
          <w:spacing w:val="0"/>
          <w:sz w:val="30"/>
          <w:szCs w:val="30"/>
          <w:lang w:eastAsia="zh-CN"/>
        </w:rPr>
        <w:t>账</w:t>
      </w:r>
      <w:r>
        <w:rPr>
          <w:rFonts w:hint="eastAsia" w:ascii="仿宋" w:hAnsi="仿宋" w:eastAsia="仿宋" w:cs="仿宋"/>
          <w:i w:val="0"/>
          <w:caps w:val="0"/>
          <w:color w:val="1E1E1E"/>
          <w:spacing w:val="0"/>
          <w:sz w:val="30"/>
          <w:szCs w:val="30"/>
        </w:rPr>
        <w:t>实相符，管理到位。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52" w:right="0" w:hanging="45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   （三）项目产出及实现的社会效益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50" w:right="0" w:firstLine="60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一是强化劳动人事争议调解仲裁工作，全年完成各项任务指标</w:t>
      </w:r>
      <w:r>
        <w:rPr>
          <w:rFonts w:hint="eastAsia" w:ascii="仿宋" w:hAnsi="仿宋" w:eastAsia="仿宋" w:cs="仿宋"/>
          <w:i w:val="0"/>
          <w:caps w:val="0"/>
          <w:color w:val="1E1E1E"/>
          <w:spacing w:val="0"/>
          <w:sz w:val="30"/>
          <w:szCs w:val="30"/>
        </w:rPr>
        <w:t>。截止到2019年12月31日，我院全年立案受理劳动争议案件110件，已结案99件，到期结案率100％，其中调解结案81件，调解率达到80％。庭外处理38件，全部调解结案。全部案件涉案金额达1663万元。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50" w:right="0" w:firstLine="60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0"/>
          <w:szCs w:val="30"/>
        </w:rPr>
        <w:t>二是坚持依法依规廉洁办案，劳动关系更加和谐稳定</w:t>
      </w:r>
      <w:r>
        <w:rPr>
          <w:rFonts w:hint="eastAsia" w:ascii="仿宋" w:hAnsi="仿宋" w:eastAsia="仿宋" w:cs="仿宋"/>
          <w:i w:val="0"/>
          <w:caps w:val="0"/>
          <w:color w:val="1E1E1E"/>
          <w:spacing w:val="0"/>
          <w:sz w:val="30"/>
          <w:szCs w:val="30"/>
        </w:rPr>
        <w:t>。为全面规范用人单位劳动用工和劳动保障行为，努力构建和谐稳定的劳动关系，促进全县劳动保障事业健康有序发展，参与了各项劳动争议专项行动，指导各乡镇和规模企业建立劳动争议调解委员会，采取多种形式进行了劳动争议宣传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2"/>
        <w:jc w:val="both"/>
        <w:rPr>
          <w:rFonts w:ascii="MingLiU" w:hAnsi="MingLiU" w:eastAsia="MingLiU" w:cs="MingLiU"/>
          <w:sz w:val="14"/>
          <w:szCs w:val="14"/>
        </w:rPr>
      </w:pPr>
      <w:r>
        <w:rPr>
          <w:rFonts w:hint="eastAsia" w:ascii="仿宋" w:hAnsi="仿宋" w:eastAsia="仿宋" w:cs="仿宋"/>
          <w:b/>
          <w:i w:val="0"/>
          <w:caps w:val="0"/>
          <w:color w:val="1E1E1E"/>
          <w:spacing w:val="0"/>
          <w:sz w:val="30"/>
          <w:szCs w:val="30"/>
        </w:rPr>
        <w:t>（四）可持续性分析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eastAsia" w:ascii="MingLiU" w:hAnsi="MingLiU" w:eastAsia="MingLiU" w:cs="MingLiU"/>
          <w:sz w:val="14"/>
          <w:szCs w:val="14"/>
        </w:rPr>
      </w:pPr>
      <w:r>
        <w:rPr>
          <w:rFonts w:hint="eastAsia" w:ascii="仿宋" w:hAnsi="仿宋" w:eastAsia="仿宋" w:cs="仿宋"/>
          <w:i w:val="0"/>
          <w:caps w:val="0"/>
          <w:color w:val="1E1E1E"/>
          <w:spacing w:val="0"/>
          <w:sz w:val="28"/>
          <w:szCs w:val="28"/>
        </w:rPr>
        <w:t>我院共有编制5人，现有在职</w:t>
      </w:r>
      <w:r>
        <w:rPr>
          <w:rFonts w:hint="eastAsia" w:ascii="仿宋" w:hAnsi="仿宋" w:eastAsia="仿宋" w:cs="仿宋"/>
          <w:i w:val="0"/>
          <w:caps w:val="0"/>
          <w:color w:val="1E1E1E"/>
          <w:spacing w:val="0"/>
          <w:sz w:val="32"/>
          <w:szCs w:val="32"/>
        </w:rPr>
        <w:t>人员</w:t>
      </w:r>
      <w:r>
        <w:rPr>
          <w:rFonts w:hint="eastAsia" w:ascii="仿宋" w:hAnsi="仿宋" w:eastAsia="仿宋" w:cs="仿宋"/>
          <w:i w:val="0"/>
          <w:caps w:val="0"/>
          <w:color w:val="1E1E1E"/>
          <w:spacing w:val="0"/>
          <w:sz w:val="28"/>
          <w:szCs w:val="28"/>
        </w:rPr>
        <w:t>4人，人员的配备保证了工作的可持续性，但资金的合理使用、政策的变动有一定的不可控性。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（五）社会公众满意度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2" w:right="0" w:hanging="420"/>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2019年，在上级的正确领导下，我院紧紧抓住劳动争议调解仲裁的工作主线，瞄准业务工作创一流，扎实努力开展各项工作,圆满完成了全年工作目标任务，有力的维护了劳动者的合法权益，受到了人民群众的好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0"/>
          <w:szCs w:val="30"/>
        </w:rPr>
        <w:t>（六）部门整体绩效得分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根据《2019年度部门整体支出绩效评价指标评分表》确定的内容及评分标准，经评价组综合分析讨论评分，新邵县劳动人事争议仲裁院2019年度部门整体支出绩效评价得分为98.9分。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562" w:right="0" w:firstLine="141"/>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28"/>
          <w:szCs w:val="28"/>
        </w:rPr>
        <w:t>五、存在的主要问题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（一）“公务接待费”有待进一步加强和规范。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（二）固定资产管理有待进一步规范。历年来报废的固定资产办公已到国资产办核销，以后每增加一笔固定资产要及时做好登记和入帐，以便</w:t>
      </w:r>
      <w:r>
        <w:rPr>
          <w:rFonts w:hint="eastAsia" w:ascii="仿宋" w:hAnsi="仿宋" w:eastAsia="仿宋" w:cs="仿宋"/>
          <w:i w:val="0"/>
          <w:caps w:val="0"/>
          <w:color w:val="1E1E1E"/>
          <w:spacing w:val="0"/>
          <w:sz w:val="28"/>
          <w:szCs w:val="28"/>
          <w:lang w:eastAsia="zh-CN"/>
        </w:rPr>
        <w:t>账</w:t>
      </w:r>
      <w:r>
        <w:rPr>
          <w:rFonts w:hint="eastAsia" w:ascii="仿宋" w:hAnsi="仿宋" w:eastAsia="仿宋" w:cs="仿宋"/>
          <w:i w:val="0"/>
          <w:caps w:val="0"/>
          <w:color w:val="1E1E1E"/>
          <w:spacing w:val="0"/>
          <w:sz w:val="28"/>
          <w:szCs w:val="28"/>
        </w:rPr>
        <w:t>实相符。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（三）账务处理及财务基础工作有待进一步规范。由于历年来的往来帐没有及时清查核对，已形成坏账、呆账，引起资产负债表账面价值的不实。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562" w:right="0" w:firstLine="141"/>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28"/>
          <w:szCs w:val="28"/>
        </w:rPr>
        <w:t>六、改进意见及建议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560" w:right="0" w:firstLine="1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（一）加强“公务接待费”管理：严格执行公务接待相关规定。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（二）进一步加强对固定资产的管理。建立固定资产台帐，及时反映固定资产的增减变化，及时核销报废的固定资产。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0" w:right="0" w:hanging="39"/>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     （三）严格执行财务制度，完善财务基础工作。严格执行费用结算制度，规范会计科目的使用；加强单位财务内控制度的建设，规范往来帐的核算，对坏账、呆账经过账务处理程序以后及时调整账面价值；进一步完善财务基础工作，合理汇总财务基础数据，准确反映本单位的资产、负债及支出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四）加强财务制度管理。一是单位财会人员应认真学习《会计法》、《行政事业单位会计制度》、《会计基础工作规范》等财务制度，熟悉和掌握其中的法律、法规、制度以及各类规定，依法做好会计基础工作，依法建账、算账和记账。二是单位财会人员应加强会计业务学习，提高综合素质，来适应当前财政科学化、精细化管理的要求，并与实际工作相结合，不断提高自身的政策水平和业务技术水平。三是强化财务人员责任意识和管理意识，提升财务人员业务素质和职业道德水平，使财务人员熟悉掌握财务管理各环节要求，增强在实际工作中解决遇到问题和困难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WYzMTZkYzMwZTQ4NDBkOThkMzAzZmFhYmQwNTgifQ=="/>
  </w:docVars>
  <w:rsids>
    <w:rsidRoot w:val="00000000"/>
    <w:rsid w:val="641A11BB"/>
    <w:rsid w:val="70D3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3289</Words>
  <Characters>3816</Characters>
  <Lines>0</Lines>
  <Paragraphs>0</Paragraphs>
  <TotalTime>1</TotalTime>
  <ScaleCrop>false</ScaleCrop>
  <LinksUpToDate>false</LinksUpToDate>
  <CharactersWithSpaces>3821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2021-06-06T05:51:00Z</dcterms:created>
  <dc:creator>Administrator</dc:creator>
  <cp:lastModifiedBy>Administrator</cp:lastModifiedBy>
  <dcterms:modified xsi:type="dcterms:W3CDTF">2022-08-12T04:27:30Z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31C743C272AE4647895D077B1DCB6468</vt:lpwstr>
  </property>
</Properties>
</file>