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540" w:hanging="540"/>
        <w:jc w:val="center"/>
        <w:rPr>
          <w:rFonts w:hint="eastAsia" w:eastAsia="方正小标宋_GBK"/>
          <w:spacing w:val="-8"/>
          <w:sz w:val="28"/>
          <w:szCs w:val="28"/>
        </w:rPr>
      </w:pPr>
      <w:bookmarkStart w:id="0" w:name="_GoBack"/>
      <w:bookmarkEnd w:id="0"/>
      <w:r>
        <w:rPr>
          <w:rFonts w:eastAsia="方正小标宋_GBK"/>
          <w:sz w:val="36"/>
          <w:szCs w:val="36"/>
        </w:rPr>
        <w:t>201</w:t>
      </w:r>
      <w:r>
        <w:rPr>
          <w:rFonts w:hint="eastAsia" w:eastAsia="方正小标宋_GBK"/>
          <w:sz w:val="36"/>
          <w:szCs w:val="36"/>
          <w:lang w:val="en-US" w:eastAsia="zh-CN"/>
        </w:rPr>
        <w:t>8</w:t>
      </w:r>
      <w:r>
        <w:rPr>
          <w:rFonts w:hint="eastAsia" w:eastAsia="方正小标宋_GBK"/>
          <w:sz w:val="36"/>
          <w:szCs w:val="36"/>
        </w:rPr>
        <w:t>年度部门整体支出</w:t>
      </w:r>
      <w:r>
        <w:rPr>
          <w:rFonts w:eastAsia="方正小标宋_GBK"/>
          <w:spacing w:val="-8"/>
          <w:sz w:val="36"/>
          <w:szCs w:val="36"/>
        </w:rPr>
        <w:t>绩效评价指标评分表</w:t>
      </w:r>
    </w:p>
    <w:p>
      <w:pPr>
        <w:spacing w:line="600" w:lineRule="exact"/>
        <w:ind w:left="396" w:hanging="396"/>
        <w:rPr>
          <w:rFonts w:hint="eastAsia" w:ascii="楷体_GB2312" w:eastAsia="楷体_GB2312"/>
          <w:spacing w:val="-8"/>
          <w:sz w:val="28"/>
          <w:szCs w:val="28"/>
          <w:lang w:eastAsia="zh-CN"/>
        </w:rPr>
      </w:pPr>
      <w:r>
        <w:rPr>
          <w:rFonts w:hint="eastAsia" w:ascii="楷体_GB2312" w:eastAsia="楷体_GB2312"/>
          <w:spacing w:val="-8"/>
          <w:sz w:val="28"/>
          <w:szCs w:val="28"/>
        </w:rPr>
        <w:t>填报单位（盖章）：</w:t>
      </w:r>
      <w:r>
        <w:rPr>
          <w:rFonts w:hint="eastAsia" w:ascii="楷体_GB2312" w:eastAsia="楷体_GB2312"/>
          <w:spacing w:val="-8"/>
          <w:sz w:val="28"/>
          <w:szCs w:val="28"/>
          <w:lang w:eastAsia="zh-CN"/>
        </w:rPr>
        <w:t>新邵县龙山国有林场</w:t>
      </w:r>
    </w:p>
    <w:tbl>
      <w:tblPr>
        <w:tblStyle w:val="8"/>
        <w:tblW w:w="14287" w:type="dxa"/>
        <w:jc w:val="center"/>
        <w:tblInd w:w="0" w:type="dxa"/>
        <w:tblLayout w:type="fixed"/>
        <w:tblCellMar>
          <w:top w:w="0" w:type="dxa"/>
          <w:left w:w="0" w:type="dxa"/>
          <w:bottom w:w="0" w:type="dxa"/>
          <w:right w:w="0" w:type="dxa"/>
        </w:tblCellMar>
      </w:tblPr>
      <w:tblGrid>
        <w:gridCol w:w="690"/>
        <w:gridCol w:w="704"/>
        <w:gridCol w:w="960"/>
        <w:gridCol w:w="5340"/>
        <w:gridCol w:w="5825"/>
        <w:gridCol w:w="768"/>
      </w:tblGrid>
      <w:tr>
        <w:tblPrEx>
          <w:tblLayout w:type="fixed"/>
          <w:tblCellMar>
            <w:top w:w="0" w:type="dxa"/>
            <w:left w:w="0" w:type="dxa"/>
            <w:bottom w:w="0" w:type="dxa"/>
            <w:right w:w="0" w:type="dxa"/>
          </w:tblCellMar>
        </w:tblPrEx>
        <w:trPr>
          <w:trHeight w:val="644" w:hRule="atLeast"/>
          <w:tblHeader/>
          <w:jc w:val="center"/>
        </w:trPr>
        <w:tc>
          <w:tcPr>
            <w:tcW w:w="690" w:type="dxa"/>
            <w:tcBorders>
              <w:top w:val="single" w:color="auto" w:sz="4" w:space="0"/>
              <w:left w:val="single" w:color="auto" w:sz="8" w:space="0"/>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一级</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指标</w:t>
            </w:r>
          </w:p>
        </w:tc>
        <w:tc>
          <w:tcPr>
            <w:tcW w:w="704" w:type="dxa"/>
            <w:tcBorders>
              <w:top w:val="single" w:color="auto" w:sz="4" w:space="0"/>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二级指标</w:t>
            </w:r>
          </w:p>
        </w:tc>
        <w:tc>
          <w:tcPr>
            <w:tcW w:w="960" w:type="dxa"/>
            <w:tcBorders>
              <w:top w:val="single" w:color="auto" w:sz="4" w:space="0"/>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三级指标</w:t>
            </w:r>
          </w:p>
        </w:tc>
        <w:tc>
          <w:tcPr>
            <w:tcW w:w="5340" w:type="dxa"/>
            <w:tcBorders>
              <w:top w:val="single" w:color="auto" w:sz="4" w:space="0"/>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指标解释</w:t>
            </w:r>
          </w:p>
        </w:tc>
        <w:tc>
          <w:tcPr>
            <w:tcW w:w="5825" w:type="dxa"/>
            <w:tcBorders>
              <w:top w:val="single" w:color="auto" w:sz="4" w:space="0"/>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指标说明</w:t>
            </w:r>
          </w:p>
        </w:tc>
        <w:tc>
          <w:tcPr>
            <w:tcW w:w="768" w:type="dxa"/>
            <w:tcBorders>
              <w:top w:val="single" w:color="auto" w:sz="4" w:space="0"/>
              <w:left w:val="nil"/>
              <w:bottom w:val="single" w:color="auto" w:sz="8" w:space="0"/>
              <w:right w:val="single" w:color="auto" w:sz="8" w:space="0"/>
            </w:tcBorders>
            <w:noWrap w:val="0"/>
            <w:vAlign w:val="center"/>
          </w:tcPr>
          <w:p>
            <w:pPr>
              <w:pStyle w:val="7"/>
              <w:widowControl/>
              <w:spacing w:before="0" w:beforeAutospacing="0" w:after="0" w:afterAutospacing="0" w:line="600" w:lineRule="exact"/>
              <w:jc w:val="center"/>
              <w:rPr>
                <w:rFonts w:hint="eastAsia" w:ascii="仿宋" w:hAnsi="仿宋" w:eastAsia="仿宋" w:cs="仿宋"/>
              </w:rPr>
            </w:pPr>
            <w:r>
              <w:rPr>
                <w:rFonts w:hint="eastAsia" w:ascii="仿宋" w:hAnsi="仿宋" w:eastAsia="仿宋" w:cs="仿宋"/>
                <w:color w:val="000000"/>
                <w:sz w:val="21"/>
                <w:szCs w:val="21"/>
              </w:rPr>
              <w:t>自评分</w:t>
            </w:r>
          </w:p>
        </w:tc>
      </w:tr>
      <w:tr>
        <w:tblPrEx>
          <w:tblLayout w:type="fixed"/>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投入(20分)</w:t>
            </w:r>
          </w:p>
        </w:tc>
        <w:tc>
          <w:tcPr>
            <w:tcW w:w="704" w:type="dxa"/>
            <w:vMerge w:val="restart"/>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目标</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设定</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（5分）</w:t>
            </w: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绩效目标合理性</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（2分）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①符合国家法律法规、国民经济和社会发展总体规划计1分；</w:t>
            </w:r>
          </w:p>
          <w:p>
            <w:pPr>
              <w:pStyle w:val="7"/>
              <w:widowControl/>
              <w:spacing w:before="0" w:beforeAutospacing="0" w:after="0" w:afterAutospacing="0" w:line="60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②符合部门“三定”方案确定的职责计0.5分；</w:t>
            </w:r>
          </w:p>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③是否符合部门制定的中长期实施规划计0.5分。</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Layout w:type="fixed"/>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绩效指标明确性</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（3分）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①将部门整体的绩效目标细化分解为具体的工作任务计1分；</w:t>
            </w:r>
          </w:p>
          <w:p>
            <w:pPr>
              <w:pStyle w:val="7"/>
              <w:widowControl/>
              <w:spacing w:before="0" w:beforeAutospacing="0" w:after="0" w:afterAutospacing="0" w:line="60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②通过清晰、可衡量的指标值予以体现计0.5分；</w:t>
            </w:r>
          </w:p>
          <w:p>
            <w:pPr>
              <w:pStyle w:val="7"/>
              <w:widowControl/>
              <w:spacing w:before="0" w:beforeAutospacing="0" w:after="0" w:afterAutospacing="0" w:line="60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③与部门年度的任务数或计划数相对应计0.5分；</w:t>
            </w:r>
          </w:p>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④与本年度部门预算资金相匹配计1分。</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3</w:t>
            </w:r>
          </w:p>
        </w:tc>
      </w:tr>
      <w:tr>
        <w:tblPrEx>
          <w:tblLayout w:type="fixed"/>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restart"/>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预算</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配置（15分）</w:t>
            </w: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在职人员控制率</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5</w:t>
            </w:r>
          </w:p>
        </w:tc>
      </w:tr>
      <w:tr>
        <w:tblPrEx>
          <w:tblLayout w:type="fixed"/>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“三公经费”变动率（5分）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5</w:t>
            </w:r>
          </w:p>
        </w:tc>
      </w:tr>
      <w:tr>
        <w:tblPrEx>
          <w:tblLayout w:type="fixed"/>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重点支出安排率</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4</w:t>
            </w:r>
          </w:p>
        </w:tc>
      </w:tr>
      <w:tr>
        <w:tblPrEx>
          <w:tblLayout w:type="fixed"/>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过程</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(40分)</w:t>
            </w:r>
          </w:p>
        </w:tc>
        <w:tc>
          <w:tcPr>
            <w:tcW w:w="704" w:type="dxa"/>
            <w:vMerge w:val="restart"/>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预算</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执行</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(23分)</w:t>
            </w: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预算</w:t>
            </w:r>
          </w:p>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完成率</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（4分）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4</w:t>
            </w:r>
          </w:p>
        </w:tc>
      </w:tr>
      <w:tr>
        <w:tblPrEx>
          <w:tblLayout w:type="fixed"/>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预算</w:t>
            </w:r>
          </w:p>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调整率</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（2分）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1.5</w:t>
            </w:r>
          </w:p>
        </w:tc>
      </w:tr>
      <w:tr>
        <w:tblPrEx>
          <w:tblLayout w:type="fixed"/>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支付</w:t>
            </w:r>
          </w:p>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进度率</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（2分）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Layout w:type="fixed"/>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结转结余控制率</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（4分）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3</w:t>
            </w:r>
          </w:p>
        </w:tc>
      </w:tr>
      <w:tr>
        <w:tblPrEx>
          <w:tblLayout w:type="fixed"/>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公用经费</w:t>
            </w:r>
          </w:p>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控制率</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（4分）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3</w:t>
            </w:r>
          </w:p>
        </w:tc>
      </w:tr>
      <w:tr>
        <w:tblPrEx>
          <w:tblLayout w:type="fixed"/>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“三公经费”控制率（3分）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Layout w:type="fixed"/>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政府采购</w:t>
            </w:r>
          </w:p>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执行率</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（4分）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4</w:t>
            </w:r>
          </w:p>
        </w:tc>
      </w:tr>
      <w:tr>
        <w:tblPrEx>
          <w:tblLayout w:type="fixed"/>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restart"/>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预算</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管理</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(12分)</w:t>
            </w: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管理制度</w:t>
            </w:r>
          </w:p>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健全性</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（2分）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Layout w:type="fixed"/>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资金使用</w:t>
            </w:r>
          </w:p>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合规性</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①符合国家财经法规和财务管理制度规定以及有关专项资金管理办法的规定计1分；</w:t>
            </w:r>
          </w:p>
          <w:p>
            <w:pPr>
              <w:pStyle w:val="7"/>
              <w:widowControl/>
              <w:spacing w:before="0" w:beforeAutospacing="0" w:after="0" w:afterAutospacing="0" w:line="60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②资金的拨付有完整的审批程序和手续计1分；</w:t>
            </w:r>
          </w:p>
          <w:p>
            <w:pPr>
              <w:pStyle w:val="7"/>
              <w:widowControl/>
              <w:spacing w:before="0" w:beforeAutospacing="0" w:after="0" w:afterAutospacing="0" w:line="60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③项目的重大开支经过评估论证计1分；</w:t>
            </w:r>
          </w:p>
          <w:p>
            <w:pPr>
              <w:pStyle w:val="7"/>
              <w:widowControl/>
              <w:spacing w:before="0" w:beforeAutospacing="0" w:after="0" w:afterAutospacing="0" w:line="60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④符合部门预算批复的用途计1分；</w:t>
            </w:r>
          </w:p>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⑤不存在截留、挤占、挪用、虚列支出等情况计1分。</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5</w:t>
            </w:r>
          </w:p>
        </w:tc>
      </w:tr>
      <w:tr>
        <w:tblPrEx>
          <w:tblLayout w:type="fixed"/>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预决算信</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息公开性（2分）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①按规定内容公开预决算信息计1分；</w:t>
            </w:r>
          </w:p>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Layout w:type="fixed"/>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基础信息</w:t>
            </w:r>
          </w:p>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完善性</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（3分）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①基础数据信息和会计信息资料真实计1分；</w:t>
            </w:r>
          </w:p>
          <w:p>
            <w:pPr>
              <w:pStyle w:val="7"/>
              <w:widowControl/>
              <w:spacing w:before="0" w:beforeAutospacing="0" w:after="0" w:afterAutospacing="0" w:line="60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②基础数据信息和会计信息资料完整计1分；</w:t>
            </w:r>
          </w:p>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③基础数据信息和会计信息资料准确计1分。</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3</w:t>
            </w:r>
          </w:p>
        </w:tc>
      </w:tr>
      <w:tr>
        <w:tblPrEx>
          <w:tblLayout w:type="fixed"/>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restart"/>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资产</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管理</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（5分）</w:t>
            </w: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管理制度</w:t>
            </w:r>
          </w:p>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健全性</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（2分）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①制定或具有资产管理制度计1分；</w:t>
            </w:r>
          </w:p>
          <w:p>
            <w:pPr>
              <w:pStyle w:val="7"/>
              <w:widowControl/>
              <w:spacing w:before="0" w:beforeAutospacing="0" w:after="0" w:afterAutospacing="0" w:line="60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②相关资金管理制度合法、合规、完整计0.5分；</w:t>
            </w:r>
          </w:p>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③相关资产管理制度得到有效执行计0.5分。</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1.5</w:t>
            </w:r>
          </w:p>
        </w:tc>
      </w:tr>
      <w:tr>
        <w:tblPrEx>
          <w:tblLayout w:type="fixed"/>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资产管理</w:t>
            </w:r>
          </w:p>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安全性</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（2分）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761"/>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部门的资产是否保存完整、使用合规、配置合理、处置规范、收入及时足额上缴，用以反映和考核部门资产安全运行情况。</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①资产保存完整计0.4分；</w:t>
            </w:r>
          </w:p>
          <w:p>
            <w:pPr>
              <w:pStyle w:val="7"/>
              <w:widowControl/>
              <w:spacing w:before="0" w:beforeAutospacing="0" w:after="0" w:afterAutospacing="0" w:line="60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②资产配置合理计0.4分；</w:t>
            </w:r>
          </w:p>
          <w:p>
            <w:pPr>
              <w:pStyle w:val="7"/>
              <w:widowControl/>
              <w:spacing w:before="0" w:beforeAutospacing="0" w:after="0" w:afterAutospacing="0" w:line="60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③资产处置规范计0.4分；</w:t>
            </w:r>
          </w:p>
          <w:p>
            <w:pPr>
              <w:pStyle w:val="7"/>
              <w:widowControl/>
              <w:spacing w:before="0" w:beforeAutospacing="0" w:after="0" w:afterAutospacing="0" w:line="60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④资产账务管理合规、帐实相符计0.4分；</w:t>
            </w:r>
          </w:p>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⑤资产有偿使用及处置收入及时足额上缴计0.4分。</w:t>
            </w:r>
          </w:p>
        </w:tc>
        <w:tc>
          <w:tcPr>
            <w:tcW w:w="768" w:type="dxa"/>
            <w:tcBorders>
              <w:top w:val="nil"/>
              <w:left w:val="nil"/>
              <w:bottom w:val="single" w:color="auto" w:sz="8" w:space="0"/>
              <w:right w:val="single" w:color="auto" w:sz="8" w:space="0"/>
            </w:tcBorders>
            <w:noWrap w:val="0"/>
            <w:vAlign w:val="center"/>
          </w:tcPr>
          <w:p>
            <w:pPr>
              <w:pStyle w:val="7"/>
              <w:widowControl/>
              <w:tabs>
                <w:tab w:val="left" w:pos="761"/>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Layout w:type="fixed"/>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固定资产</w:t>
            </w:r>
          </w:p>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利用率</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（1分）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1</w:t>
            </w:r>
          </w:p>
        </w:tc>
      </w:tr>
      <w:tr>
        <w:tblPrEx>
          <w:tblLayout w:type="fixed"/>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产出</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(20分)</w:t>
            </w:r>
          </w:p>
        </w:tc>
        <w:tc>
          <w:tcPr>
            <w:tcW w:w="704" w:type="dxa"/>
            <w:vMerge w:val="restart"/>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职责</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履行</w:t>
            </w: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实际完成率（5分）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4.5</w:t>
            </w:r>
          </w:p>
        </w:tc>
      </w:tr>
      <w:tr>
        <w:tblPrEx>
          <w:tblLayout w:type="fixed"/>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完成及时率（4分）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21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完成及时率=（及时完成实际工作数/计划工作数）×100%。1-4季度各得1分</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3.5</w:t>
            </w:r>
          </w:p>
        </w:tc>
      </w:tr>
      <w:tr>
        <w:tblPrEx>
          <w:tblLayout w:type="fixed"/>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质量达标率（5分）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质量达标率=（质量达标实际工作数/计划工作数）×100%。实际得分=达标率*5分</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4.5</w:t>
            </w:r>
          </w:p>
        </w:tc>
      </w:tr>
      <w:tr>
        <w:tblPrEx>
          <w:tblLayout w:type="fixed"/>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重点工作</w:t>
            </w:r>
          </w:p>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办结率</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（6分）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6</w:t>
            </w:r>
          </w:p>
        </w:tc>
      </w:tr>
      <w:tr>
        <w:tblPrEx>
          <w:tblLayout w:type="fixed"/>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效果</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(20分)</w:t>
            </w:r>
          </w:p>
        </w:tc>
        <w:tc>
          <w:tcPr>
            <w:tcW w:w="704" w:type="dxa"/>
            <w:vMerge w:val="restart"/>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履职</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效益(20分)</w:t>
            </w: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经济效益（5分）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部门履行职责对经济发展所带来的直接或间接影响。</w:t>
            </w:r>
          </w:p>
        </w:tc>
        <w:tc>
          <w:tcPr>
            <w:tcW w:w="5825" w:type="dxa"/>
            <w:tcBorders>
              <w:top w:val="nil"/>
              <w:left w:val="nil"/>
              <w:bottom w:val="single" w:color="auto" w:sz="4"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按经济效益实现程度计算得分（5分）</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5</w:t>
            </w:r>
          </w:p>
        </w:tc>
      </w:tr>
      <w:tr>
        <w:tblPrEx>
          <w:tblLayout w:type="fixed"/>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社会效益（5分）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部门履行职责对社会发展所带来的直接或间接影响。</w:t>
            </w:r>
          </w:p>
        </w:tc>
        <w:tc>
          <w:tcPr>
            <w:tcW w:w="5825" w:type="dxa"/>
            <w:tcBorders>
              <w:top w:val="single" w:color="auto" w:sz="4" w:space="0"/>
              <w:left w:val="nil"/>
              <w:bottom w:val="single" w:color="auto" w:sz="4" w:space="0"/>
              <w:right w:val="single" w:color="auto" w:sz="8" w:space="0"/>
            </w:tcBorders>
            <w:noWrap w:val="0"/>
            <w:tcMar>
              <w:top w:w="10" w:type="dxa"/>
              <w:left w:w="10" w:type="dxa"/>
              <w:right w:w="10" w:type="dxa"/>
            </w:tcMar>
            <w:vAlign w:val="center"/>
          </w:tcPr>
          <w:p>
            <w:pPr>
              <w:spacing w:line="600" w:lineRule="exact"/>
              <w:ind w:left="315" w:hanging="315"/>
              <w:rPr>
                <w:rFonts w:hint="eastAsia" w:ascii="仿宋" w:hAnsi="仿宋" w:eastAsia="仿宋" w:cs="仿宋"/>
                <w:color w:val="000000"/>
                <w:sz w:val="15"/>
                <w:szCs w:val="15"/>
              </w:rPr>
            </w:pPr>
            <w:r>
              <w:rPr>
                <w:rFonts w:hint="eastAsia" w:ascii="仿宋" w:hAnsi="仿宋" w:eastAsia="仿宋" w:cs="仿宋"/>
                <w:color w:val="000000"/>
                <w:szCs w:val="21"/>
              </w:rPr>
              <w:t>按社会效益实现程度计算得分（5分）</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5</w:t>
            </w:r>
          </w:p>
        </w:tc>
      </w:tr>
      <w:tr>
        <w:tblPrEx>
          <w:tblLayout w:type="fixed"/>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315" w:hanging="315"/>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行政效能</w:t>
            </w:r>
          </w:p>
          <w:p>
            <w:pPr>
              <w:spacing w:line="600" w:lineRule="exact"/>
              <w:ind w:left="315" w:hanging="315"/>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促进部门改进文风会风，加强经费及资产管理，推动网上办事，提高行政效率。</w:t>
            </w:r>
          </w:p>
        </w:tc>
        <w:tc>
          <w:tcPr>
            <w:tcW w:w="5825" w:type="dxa"/>
            <w:tcBorders>
              <w:top w:val="single" w:color="auto" w:sz="4" w:space="0"/>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降低行政成本效果较好的计6分；一般3分；无效果或者效果不明显0分。</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3</w:t>
            </w:r>
          </w:p>
        </w:tc>
      </w:tr>
      <w:tr>
        <w:tblPrEx>
          <w:tblLayout w:type="fixed"/>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704" w:type="dxa"/>
            <w:vMerge w:val="continue"/>
            <w:tcBorders>
              <w:top w:val="nil"/>
              <w:left w:val="nil"/>
              <w:bottom w:val="single" w:color="auto" w:sz="8" w:space="0"/>
              <w:right w:val="single" w:color="auto" w:sz="8" w:space="0"/>
            </w:tcBorders>
            <w:noWrap w:val="0"/>
            <w:tcMar>
              <w:top w:w="10" w:type="dxa"/>
              <w:left w:w="10" w:type="dxa"/>
              <w:right w:w="10" w:type="dxa"/>
            </w:tcMar>
            <w:vAlign w:val="center"/>
          </w:tcPr>
          <w:p>
            <w:pPr>
              <w:spacing w:line="600" w:lineRule="exact"/>
              <w:ind w:left="225" w:hanging="225"/>
              <w:rPr>
                <w:rFonts w:hint="eastAsia" w:ascii="仿宋" w:hAnsi="仿宋" w:eastAsia="仿宋" w:cs="仿宋"/>
                <w:color w:val="000000"/>
                <w:sz w:val="15"/>
                <w:szCs w:val="15"/>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社会公众</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或服务对</w:t>
            </w:r>
          </w:p>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象满意度（5分）</w:t>
            </w: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社会公众或部门的服务对象对部门履职效果的满意程度。</w:t>
            </w: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sz w:val="18"/>
                <w:szCs w:val="18"/>
              </w:rPr>
              <w:t>90%</w:t>
            </w:r>
            <w:r>
              <w:rPr>
                <w:rFonts w:hint="eastAsia" w:ascii="仿宋" w:hAnsi="仿宋" w:eastAsia="仿宋" w:cs="仿宋"/>
                <w:color w:val="000000"/>
                <w:sz w:val="21"/>
                <w:szCs w:val="21"/>
              </w:rPr>
              <w:t>（含）以上计5分；80%（含）-90%，计4分；70%（含）-80%，计3分；60%（含）-70%，计2分；低于60%计0分。</w:t>
            </w:r>
          </w:p>
        </w:tc>
        <w:tc>
          <w:tcPr>
            <w:tcW w:w="768" w:type="dxa"/>
            <w:tcBorders>
              <w:top w:val="nil"/>
              <w:left w:val="nil"/>
              <w:bottom w:val="single" w:color="auto" w:sz="8" w:space="0"/>
              <w:right w:val="single" w:color="auto" w:sz="8" w:space="0"/>
            </w:tcBorders>
            <w:noWrap w:val="0"/>
            <w:vAlign w:val="center"/>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5</w:t>
            </w:r>
          </w:p>
        </w:tc>
      </w:tr>
      <w:tr>
        <w:tblPrEx>
          <w:tblLayout w:type="fixed"/>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noWrap w:val="0"/>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总分</w:t>
            </w:r>
          </w:p>
        </w:tc>
        <w:tc>
          <w:tcPr>
            <w:tcW w:w="704" w:type="dxa"/>
            <w:tcBorders>
              <w:top w:val="nil"/>
              <w:left w:val="nil"/>
              <w:bottom w:val="nil"/>
              <w:right w:val="single" w:color="auto" w:sz="8" w:space="0"/>
            </w:tcBorders>
            <w:noWrap w:val="0"/>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100</w:t>
            </w:r>
          </w:p>
        </w:tc>
        <w:tc>
          <w:tcPr>
            <w:tcW w:w="960" w:type="dxa"/>
            <w:tcBorders>
              <w:top w:val="nil"/>
              <w:left w:val="nil"/>
              <w:bottom w:val="nil"/>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sz w:val="21"/>
                <w:szCs w:val="21"/>
              </w:rPr>
            </w:pPr>
            <w:r>
              <w:rPr>
                <w:rFonts w:hint="eastAsia" w:ascii="仿宋" w:hAnsi="仿宋" w:eastAsia="仿宋" w:cs="仿宋"/>
                <w:color w:val="000000"/>
                <w:sz w:val="21"/>
                <w:szCs w:val="21"/>
              </w:rPr>
              <w:t>100　</w:t>
            </w:r>
          </w:p>
        </w:tc>
        <w:tc>
          <w:tcPr>
            <w:tcW w:w="5340" w:type="dxa"/>
            <w:tcBorders>
              <w:top w:val="nil"/>
              <w:left w:val="nil"/>
              <w:bottom w:val="nil"/>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 </w:t>
            </w:r>
          </w:p>
        </w:tc>
        <w:tc>
          <w:tcPr>
            <w:tcW w:w="5825" w:type="dxa"/>
            <w:tcBorders>
              <w:top w:val="nil"/>
              <w:left w:val="nil"/>
              <w:bottom w:val="nil"/>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sz w:val="21"/>
                <w:szCs w:val="21"/>
              </w:rPr>
            </w:pPr>
            <w:r>
              <w:rPr>
                <w:rFonts w:hint="eastAsia" w:ascii="仿宋" w:hAnsi="仿宋" w:eastAsia="仿宋" w:cs="仿宋"/>
                <w:color w:val="000000"/>
                <w:sz w:val="21"/>
                <w:szCs w:val="21"/>
              </w:rPr>
              <w:t> </w:t>
            </w:r>
          </w:p>
        </w:tc>
        <w:tc>
          <w:tcPr>
            <w:tcW w:w="768" w:type="dxa"/>
            <w:tcBorders>
              <w:top w:val="nil"/>
              <w:left w:val="nil"/>
              <w:bottom w:val="nil"/>
              <w:right w:val="single" w:color="auto" w:sz="8" w:space="0"/>
            </w:tcBorders>
            <w:noWrap w:val="0"/>
            <w:vAlign w:val="top"/>
          </w:tcPr>
          <w:p>
            <w:pPr>
              <w:pStyle w:val="7"/>
              <w:widowControl/>
              <w:tabs>
                <w:tab w:val="left" w:pos="2604"/>
              </w:tabs>
              <w:spacing w:before="0" w:beforeAutospacing="0" w:after="0" w:afterAutospacing="0" w:line="600" w:lineRule="exact"/>
              <w:jc w:val="center"/>
              <w:rPr>
                <w:rFonts w:hint="eastAsia" w:ascii="仿宋" w:hAnsi="仿宋" w:eastAsia="仿宋" w:cs="仿宋"/>
                <w:lang w:val="en-US" w:eastAsia="zh-CN"/>
              </w:rPr>
            </w:pPr>
            <w:r>
              <w:rPr>
                <w:rFonts w:hint="eastAsia" w:ascii="仿宋" w:hAnsi="仿宋" w:eastAsia="仿宋" w:cs="仿宋"/>
                <w:lang w:val="en-US" w:eastAsia="zh-CN"/>
              </w:rPr>
              <w:t>91.5</w:t>
            </w:r>
          </w:p>
        </w:tc>
      </w:tr>
      <w:tr>
        <w:tblPrEx>
          <w:tblLayout w:type="fixed"/>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noWrap w:val="0"/>
            <w:vAlign w:val="center"/>
          </w:tcPr>
          <w:p>
            <w:pPr>
              <w:pStyle w:val="7"/>
              <w:widowControl/>
              <w:spacing w:before="0" w:beforeAutospacing="0" w:after="0" w:afterAutospacing="0" w:line="600" w:lineRule="exact"/>
              <w:rPr>
                <w:rFonts w:hint="eastAsia" w:ascii="仿宋" w:hAnsi="仿宋" w:eastAsia="仿宋" w:cs="仿宋"/>
                <w:color w:val="000000"/>
                <w:sz w:val="21"/>
                <w:szCs w:val="21"/>
              </w:rPr>
            </w:pPr>
          </w:p>
        </w:tc>
        <w:tc>
          <w:tcPr>
            <w:tcW w:w="704" w:type="dxa"/>
            <w:tcBorders>
              <w:top w:val="nil"/>
              <w:left w:val="nil"/>
              <w:bottom w:val="single" w:color="auto" w:sz="8" w:space="0"/>
              <w:right w:val="single" w:color="auto" w:sz="8" w:space="0"/>
            </w:tcBorders>
            <w:noWrap w:val="0"/>
            <w:vAlign w:val="center"/>
          </w:tcPr>
          <w:p>
            <w:pPr>
              <w:pStyle w:val="7"/>
              <w:widowControl/>
              <w:spacing w:before="0" w:beforeAutospacing="0" w:after="0" w:afterAutospacing="0" w:line="600" w:lineRule="exact"/>
              <w:jc w:val="center"/>
              <w:rPr>
                <w:rFonts w:hint="eastAsia" w:ascii="仿宋" w:hAnsi="仿宋" w:eastAsia="仿宋" w:cs="仿宋"/>
                <w:color w:val="000000"/>
                <w:sz w:val="21"/>
                <w:szCs w:val="21"/>
              </w:rPr>
            </w:pPr>
          </w:p>
        </w:tc>
        <w:tc>
          <w:tcPr>
            <w:tcW w:w="96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center"/>
              <w:rPr>
                <w:rFonts w:hint="eastAsia" w:ascii="仿宋" w:hAnsi="仿宋" w:eastAsia="仿宋" w:cs="仿宋"/>
                <w:color w:val="000000"/>
                <w:sz w:val="21"/>
                <w:szCs w:val="21"/>
              </w:rPr>
            </w:pPr>
          </w:p>
        </w:tc>
        <w:tc>
          <w:tcPr>
            <w:tcW w:w="5340"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tabs>
                <w:tab w:val="left" w:pos="2604"/>
              </w:tabs>
              <w:spacing w:before="0" w:beforeAutospacing="0" w:after="0" w:afterAutospacing="0" w:line="600" w:lineRule="exact"/>
              <w:jc w:val="both"/>
              <w:rPr>
                <w:rFonts w:hint="eastAsia" w:ascii="仿宋" w:hAnsi="仿宋" w:eastAsia="仿宋" w:cs="仿宋"/>
                <w:color w:val="000000"/>
                <w:sz w:val="21"/>
                <w:szCs w:val="21"/>
              </w:rPr>
            </w:pPr>
          </w:p>
        </w:tc>
        <w:tc>
          <w:tcPr>
            <w:tcW w:w="5825" w:type="dxa"/>
            <w:tcBorders>
              <w:top w:val="nil"/>
              <w:left w:val="nil"/>
              <w:bottom w:val="single" w:color="auto" w:sz="8" w:space="0"/>
              <w:right w:val="single" w:color="auto" w:sz="8" w:space="0"/>
            </w:tcBorders>
            <w:noWrap w:val="0"/>
            <w:tcMar>
              <w:top w:w="10" w:type="dxa"/>
              <w:left w:w="10" w:type="dxa"/>
              <w:right w:w="10" w:type="dxa"/>
            </w:tcMar>
            <w:vAlign w:val="center"/>
          </w:tcPr>
          <w:p>
            <w:pPr>
              <w:pStyle w:val="7"/>
              <w:widowControl/>
              <w:spacing w:before="0" w:beforeAutospacing="0" w:after="0" w:afterAutospacing="0" w:line="600" w:lineRule="exact"/>
              <w:jc w:val="both"/>
              <w:rPr>
                <w:rFonts w:hint="eastAsia" w:ascii="仿宋" w:hAnsi="仿宋" w:eastAsia="仿宋" w:cs="仿宋"/>
                <w:color w:val="000000"/>
                <w:sz w:val="21"/>
                <w:szCs w:val="21"/>
              </w:rPr>
            </w:pPr>
          </w:p>
        </w:tc>
        <w:tc>
          <w:tcPr>
            <w:tcW w:w="768" w:type="dxa"/>
            <w:tcBorders>
              <w:top w:val="nil"/>
              <w:left w:val="nil"/>
              <w:bottom w:val="single" w:color="auto" w:sz="8" w:space="0"/>
              <w:right w:val="single" w:color="auto" w:sz="8" w:space="0"/>
            </w:tcBorders>
            <w:noWrap w:val="0"/>
            <w:vAlign w:val="top"/>
          </w:tcPr>
          <w:p>
            <w:pPr>
              <w:pStyle w:val="7"/>
              <w:widowControl/>
              <w:tabs>
                <w:tab w:val="left" w:pos="2604"/>
              </w:tabs>
              <w:spacing w:before="0" w:beforeAutospacing="0" w:after="0" w:afterAutospacing="0" w:line="600" w:lineRule="exact"/>
              <w:jc w:val="left"/>
              <w:rPr>
                <w:rFonts w:hint="eastAsia" w:ascii="仿宋" w:hAnsi="仿宋" w:eastAsia="仿宋" w:cs="仿宋"/>
                <w:lang w:val="en-US" w:eastAsia="zh-CN"/>
              </w:rPr>
            </w:pPr>
          </w:p>
        </w:tc>
      </w:tr>
    </w:tbl>
    <w:p>
      <w:pPr>
        <w:adjustRightInd w:val="0"/>
        <w:snapToGrid w:val="0"/>
        <w:spacing w:line="600" w:lineRule="exact"/>
        <w:ind w:left="480" w:hanging="480"/>
        <w:rPr>
          <w:rFonts w:eastAsia="黑体"/>
          <w:sz w:val="32"/>
          <w:szCs w:val="32"/>
        </w:rPr>
      </w:pPr>
    </w:p>
    <w:p>
      <w:pPr>
        <w:spacing w:line="220" w:lineRule="atLeast"/>
      </w:pPr>
    </w:p>
    <w:sectPr>
      <w:pgSz w:w="16838" w:h="11906" w:orient="landscape"/>
      <w:pgMar w:top="1800" w:right="1440" w:bottom="1800" w:left="144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7338"/>
    <w:rsid w:val="00021C74"/>
    <w:rsid w:val="0015664F"/>
    <w:rsid w:val="001978C5"/>
    <w:rsid w:val="002511FB"/>
    <w:rsid w:val="00290A1F"/>
    <w:rsid w:val="002A141D"/>
    <w:rsid w:val="00323B43"/>
    <w:rsid w:val="00377063"/>
    <w:rsid w:val="00377851"/>
    <w:rsid w:val="003C0486"/>
    <w:rsid w:val="003D37D8"/>
    <w:rsid w:val="003D4720"/>
    <w:rsid w:val="003F57C0"/>
    <w:rsid w:val="00426133"/>
    <w:rsid w:val="004358AB"/>
    <w:rsid w:val="004425C1"/>
    <w:rsid w:val="004C33B3"/>
    <w:rsid w:val="005A7AE3"/>
    <w:rsid w:val="005C3F77"/>
    <w:rsid w:val="005F0828"/>
    <w:rsid w:val="00624102"/>
    <w:rsid w:val="00642A1F"/>
    <w:rsid w:val="006A5C32"/>
    <w:rsid w:val="006B3CB0"/>
    <w:rsid w:val="006D40AD"/>
    <w:rsid w:val="00722D70"/>
    <w:rsid w:val="007B4CFF"/>
    <w:rsid w:val="008044E5"/>
    <w:rsid w:val="00823A5C"/>
    <w:rsid w:val="008B7726"/>
    <w:rsid w:val="008D04FC"/>
    <w:rsid w:val="008D76EE"/>
    <w:rsid w:val="008F68A6"/>
    <w:rsid w:val="00A63D82"/>
    <w:rsid w:val="00AB0BF1"/>
    <w:rsid w:val="00B17922"/>
    <w:rsid w:val="00B22A1C"/>
    <w:rsid w:val="00B46106"/>
    <w:rsid w:val="00B55FBF"/>
    <w:rsid w:val="00B761A7"/>
    <w:rsid w:val="00BA1E88"/>
    <w:rsid w:val="00BE023C"/>
    <w:rsid w:val="00C73841"/>
    <w:rsid w:val="00CB18F6"/>
    <w:rsid w:val="00CF0048"/>
    <w:rsid w:val="00CF4062"/>
    <w:rsid w:val="00D31D50"/>
    <w:rsid w:val="00DD18EF"/>
    <w:rsid w:val="00DF5A2D"/>
    <w:rsid w:val="00E02D8A"/>
    <w:rsid w:val="00ED1D22"/>
    <w:rsid w:val="00FD5104"/>
    <w:rsid w:val="064D4B33"/>
    <w:rsid w:val="06793B23"/>
    <w:rsid w:val="0A7B5A9B"/>
    <w:rsid w:val="0AAC5788"/>
    <w:rsid w:val="0BAB1D9A"/>
    <w:rsid w:val="13177324"/>
    <w:rsid w:val="172D6520"/>
    <w:rsid w:val="198B0052"/>
    <w:rsid w:val="1C401BCB"/>
    <w:rsid w:val="1E350EC5"/>
    <w:rsid w:val="2D9D2FC3"/>
    <w:rsid w:val="30DD1AA2"/>
    <w:rsid w:val="3BAA4EB2"/>
    <w:rsid w:val="3DC4108E"/>
    <w:rsid w:val="3FEE246D"/>
    <w:rsid w:val="44840865"/>
    <w:rsid w:val="459662BB"/>
    <w:rsid w:val="47F57C70"/>
    <w:rsid w:val="4A72169C"/>
    <w:rsid w:val="4FE253BC"/>
    <w:rsid w:val="50945C1F"/>
    <w:rsid w:val="52D615B5"/>
    <w:rsid w:val="53767D54"/>
    <w:rsid w:val="55D003C7"/>
    <w:rsid w:val="5C2D36D5"/>
    <w:rsid w:val="67B77C25"/>
    <w:rsid w:val="688A13D9"/>
    <w:rsid w:val="6F8B6B5B"/>
    <w:rsid w:val="6FE802E3"/>
    <w:rsid w:val="77F63E2E"/>
    <w:rsid w:val="78E3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2"/>
    <w:qFormat/>
    <w:uiPriority w:val="0"/>
    <w:pPr>
      <w:widowControl w:val="0"/>
      <w:adjustRightInd/>
      <w:snapToGrid/>
      <w:spacing w:before="100" w:beforeAutospacing="1" w:after="100" w:afterAutospacing="1"/>
      <w:outlineLvl w:val="0"/>
    </w:pPr>
    <w:rPr>
      <w:rFonts w:hint="eastAsia" w:ascii="宋体" w:hAnsi="宋体" w:eastAsia="宋体" w:cs="Times New Roman"/>
      <w:b/>
      <w:kern w:val="44"/>
      <w:sz w:val="48"/>
      <w:szCs w:val="48"/>
    </w:rPr>
  </w:style>
  <w:style w:type="paragraph" w:styleId="3">
    <w:name w:val="heading 2"/>
    <w:basedOn w:val="1"/>
    <w:next w:val="1"/>
    <w:link w:val="13"/>
    <w:qFormat/>
    <w:uiPriority w:val="0"/>
    <w:pPr>
      <w:widowControl w:val="0"/>
      <w:adjustRightInd/>
      <w:snapToGrid/>
      <w:spacing w:before="100" w:beforeAutospacing="1" w:after="100" w:afterAutospacing="1"/>
      <w:outlineLvl w:val="1"/>
    </w:pPr>
    <w:rPr>
      <w:rFonts w:hint="eastAsia" w:ascii="宋体" w:hAnsi="宋体" w:eastAsia="宋体" w:cs="Times New Roman"/>
      <w:b/>
      <w:sz w:val="36"/>
      <w:szCs w:val="36"/>
    </w:rPr>
  </w:style>
  <w:style w:type="paragraph" w:styleId="4">
    <w:name w:val="heading 3"/>
    <w:basedOn w:val="1"/>
    <w:next w:val="1"/>
    <w:link w:val="14"/>
    <w:qFormat/>
    <w:uiPriority w:val="0"/>
    <w:pPr>
      <w:widowControl w:val="0"/>
      <w:adjustRightInd/>
      <w:snapToGrid/>
      <w:spacing w:before="100" w:beforeAutospacing="1" w:after="100" w:afterAutospacing="1"/>
      <w:outlineLvl w:val="2"/>
    </w:pPr>
    <w:rPr>
      <w:rFonts w:hint="eastAsia" w:ascii="宋体" w:hAnsi="宋体" w:eastAsia="宋体" w:cs="Times New Roman"/>
      <w:b/>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1"/>
    <w:semiHidden/>
    <w:unhideWhenUsed/>
    <w:qFormat/>
    <w:uiPriority w:val="99"/>
    <w:pPr>
      <w:tabs>
        <w:tab w:val="center" w:pos="4153"/>
        <w:tab w:val="right" w:pos="8306"/>
      </w:tabs>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spacing w:before="100" w:beforeAutospacing="1" w:after="100" w:afterAutospacing="1" w:line="240" w:lineRule="auto"/>
      <w:ind w:left="0" w:firstLine="0" w:firstLineChars="0"/>
      <w:jc w:val="left"/>
    </w:pPr>
    <w:rPr>
      <w:rFonts w:ascii="Times New Roman" w:hAnsi="Times New Roman"/>
      <w:kern w:val="0"/>
      <w:sz w:val="24"/>
      <w:szCs w:val="24"/>
    </w:rPr>
  </w:style>
  <w:style w:type="character" w:customStyle="1" w:styleId="10">
    <w:name w:val="页眉 Char"/>
    <w:basedOn w:val="9"/>
    <w:link w:val="6"/>
    <w:semiHidden/>
    <w:qFormat/>
    <w:uiPriority w:val="99"/>
    <w:rPr>
      <w:rFonts w:ascii="Tahoma" w:hAnsi="Tahoma"/>
      <w:sz w:val="18"/>
      <w:szCs w:val="18"/>
    </w:rPr>
  </w:style>
  <w:style w:type="character" w:customStyle="1" w:styleId="11">
    <w:name w:val="页脚 Char"/>
    <w:basedOn w:val="9"/>
    <w:link w:val="5"/>
    <w:semiHidden/>
    <w:qFormat/>
    <w:uiPriority w:val="99"/>
    <w:rPr>
      <w:rFonts w:ascii="Tahoma" w:hAnsi="Tahoma"/>
      <w:sz w:val="18"/>
      <w:szCs w:val="18"/>
    </w:rPr>
  </w:style>
  <w:style w:type="character" w:customStyle="1" w:styleId="12">
    <w:name w:val="标题 1 Char"/>
    <w:basedOn w:val="9"/>
    <w:link w:val="2"/>
    <w:qFormat/>
    <w:uiPriority w:val="0"/>
    <w:rPr>
      <w:rFonts w:ascii="宋体" w:hAnsi="宋体" w:eastAsia="宋体" w:cs="Times New Roman"/>
      <w:b/>
      <w:kern w:val="44"/>
      <w:sz w:val="48"/>
      <w:szCs w:val="48"/>
    </w:rPr>
  </w:style>
  <w:style w:type="character" w:customStyle="1" w:styleId="13">
    <w:name w:val="标题 2 Char"/>
    <w:basedOn w:val="9"/>
    <w:link w:val="3"/>
    <w:qFormat/>
    <w:uiPriority w:val="0"/>
    <w:rPr>
      <w:rFonts w:ascii="宋体" w:hAnsi="宋体" w:eastAsia="宋体" w:cs="Times New Roman"/>
      <w:b/>
      <w:sz w:val="36"/>
      <w:szCs w:val="36"/>
    </w:rPr>
  </w:style>
  <w:style w:type="character" w:customStyle="1" w:styleId="14">
    <w:name w:val="标题 3 Char"/>
    <w:basedOn w:val="9"/>
    <w:link w:val="4"/>
    <w:qFormat/>
    <w:uiPriority w:val="0"/>
    <w:rPr>
      <w:rFonts w:ascii="宋体" w:hAnsi="宋体" w:eastAsia="宋体" w:cs="Times New Roman"/>
      <w:b/>
      <w:sz w:val="27"/>
      <w:szCs w:val="27"/>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810</Words>
  <Characters>4618</Characters>
  <Lines>38</Lines>
  <Paragraphs>10</Paragraphs>
  <TotalTime>5</TotalTime>
  <ScaleCrop>false</ScaleCrop>
  <LinksUpToDate>false</LinksUpToDate>
  <CharactersWithSpaces>5418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2020-05-25T04:20:00Z</cp:lastPrinted>
  <dcterms:modified xsi:type="dcterms:W3CDTF">2020-05-25T06:43:52Z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