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微软雅黑" w:hAnsi="微软雅黑" w:eastAsia="微软雅黑" w:cs="微软雅黑"/>
          <w:b/>
          <w:color w:val="1E1E1E"/>
          <w:sz w:val="37"/>
          <w:szCs w:val="37"/>
        </w:rPr>
      </w:pPr>
      <w:r>
        <w:rPr>
          <w:rFonts w:hint="eastAsia" w:ascii="微软雅黑" w:hAnsi="微软雅黑" w:eastAsia="微软雅黑" w:cs="微软雅黑"/>
          <w:b/>
          <w:color w:val="1E1E1E"/>
          <w:kern w:val="0"/>
          <w:sz w:val="37"/>
          <w:szCs w:val="37"/>
          <w:lang w:bidi="ar"/>
        </w:rPr>
        <w:t>新邵县林业要素市场管理办公室2019年度部门整体支出绩效自评报告</w:t>
      </w:r>
    </w:p>
    <w:p>
      <w:pPr>
        <w:pStyle w:val="4"/>
        <w:widowControl/>
        <w:spacing w:beforeAutospacing="0" w:afterAutospacing="0" w:line="500" w:lineRule="atLeast"/>
        <w:ind w:firstLine="600"/>
        <w:jc w:val="both"/>
        <w:rPr>
          <w:rFonts w:ascii="微软雅黑" w:hAnsi="微软雅黑" w:eastAsia="微软雅黑" w:cs="微软雅黑"/>
          <w:sz w:val="18"/>
          <w:szCs w:val="18"/>
        </w:rPr>
      </w:pPr>
      <w:r>
        <w:rPr>
          <w:rFonts w:ascii="仿宋" w:hAnsi="仿宋" w:eastAsia="仿宋" w:cs="仿宋"/>
          <w:color w:val="1E1E1E"/>
        </w:rPr>
        <w:t>一、概况</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1E1E1E"/>
        </w:rPr>
        <w:t>（一）机构组成。新邵县林业要素市场管理办公室（新邵县技术管理站）内设综合股、林权管理股（加挂新邵县林业产权交易中心牌子）、森林资源资产评估股（加挂新邵县林业调查规划设计队牌子）、林业技术管理股。现有人员16人，高级工程师2人，中级工程师4人，初级工程师5人，技术员5个。其中大专以上学历16人，平均年龄35岁。</w:t>
      </w:r>
    </w:p>
    <w:p>
      <w:pPr>
        <w:pStyle w:val="4"/>
        <w:widowControl/>
        <w:spacing w:beforeAutospacing="0" w:afterAutospacing="0" w:line="500" w:lineRule="atLeast"/>
        <w:ind w:firstLine="360"/>
        <w:jc w:val="both"/>
        <w:rPr>
          <w:rFonts w:ascii="微软雅黑" w:hAnsi="微软雅黑" w:eastAsia="微软雅黑" w:cs="微软雅黑"/>
          <w:sz w:val="18"/>
          <w:szCs w:val="18"/>
        </w:rPr>
      </w:pPr>
      <w:r>
        <w:rPr>
          <w:rFonts w:hint="eastAsia" w:ascii="仿宋" w:hAnsi="仿宋" w:eastAsia="仿宋" w:cs="仿宋"/>
          <w:color w:val="1E1E1E"/>
        </w:rPr>
        <w:t>（二）机构职责。</w:t>
      </w:r>
    </w:p>
    <w:p>
      <w:pPr>
        <w:pStyle w:val="4"/>
        <w:widowControl/>
        <w:spacing w:beforeAutospacing="0" w:afterAutospacing="0" w:line="500" w:lineRule="atLeast"/>
        <w:ind w:firstLine="360"/>
        <w:jc w:val="both"/>
        <w:rPr>
          <w:rFonts w:ascii="微软雅黑" w:hAnsi="微软雅黑" w:eastAsia="微软雅黑" w:cs="微软雅黑"/>
          <w:sz w:val="18"/>
          <w:szCs w:val="18"/>
        </w:rPr>
      </w:pPr>
      <w:r>
        <w:rPr>
          <w:rFonts w:hint="eastAsia" w:ascii="仿宋" w:hAnsi="仿宋" w:eastAsia="仿宋" w:cs="仿宋"/>
          <w:color w:val="1E1E1E"/>
        </w:rPr>
        <w:t>1、负责森林资源、野生动植物资源、湿地资源、荒漠化土地调查监测评价；森林分类区划界定；占用征收林地可行性报告编制；森林资源规划设计调查；实施方案编制；林业专项核查；林业作业设计调查；营造林设计；林业数表编制。 2、负责林木林地流转管理；开展森林资源资产评估服务；发布林地、林木、木材、采伐迹地交易、拍卖等信息；负责林木林地流转管理，为林权流转交易提供咨询、信息服务并办理相关手续，建立流转平台；负责林权流转的受理、管理和监督；负责林权流转信息的搜集、整理；负责为林权权利人提供林权证抵押贷款等相关咨询服务。</w:t>
      </w:r>
    </w:p>
    <w:p>
      <w:pPr>
        <w:pStyle w:val="4"/>
        <w:widowControl/>
        <w:spacing w:beforeAutospacing="0" w:afterAutospacing="0" w:line="500" w:lineRule="atLeast"/>
        <w:ind w:firstLine="360"/>
        <w:jc w:val="both"/>
        <w:rPr>
          <w:rFonts w:ascii="微软雅黑" w:hAnsi="微软雅黑" w:eastAsia="微软雅黑" w:cs="微软雅黑"/>
          <w:sz w:val="18"/>
          <w:szCs w:val="18"/>
        </w:rPr>
      </w:pPr>
      <w:r>
        <w:rPr>
          <w:rFonts w:hint="eastAsia" w:ascii="仿宋" w:hAnsi="仿宋" w:eastAsia="仿宋" w:cs="仿宋"/>
          <w:color w:val="1E1E1E"/>
        </w:rPr>
        <w:t>3、制定全县林业科技发展规划和计划;指导全县林业科学研究、重点工程建设质量监督和效益评估、林业标准化和林业科技信息网络建设;负责林业科技成果管理，指导林业科技成果转化和林业实用技术应用推广;承办重大林业科技攻关项目及科技产业化项目组织和申报，组织实施重大林业科技示范工程，编制全县林业科研和推广指南，交组织实施;指导全县林业科技基层机构、林业科技示范区的建设和管理;指导、协调林业对外交流和科技协作项目的实施。</w:t>
      </w:r>
    </w:p>
    <w:p>
      <w:pPr>
        <w:pStyle w:val="4"/>
        <w:widowControl/>
        <w:spacing w:beforeAutospacing="0" w:afterAutospacing="0" w:line="500" w:lineRule="atLeast"/>
        <w:ind w:firstLine="360"/>
        <w:jc w:val="both"/>
        <w:rPr>
          <w:rFonts w:ascii="微软雅黑" w:hAnsi="微软雅黑" w:eastAsia="微软雅黑" w:cs="微软雅黑"/>
          <w:sz w:val="18"/>
          <w:szCs w:val="18"/>
        </w:rPr>
      </w:pPr>
      <w:r>
        <w:rPr>
          <w:rFonts w:hint="eastAsia" w:ascii="仿宋" w:hAnsi="仿宋" w:eastAsia="仿宋" w:cs="仿宋"/>
          <w:color w:val="1E1E1E"/>
        </w:rPr>
        <w:t>（三）2019年度工作计划</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1E1E1E"/>
        </w:rPr>
        <w:t>1继续加强队伍建设，提高服务质量。队伍建设是服务单位生存和发展的基础，必须加强专业技术队伍建设，打造一支有一定实力的林业技术队伍。加强队伍组织建设、各项规章制度落实，严明工作纪律。继续鼓励在职人员积极参加技术培训，努力提高职工素质，不断提高业务能力。2抓好林下经济发展。一是深入推进林权流转和林权抵押贷款工作积极服务林农。二是继续大力发展林下经济。进一步建立好林权服务中收信息平台。及时解决林权服务中心林权流转不规范问题，面向公众在林权及林产业方面提供优质服务工作，尽快实现与金融部门、保险、评估机构、林业资源调查单位等建立良好信息化的沟通方式。3稳定林地承包关系，进一步明晰产权，加强林权权益保护，加强合同规范化管理；放活生产经营自主权，完善分类经营管理，放活商品林经营权，优化林业管理方式。4继续常抓不懈搞好扶贫、创卫工作；</w:t>
      </w:r>
    </w:p>
    <w:p>
      <w:pPr>
        <w:pStyle w:val="4"/>
        <w:widowControl/>
        <w:spacing w:beforeAutospacing="0" w:afterAutospacing="0" w:line="500" w:lineRule="atLeast"/>
        <w:jc w:val="both"/>
        <w:rPr>
          <w:rFonts w:ascii="微软雅黑" w:hAnsi="微软雅黑" w:eastAsia="微软雅黑" w:cs="微软雅黑"/>
          <w:sz w:val="18"/>
          <w:szCs w:val="18"/>
        </w:rPr>
      </w:pPr>
      <w:r>
        <w:rPr>
          <w:rFonts w:hint="eastAsia" w:ascii="仿宋" w:hAnsi="仿宋" w:eastAsia="仿宋" w:cs="仿宋"/>
          <w:color w:val="1E1E1E"/>
        </w:rPr>
        <w:t>5进一步健全林业科技推广组织体系，建立完善科技推广技术网络，争取我县栽培技术课题研究获得中央财政资金扶持。</w:t>
      </w:r>
    </w:p>
    <w:p>
      <w:pPr>
        <w:pStyle w:val="4"/>
        <w:widowControl/>
        <w:spacing w:beforeAutospacing="0" w:afterAutospacing="0" w:line="500" w:lineRule="atLeast"/>
        <w:ind w:firstLine="360"/>
        <w:jc w:val="both"/>
        <w:rPr>
          <w:rFonts w:ascii="微软雅黑" w:hAnsi="微软雅黑" w:eastAsia="微软雅黑" w:cs="微软雅黑"/>
          <w:sz w:val="18"/>
          <w:szCs w:val="18"/>
        </w:rPr>
      </w:pPr>
      <w:r>
        <w:rPr>
          <w:rFonts w:hint="eastAsia" w:ascii="仿宋" w:hAnsi="仿宋" w:eastAsia="仿宋" w:cs="仿宋"/>
          <w:color w:val="1E1E1E"/>
        </w:rPr>
        <w:t> 二、部门整体支出规模、使用方向和内容</w:t>
      </w:r>
    </w:p>
    <w:p>
      <w:pPr>
        <w:pStyle w:val="4"/>
        <w:widowControl/>
        <w:spacing w:beforeAutospacing="0" w:afterAutospacing="0" w:line="500" w:lineRule="atLeast"/>
        <w:ind w:left="448"/>
        <w:jc w:val="both"/>
        <w:rPr>
          <w:rFonts w:ascii="微软雅黑" w:hAnsi="微软雅黑" w:eastAsia="微软雅黑" w:cs="微软雅黑"/>
          <w:sz w:val="18"/>
          <w:szCs w:val="18"/>
        </w:rPr>
      </w:pPr>
      <w:r>
        <w:rPr>
          <w:rFonts w:hint="eastAsia" w:ascii="仿宋" w:hAnsi="仿宋" w:eastAsia="仿宋" w:cs="仿宋"/>
          <w:color w:val="1E1E1E"/>
        </w:rPr>
        <w:t>（一）年初预算收支情况</w:t>
      </w:r>
    </w:p>
    <w:p>
      <w:pPr>
        <w:pStyle w:val="4"/>
        <w:widowControl/>
        <w:spacing w:beforeAutospacing="0" w:afterAutospacing="0" w:line="500" w:lineRule="atLeast"/>
        <w:ind w:left="480" w:hanging="480"/>
        <w:jc w:val="both"/>
        <w:rPr>
          <w:rFonts w:ascii="微软雅黑" w:hAnsi="微软雅黑" w:eastAsia="微软雅黑" w:cs="微软雅黑"/>
          <w:sz w:val="18"/>
          <w:szCs w:val="18"/>
        </w:rPr>
      </w:pPr>
      <w:r>
        <w:rPr>
          <w:rFonts w:hint="eastAsia" w:ascii="仿宋" w:hAnsi="仿宋" w:eastAsia="仿宋" w:cs="仿宋"/>
          <w:color w:val="1E1E1E"/>
        </w:rPr>
        <w:t>1.年初预算收支</w:t>
      </w:r>
    </w:p>
    <w:tbl>
      <w:tblPr>
        <w:tblStyle w:val="5"/>
        <w:tblpPr w:vertAnchor="text"/>
        <w:tblW w:w="8850" w:type="dxa"/>
        <w:tblInd w:w="0" w:type="dxa"/>
        <w:tblLayout w:type="autofit"/>
        <w:tblCellMar>
          <w:top w:w="0" w:type="dxa"/>
          <w:left w:w="0" w:type="dxa"/>
          <w:bottom w:w="0" w:type="dxa"/>
          <w:right w:w="0" w:type="dxa"/>
        </w:tblCellMar>
      </w:tblPr>
      <w:tblGrid>
        <w:gridCol w:w="2309"/>
        <w:gridCol w:w="1800"/>
        <w:gridCol w:w="1558"/>
        <w:gridCol w:w="1343"/>
        <w:gridCol w:w="1840"/>
      </w:tblGrid>
      <w:tr>
        <w:tblPrEx>
          <w:tblCellMar>
            <w:top w:w="0" w:type="dxa"/>
            <w:left w:w="0" w:type="dxa"/>
            <w:bottom w:w="0" w:type="dxa"/>
            <w:right w:w="0" w:type="dxa"/>
          </w:tblCellMar>
        </w:tblPrEx>
        <w:trPr>
          <w:trHeight w:val="337" w:hRule="atLeast"/>
        </w:trPr>
        <w:tc>
          <w:tcPr>
            <w:tcW w:w="2311" w:type="dxa"/>
            <w:vMerge w:val="restart"/>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rPr>
              <w:t>预算项目</w:t>
            </w:r>
          </w:p>
        </w:tc>
        <w:tc>
          <w:tcPr>
            <w:tcW w:w="3360"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rPr>
              <w:t>预算金额</w:t>
            </w:r>
          </w:p>
        </w:tc>
        <w:tc>
          <w:tcPr>
            <w:tcW w:w="3185" w:type="dxa"/>
            <w:gridSpan w:val="2"/>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rPr>
              <w:t>较上年减少变化</w:t>
            </w:r>
          </w:p>
        </w:tc>
      </w:tr>
      <w:tr>
        <w:tblPrEx>
          <w:tblCellMar>
            <w:top w:w="0" w:type="dxa"/>
            <w:left w:w="0" w:type="dxa"/>
            <w:bottom w:w="0" w:type="dxa"/>
            <w:right w:w="0" w:type="dxa"/>
          </w:tblCellMar>
        </w:tblPrEx>
        <w:trPr>
          <w:trHeight w:val="397" w:hRule="atLeast"/>
        </w:trPr>
        <w:tc>
          <w:tcPr>
            <w:tcW w:w="2311" w:type="dxa"/>
            <w:vMerge w:val="continue"/>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rPr>
                <w:rFonts w:ascii="宋体"/>
                <w:sz w:val="24"/>
              </w:rPr>
            </w:pPr>
          </w:p>
        </w:tc>
        <w:tc>
          <w:tcPr>
            <w:tcW w:w="180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rPr>
              <w:t>2019年</w:t>
            </w:r>
          </w:p>
        </w:tc>
        <w:tc>
          <w:tcPr>
            <w:tcW w:w="1559"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rPr>
              <w:t>2018年</w:t>
            </w:r>
          </w:p>
        </w:tc>
        <w:tc>
          <w:tcPr>
            <w:tcW w:w="134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rPr>
              <w:t>金额</w:t>
            </w:r>
          </w:p>
        </w:tc>
        <w:tc>
          <w:tcPr>
            <w:tcW w:w="184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rPr>
              <w:t>比例</w:t>
            </w:r>
          </w:p>
        </w:tc>
      </w:tr>
      <w:tr>
        <w:tblPrEx>
          <w:tblCellMar>
            <w:top w:w="0" w:type="dxa"/>
            <w:left w:w="0" w:type="dxa"/>
            <w:bottom w:w="0" w:type="dxa"/>
            <w:right w:w="0" w:type="dxa"/>
          </w:tblCellMar>
        </w:tblPrEx>
        <w:trPr>
          <w:trHeight w:val="534" w:hRule="atLeast"/>
        </w:trPr>
        <w:tc>
          <w:tcPr>
            <w:tcW w:w="2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rPr>
                <w:rFonts w:ascii="微软雅黑" w:hAnsi="微软雅黑" w:eastAsia="微软雅黑" w:cs="微软雅黑"/>
                <w:sz w:val="18"/>
                <w:szCs w:val="18"/>
              </w:rPr>
            </w:pPr>
            <w:r>
              <w:rPr>
                <w:rFonts w:hint="eastAsia" w:ascii="仿宋" w:hAnsi="仿宋" w:eastAsia="仿宋" w:cs="仿宋"/>
              </w:rPr>
              <w:t>收入预算</w:t>
            </w:r>
          </w:p>
        </w:tc>
        <w:tc>
          <w:tcPr>
            <w:tcW w:w="180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right"/>
              <w:rPr>
                <w:rFonts w:ascii="微软雅黑" w:hAnsi="微软雅黑" w:eastAsia="微软雅黑" w:cs="微软雅黑"/>
                <w:sz w:val="18"/>
                <w:szCs w:val="18"/>
              </w:rPr>
            </w:pPr>
            <w:r>
              <w:rPr>
                <w:rFonts w:hint="eastAsia" w:ascii="仿宋" w:hAnsi="仿宋" w:eastAsia="仿宋" w:cs="仿宋"/>
              </w:rPr>
              <w:t>237.06</w:t>
            </w:r>
          </w:p>
        </w:tc>
        <w:tc>
          <w:tcPr>
            <w:tcW w:w="1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right"/>
              <w:rPr>
                <w:rFonts w:ascii="微软雅黑" w:hAnsi="微软雅黑" w:eastAsia="微软雅黑" w:cs="微软雅黑"/>
                <w:sz w:val="18"/>
                <w:szCs w:val="18"/>
              </w:rPr>
            </w:pPr>
            <w:r>
              <w:rPr>
                <w:rFonts w:hint="eastAsia" w:ascii="仿宋" w:hAnsi="仿宋" w:eastAsia="仿宋" w:cs="仿宋"/>
              </w:rPr>
              <w:t>195.14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center"/>
              <w:rPr>
                <w:rFonts w:ascii="微软雅黑" w:hAnsi="微软雅黑" w:eastAsia="微软雅黑" w:cs="微软雅黑"/>
                <w:sz w:val="18"/>
                <w:szCs w:val="18"/>
              </w:rPr>
            </w:pPr>
            <w:r>
              <w:rPr>
                <w:rFonts w:hint="eastAsia" w:ascii="仿宋" w:hAnsi="仿宋" w:eastAsia="仿宋" w:cs="仿宋"/>
              </w:rPr>
              <w:t>41.92</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rPr>
              <w:t>21.48%</w:t>
            </w:r>
          </w:p>
        </w:tc>
      </w:tr>
      <w:tr>
        <w:tblPrEx>
          <w:tblCellMar>
            <w:top w:w="0" w:type="dxa"/>
            <w:left w:w="0" w:type="dxa"/>
            <w:bottom w:w="0" w:type="dxa"/>
            <w:right w:w="0" w:type="dxa"/>
          </w:tblCellMar>
        </w:tblPrEx>
        <w:trPr>
          <w:trHeight w:val="534" w:hRule="atLeast"/>
        </w:trPr>
        <w:tc>
          <w:tcPr>
            <w:tcW w:w="2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rPr>
                <w:rFonts w:ascii="微软雅黑" w:hAnsi="微软雅黑" w:eastAsia="微软雅黑" w:cs="微软雅黑"/>
                <w:sz w:val="18"/>
                <w:szCs w:val="18"/>
              </w:rPr>
            </w:pPr>
            <w:r>
              <w:rPr>
                <w:rFonts w:hint="eastAsia" w:ascii="仿宋" w:hAnsi="仿宋" w:eastAsia="仿宋" w:cs="仿宋"/>
              </w:rPr>
              <w:t>其中：财政经费拨款</w:t>
            </w:r>
          </w:p>
        </w:tc>
        <w:tc>
          <w:tcPr>
            <w:tcW w:w="180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right"/>
              <w:rPr>
                <w:rFonts w:ascii="微软雅黑" w:hAnsi="微软雅黑" w:eastAsia="微软雅黑" w:cs="微软雅黑"/>
                <w:sz w:val="18"/>
                <w:szCs w:val="18"/>
              </w:rPr>
            </w:pPr>
            <w:r>
              <w:rPr>
                <w:rFonts w:hint="eastAsia" w:ascii="仿宋" w:hAnsi="仿宋" w:eastAsia="仿宋" w:cs="仿宋"/>
              </w:rPr>
              <w:t>237.06</w:t>
            </w:r>
          </w:p>
        </w:tc>
        <w:tc>
          <w:tcPr>
            <w:tcW w:w="1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right"/>
              <w:rPr>
                <w:rFonts w:ascii="微软雅黑" w:hAnsi="微软雅黑" w:eastAsia="微软雅黑" w:cs="微软雅黑"/>
                <w:sz w:val="18"/>
                <w:szCs w:val="18"/>
              </w:rPr>
            </w:pPr>
            <w:r>
              <w:rPr>
                <w:rFonts w:hint="eastAsia" w:ascii="仿宋" w:hAnsi="仿宋" w:eastAsia="仿宋" w:cs="仿宋"/>
              </w:rPr>
              <w:t>195.14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center"/>
              <w:rPr>
                <w:rFonts w:ascii="微软雅黑" w:hAnsi="微软雅黑" w:eastAsia="微软雅黑" w:cs="微软雅黑"/>
                <w:sz w:val="18"/>
                <w:szCs w:val="18"/>
              </w:rPr>
            </w:pPr>
            <w:r>
              <w:rPr>
                <w:rFonts w:hint="eastAsia" w:ascii="仿宋" w:hAnsi="仿宋" w:eastAsia="仿宋" w:cs="仿宋"/>
              </w:rPr>
              <w:t>41.92</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rPr>
              <w:t>21.48%</w:t>
            </w:r>
          </w:p>
        </w:tc>
      </w:tr>
      <w:tr>
        <w:tblPrEx>
          <w:tblCellMar>
            <w:top w:w="0" w:type="dxa"/>
            <w:left w:w="0" w:type="dxa"/>
            <w:bottom w:w="0" w:type="dxa"/>
            <w:right w:w="0" w:type="dxa"/>
          </w:tblCellMar>
        </w:tblPrEx>
        <w:trPr>
          <w:trHeight w:val="534" w:hRule="atLeast"/>
        </w:trPr>
        <w:tc>
          <w:tcPr>
            <w:tcW w:w="2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rPr>
                <w:rFonts w:ascii="微软雅黑" w:hAnsi="微软雅黑" w:eastAsia="微软雅黑" w:cs="微软雅黑"/>
                <w:sz w:val="18"/>
                <w:szCs w:val="18"/>
              </w:rPr>
            </w:pPr>
            <w:r>
              <w:rPr>
                <w:rFonts w:hint="eastAsia" w:ascii="仿宋" w:hAnsi="仿宋" w:eastAsia="仿宋" w:cs="仿宋"/>
              </w:rPr>
              <w:t>支出预算</w:t>
            </w:r>
          </w:p>
        </w:tc>
        <w:tc>
          <w:tcPr>
            <w:tcW w:w="180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right"/>
              <w:rPr>
                <w:rFonts w:ascii="微软雅黑" w:hAnsi="微软雅黑" w:eastAsia="微软雅黑" w:cs="微软雅黑"/>
                <w:sz w:val="18"/>
                <w:szCs w:val="18"/>
              </w:rPr>
            </w:pPr>
            <w:r>
              <w:rPr>
                <w:rFonts w:hint="eastAsia" w:ascii="仿宋" w:hAnsi="仿宋" w:eastAsia="仿宋" w:cs="仿宋"/>
                <w:color w:val="000000"/>
              </w:rPr>
              <w:t>237.06</w:t>
            </w:r>
          </w:p>
        </w:tc>
        <w:tc>
          <w:tcPr>
            <w:tcW w:w="1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right"/>
              <w:rPr>
                <w:rFonts w:ascii="微软雅黑" w:hAnsi="微软雅黑" w:eastAsia="微软雅黑" w:cs="微软雅黑"/>
                <w:sz w:val="18"/>
                <w:szCs w:val="18"/>
              </w:rPr>
            </w:pPr>
            <w:r>
              <w:rPr>
                <w:rFonts w:hint="eastAsia" w:ascii="仿宋" w:hAnsi="仿宋" w:eastAsia="仿宋" w:cs="仿宋"/>
                <w:color w:val="000000"/>
              </w:rPr>
              <w:t>195.14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center"/>
              <w:rPr>
                <w:rFonts w:ascii="微软雅黑" w:hAnsi="微软雅黑" w:eastAsia="微软雅黑" w:cs="微软雅黑"/>
                <w:sz w:val="18"/>
                <w:szCs w:val="18"/>
              </w:rPr>
            </w:pPr>
            <w:r>
              <w:rPr>
                <w:rFonts w:hint="eastAsia" w:ascii="仿宋" w:hAnsi="仿宋" w:eastAsia="仿宋" w:cs="仿宋"/>
                <w:color w:val="000000"/>
              </w:rPr>
              <w:t>41.92</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21.48%</w:t>
            </w:r>
          </w:p>
        </w:tc>
      </w:tr>
      <w:tr>
        <w:tblPrEx>
          <w:tblCellMar>
            <w:top w:w="0" w:type="dxa"/>
            <w:left w:w="0" w:type="dxa"/>
            <w:bottom w:w="0" w:type="dxa"/>
            <w:right w:w="0" w:type="dxa"/>
          </w:tblCellMar>
        </w:tblPrEx>
        <w:trPr>
          <w:trHeight w:val="534" w:hRule="atLeast"/>
        </w:trPr>
        <w:tc>
          <w:tcPr>
            <w:tcW w:w="2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both"/>
              <w:rPr>
                <w:rFonts w:ascii="微软雅黑" w:hAnsi="微软雅黑" w:eastAsia="微软雅黑" w:cs="微软雅黑"/>
                <w:sz w:val="18"/>
                <w:szCs w:val="18"/>
              </w:rPr>
            </w:pPr>
            <w:r>
              <w:rPr>
                <w:rFonts w:hint="eastAsia" w:ascii="仿宋" w:hAnsi="仿宋" w:eastAsia="仿宋" w:cs="仿宋"/>
              </w:rPr>
              <w:t>其中：基本支出</w:t>
            </w:r>
          </w:p>
        </w:tc>
        <w:tc>
          <w:tcPr>
            <w:tcW w:w="180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right"/>
              <w:rPr>
                <w:rFonts w:ascii="微软雅黑" w:hAnsi="微软雅黑" w:eastAsia="微软雅黑" w:cs="微软雅黑"/>
                <w:sz w:val="18"/>
                <w:szCs w:val="18"/>
              </w:rPr>
            </w:pPr>
            <w:r>
              <w:rPr>
                <w:rFonts w:hint="eastAsia" w:ascii="仿宋" w:hAnsi="仿宋" w:eastAsia="仿宋" w:cs="仿宋"/>
                <w:color w:val="000000"/>
              </w:rPr>
              <w:t>237.06</w:t>
            </w:r>
          </w:p>
        </w:tc>
        <w:tc>
          <w:tcPr>
            <w:tcW w:w="1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right"/>
              <w:rPr>
                <w:rFonts w:ascii="微软雅黑" w:hAnsi="微软雅黑" w:eastAsia="微软雅黑" w:cs="微软雅黑"/>
                <w:sz w:val="18"/>
                <w:szCs w:val="18"/>
              </w:rPr>
            </w:pPr>
            <w:r>
              <w:rPr>
                <w:rFonts w:hint="eastAsia" w:ascii="仿宋" w:hAnsi="仿宋" w:eastAsia="仿宋" w:cs="仿宋"/>
                <w:color w:val="000000"/>
              </w:rPr>
              <w:t>195.14</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center"/>
              <w:rPr>
                <w:rFonts w:ascii="微软雅黑" w:hAnsi="微软雅黑" w:eastAsia="微软雅黑" w:cs="微软雅黑"/>
                <w:sz w:val="18"/>
                <w:szCs w:val="18"/>
              </w:rPr>
            </w:pPr>
            <w:r>
              <w:rPr>
                <w:rFonts w:hint="eastAsia" w:ascii="仿宋" w:hAnsi="仿宋" w:eastAsia="仿宋" w:cs="仿宋"/>
                <w:color w:val="000000"/>
              </w:rPr>
              <w:t>41.92</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21.48%</w:t>
            </w:r>
          </w:p>
        </w:tc>
      </w:tr>
      <w:tr>
        <w:tblPrEx>
          <w:tblCellMar>
            <w:top w:w="0" w:type="dxa"/>
            <w:left w:w="0" w:type="dxa"/>
            <w:bottom w:w="0" w:type="dxa"/>
            <w:right w:w="0" w:type="dxa"/>
          </w:tblCellMar>
        </w:tblPrEx>
        <w:trPr>
          <w:trHeight w:val="512" w:hRule="atLeast"/>
        </w:trPr>
        <w:tc>
          <w:tcPr>
            <w:tcW w:w="23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rPr>
                <w:rFonts w:ascii="微软雅黑" w:hAnsi="微软雅黑" w:eastAsia="微软雅黑" w:cs="微软雅黑"/>
                <w:sz w:val="18"/>
                <w:szCs w:val="18"/>
              </w:rPr>
            </w:pPr>
            <w:r>
              <w:rPr>
                <w:rFonts w:hint="eastAsia" w:ascii="仿宋" w:hAnsi="仿宋" w:eastAsia="仿宋" w:cs="仿宋"/>
              </w:rPr>
              <w:t>其中：项目支出</w:t>
            </w:r>
          </w:p>
        </w:tc>
        <w:tc>
          <w:tcPr>
            <w:tcW w:w="180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right"/>
              <w:rPr>
                <w:rFonts w:ascii="微软雅黑" w:hAnsi="微软雅黑" w:eastAsia="微软雅黑" w:cs="微软雅黑"/>
                <w:sz w:val="18"/>
                <w:szCs w:val="18"/>
              </w:rPr>
            </w:pPr>
            <w:r>
              <w:rPr>
                <w:rFonts w:hint="eastAsia" w:ascii="仿宋" w:hAnsi="仿宋" w:eastAsia="仿宋" w:cs="仿宋"/>
              </w:rPr>
              <w:t> </w:t>
            </w:r>
          </w:p>
        </w:tc>
        <w:tc>
          <w:tcPr>
            <w:tcW w:w="15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right"/>
              <w:rPr>
                <w:rFonts w:ascii="微软雅黑" w:hAnsi="微软雅黑" w:eastAsia="微软雅黑" w:cs="微软雅黑"/>
                <w:sz w:val="18"/>
                <w:szCs w:val="18"/>
              </w:rPr>
            </w:pPr>
            <w:r>
              <w:rPr>
                <w:rFonts w:hint="eastAsia" w:ascii="仿宋" w:hAnsi="仿宋" w:eastAsia="仿宋" w:cs="仿宋"/>
              </w:rPr>
              <w:t> </w:t>
            </w:r>
          </w:p>
        </w:tc>
        <w:tc>
          <w:tcPr>
            <w:tcW w:w="13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right="126" w:hanging="450"/>
              <w:jc w:val="center"/>
              <w:rPr>
                <w:rFonts w:ascii="微软雅黑" w:hAnsi="微软雅黑" w:eastAsia="微软雅黑" w:cs="微软雅黑"/>
                <w:sz w:val="18"/>
                <w:szCs w:val="18"/>
              </w:rPr>
            </w:pPr>
            <w:r>
              <w:rPr>
                <w:rFonts w:hint="eastAsia" w:ascii="仿宋" w:hAnsi="仿宋" w:eastAsia="仿宋" w:cs="仿宋"/>
              </w:rPr>
              <w:t> </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rPr>
              <w:t> </w:t>
            </w:r>
          </w:p>
        </w:tc>
      </w:tr>
    </w:tbl>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1E1E1E"/>
        </w:rPr>
        <w:t>根据年初预算批复，收入预算金额为237.06万元，与上年比较，本年预算总额增加21.48%,其原因为人员工资福利增加。</w:t>
      </w:r>
    </w:p>
    <w:p>
      <w:pPr>
        <w:pStyle w:val="4"/>
        <w:widowControl/>
        <w:spacing w:beforeAutospacing="0" w:afterAutospacing="0" w:line="500" w:lineRule="atLeast"/>
        <w:ind w:left="448" w:firstLine="240"/>
        <w:jc w:val="both"/>
        <w:rPr>
          <w:rFonts w:ascii="微软雅黑" w:hAnsi="微软雅黑" w:eastAsia="微软雅黑" w:cs="微软雅黑"/>
          <w:sz w:val="18"/>
          <w:szCs w:val="18"/>
        </w:rPr>
      </w:pPr>
      <w:r>
        <w:rPr>
          <w:rFonts w:hint="eastAsia" w:ascii="仿宋" w:hAnsi="仿宋" w:eastAsia="仿宋" w:cs="仿宋"/>
          <w:color w:val="1E1E1E"/>
        </w:rPr>
        <w:t>2.财</w:t>
      </w:r>
      <w:r>
        <w:rPr>
          <w:rFonts w:hint="eastAsia" w:ascii="仿宋" w:hAnsi="仿宋" w:eastAsia="仿宋" w:cs="仿宋"/>
          <w:color w:val="000000"/>
        </w:rPr>
        <w:t>政预算整体支出使用范围、方向和内容</w:t>
      </w:r>
    </w:p>
    <w:tbl>
      <w:tblPr>
        <w:tblStyle w:val="5"/>
        <w:tblW w:w="0" w:type="auto"/>
        <w:jc w:val="center"/>
        <w:tblLayout w:type="autofit"/>
        <w:tblCellMar>
          <w:top w:w="0" w:type="dxa"/>
          <w:left w:w="0" w:type="dxa"/>
          <w:bottom w:w="0" w:type="dxa"/>
          <w:right w:w="0" w:type="dxa"/>
        </w:tblCellMar>
      </w:tblPr>
      <w:tblGrid>
        <w:gridCol w:w="3105"/>
        <w:gridCol w:w="1735"/>
        <w:gridCol w:w="1324"/>
        <w:gridCol w:w="2358"/>
      </w:tblGrid>
      <w:tr>
        <w:tblPrEx>
          <w:tblCellMar>
            <w:top w:w="0" w:type="dxa"/>
            <w:left w:w="0" w:type="dxa"/>
            <w:bottom w:w="0" w:type="dxa"/>
            <w:right w:w="0" w:type="dxa"/>
          </w:tblCellMar>
        </w:tblPrEx>
        <w:trPr>
          <w:trHeight w:val="276" w:hRule="atLeast"/>
          <w:jc w:val="center"/>
        </w:trPr>
        <w:tc>
          <w:tcPr>
            <w:tcW w:w="3140"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支出项目</w:t>
            </w:r>
          </w:p>
        </w:tc>
        <w:tc>
          <w:tcPr>
            <w:tcW w:w="174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基本支出</w:t>
            </w:r>
          </w:p>
        </w:tc>
        <w:tc>
          <w:tcPr>
            <w:tcW w:w="1331"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项目支出</w:t>
            </w:r>
          </w:p>
        </w:tc>
        <w:tc>
          <w:tcPr>
            <w:tcW w:w="2379"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合计</w:t>
            </w:r>
          </w:p>
        </w:tc>
      </w:tr>
      <w:tr>
        <w:tblPrEx>
          <w:tblCellMar>
            <w:top w:w="0" w:type="dxa"/>
            <w:left w:w="0" w:type="dxa"/>
            <w:bottom w:w="0" w:type="dxa"/>
            <w:right w:w="0" w:type="dxa"/>
          </w:tblCellMar>
        </w:tblPrEx>
        <w:trPr>
          <w:trHeight w:val="437" w:hRule="atLeast"/>
          <w:jc w:val="center"/>
        </w:trPr>
        <w:tc>
          <w:tcPr>
            <w:tcW w:w="31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工资福利支出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119.76</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119.76</w:t>
            </w:r>
          </w:p>
        </w:tc>
      </w:tr>
      <w:tr>
        <w:tblPrEx>
          <w:tblCellMar>
            <w:top w:w="0" w:type="dxa"/>
            <w:left w:w="0" w:type="dxa"/>
            <w:bottom w:w="0" w:type="dxa"/>
            <w:right w:w="0" w:type="dxa"/>
          </w:tblCellMar>
        </w:tblPrEx>
        <w:trPr>
          <w:trHeight w:val="437" w:hRule="atLeast"/>
          <w:jc w:val="center"/>
        </w:trPr>
        <w:tc>
          <w:tcPr>
            <w:tcW w:w="31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商品和服务支出</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117.3</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117.3</w:t>
            </w:r>
          </w:p>
        </w:tc>
      </w:tr>
      <w:tr>
        <w:tblPrEx>
          <w:tblCellMar>
            <w:top w:w="0" w:type="dxa"/>
            <w:left w:w="0" w:type="dxa"/>
            <w:bottom w:w="0" w:type="dxa"/>
            <w:right w:w="0" w:type="dxa"/>
          </w:tblCellMar>
        </w:tblPrEx>
        <w:trPr>
          <w:trHeight w:val="437" w:hRule="atLeast"/>
          <w:jc w:val="center"/>
        </w:trPr>
        <w:tc>
          <w:tcPr>
            <w:tcW w:w="31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对个人和家庭的补助</w:t>
            </w:r>
          </w:p>
        </w:tc>
        <w:tc>
          <w:tcPr>
            <w:tcW w:w="174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0</w:t>
            </w:r>
          </w:p>
        </w:tc>
        <w:tc>
          <w:tcPr>
            <w:tcW w:w="133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23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0</w:t>
            </w:r>
          </w:p>
        </w:tc>
      </w:tr>
      <w:tr>
        <w:tblPrEx>
          <w:tblCellMar>
            <w:top w:w="0" w:type="dxa"/>
            <w:left w:w="0" w:type="dxa"/>
            <w:bottom w:w="0" w:type="dxa"/>
            <w:right w:w="0" w:type="dxa"/>
          </w:tblCellMar>
        </w:tblPrEx>
        <w:trPr>
          <w:trHeight w:val="467" w:hRule="atLeast"/>
          <w:jc w:val="center"/>
        </w:trPr>
        <w:tc>
          <w:tcPr>
            <w:tcW w:w="3140"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合</w:t>
            </w:r>
            <w:r>
              <w:rPr>
                <w:rFonts w:hint="eastAsia" w:ascii="宋体" w:hAnsi="宋体" w:eastAsia="宋体" w:cs="宋体"/>
                <w:color w:val="000000"/>
              </w:rPr>
              <w:t> </w:t>
            </w:r>
            <w:r>
              <w:rPr>
                <w:rFonts w:hint="eastAsia" w:ascii="仿宋" w:hAnsi="仿宋" w:eastAsia="仿宋" w:cs="仿宋"/>
                <w:color w:val="000000"/>
              </w:rPr>
              <w:t>计</w:t>
            </w:r>
          </w:p>
        </w:tc>
        <w:tc>
          <w:tcPr>
            <w:tcW w:w="1748"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237.06</w:t>
            </w:r>
          </w:p>
        </w:tc>
        <w:tc>
          <w:tcPr>
            <w:tcW w:w="1331"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2379"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237.06</w:t>
            </w:r>
          </w:p>
        </w:tc>
      </w:tr>
    </w:tbl>
    <w:p>
      <w:pPr>
        <w:pStyle w:val="4"/>
        <w:widowControl/>
        <w:spacing w:beforeAutospacing="0" w:afterAutospacing="0" w:line="500" w:lineRule="atLeast"/>
        <w:ind w:left="448" w:firstLine="120"/>
        <w:jc w:val="both"/>
        <w:rPr>
          <w:rFonts w:ascii="微软雅黑" w:hAnsi="微软雅黑" w:eastAsia="微软雅黑" w:cs="微软雅黑"/>
          <w:sz w:val="18"/>
          <w:szCs w:val="18"/>
        </w:rPr>
      </w:pPr>
      <w:r>
        <w:rPr>
          <w:rFonts w:hint="eastAsia" w:ascii="仿宋" w:hAnsi="仿宋" w:eastAsia="仿宋" w:cs="仿宋"/>
          <w:color w:val="000000"/>
        </w:rPr>
        <w:t>（二）年度收支决算情况</w:t>
      </w:r>
    </w:p>
    <w:p>
      <w:pPr>
        <w:pStyle w:val="4"/>
        <w:widowControl/>
        <w:spacing w:beforeAutospacing="0" w:afterAutospacing="0" w:line="500" w:lineRule="atLeast"/>
        <w:ind w:left="448" w:firstLine="240"/>
        <w:jc w:val="both"/>
        <w:rPr>
          <w:rFonts w:ascii="微软雅黑" w:hAnsi="微软雅黑" w:eastAsia="微软雅黑" w:cs="微软雅黑"/>
          <w:sz w:val="18"/>
          <w:szCs w:val="18"/>
        </w:rPr>
      </w:pPr>
      <w:r>
        <w:rPr>
          <w:rFonts w:hint="eastAsia" w:ascii="仿宋" w:hAnsi="仿宋" w:eastAsia="仿宋" w:cs="仿宋"/>
          <w:color w:val="000000"/>
        </w:rPr>
        <w:t>1.年度收入决算</w:t>
      </w:r>
    </w:p>
    <w:p>
      <w:pPr>
        <w:pStyle w:val="4"/>
        <w:widowControl/>
        <w:spacing w:beforeAutospacing="0" w:afterAutospacing="0" w:line="500" w:lineRule="atLeast"/>
        <w:jc w:val="both"/>
        <w:rPr>
          <w:rFonts w:ascii="微软雅黑" w:hAnsi="微软雅黑" w:eastAsia="微软雅黑" w:cs="微软雅黑"/>
          <w:sz w:val="18"/>
          <w:szCs w:val="18"/>
        </w:rPr>
      </w:pPr>
      <w:r>
        <w:rPr>
          <w:rFonts w:hint="eastAsia" w:ascii="仿宋" w:hAnsi="仿宋" w:eastAsia="仿宋" w:cs="仿宋"/>
          <w:color w:val="000000"/>
        </w:rPr>
        <w:t> </w:t>
      </w:r>
    </w:p>
    <w:tbl>
      <w:tblPr>
        <w:tblStyle w:val="5"/>
        <w:tblW w:w="0" w:type="auto"/>
        <w:jc w:val="center"/>
        <w:tblLayout w:type="autofit"/>
        <w:tblCellMar>
          <w:top w:w="0" w:type="dxa"/>
          <w:left w:w="0" w:type="dxa"/>
          <w:bottom w:w="0" w:type="dxa"/>
          <w:right w:w="0" w:type="dxa"/>
        </w:tblCellMar>
      </w:tblPr>
      <w:tblGrid>
        <w:gridCol w:w="2441"/>
        <w:gridCol w:w="1693"/>
        <w:gridCol w:w="1820"/>
        <w:gridCol w:w="2504"/>
      </w:tblGrid>
      <w:tr>
        <w:tblPrEx>
          <w:tblCellMar>
            <w:top w:w="0" w:type="dxa"/>
            <w:left w:w="0" w:type="dxa"/>
            <w:bottom w:w="0" w:type="dxa"/>
            <w:right w:w="0" w:type="dxa"/>
          </w:tblCellMar>
        </w:tblPrEx>
        <w:trPr>
          <w:trHeight w:val="564" w:hRule="atLeast"/>
          <w:jc w:val="center"/>
        </w:trPr>
        <w:tc>
          <w:tcPr>
            <w:tcW w:w="2441"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收入来源</w:t>
            </w:r>
          </w:p>
        </w:tc>
        <w:tc>
          <w:tcPr>
            <w:tcW w:w="1693"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预算金额</w:t>
            </w:r>
          </w:p>
        </w:tc>
        <w:tc>
          <w:tcPr>
            <w:tcW w:w="1820"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决算金额</w:t>
            </w:r>
          </w:p>
        </w:tc>
        <w:tc>
          <w:tcPr>
            <w:tcW w:w="25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差额</w:t>
            </w:r>
          </w:p>
        </w:tc>
      </w:tr>
      <w:tr>
        <w:tblPrEx>
          <w:tblCellMar>
            <w:top w:w="0" w:type="dxa"/>
            <w:left w:w="0" w:type="dxa"/>
            <w:bottom w:w="0" w:type="dxa"/>
            <w:right w:w="0" w:type="dxa"/>
          </w:tblCellMar>
        </w:tblPrEx>
        <w:trPr>
          <w:trHeight w:val="599" w:hRule="atLeast"/>
          <w:jc w:val="center"/>
        </w:trPr>
        <w:tc>
          <w:tcPr>
            <w:tcW w:w="244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财政拨款收入</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237.06</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236.8</w:t>
            </w:r>
          </w:p>
        </w:tc>
        <w:tc>
          <w:tcPr>
            <w:tcW w:w="25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-0.26</w:t>
            </w:r>
          </w:p>
        </w:tc>
      </w:tr>
      <w:tr>
        <w:tblPrEx>
          <w:tblCellMar>
            <w:top w:w="0" w:type="dxa"/>
            <w:left w:w="0" w:type="dxa"/>
            <w:bottom w:w="0" w:type="dxa"/>
            <w:right w:w="0" w:type="dxa"/>
          </w:tblCellMar>
        </w:tblPrEx>
        <w:trPr>
          <w:trHeight w:val="599" w:hRule="atLeast"/>
          <w:jc w:val="center"/>
        </w:trPr>
        <w:tc>
          <w:tcPr>
            <w:tcW w:w="244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169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18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25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r>
    </w:tbl>
    <w:p>
      <w:pPr>
        <w:pStyle w:val="4"/>
        <w:widowControl/>
        <w:spacing w:beforeAutospacing="0" w:afterAutospacing="0" w:line="500" w:lineRule="atLeast"/>
        <w:ind w:left="450" w:hanging="450"/>
        <w:jc w:val="both"/>
        <w:rPr>
          <w:rFonts w:ascii="微软雅黑" w:hAnsi="微软雅黑" w:eastAsia="微软雅黑" w:cs="微软雅黑"/>
          <w:sz w:val="18"/>
          <w:szCs w:val="18"/>
        </w:rPr>
      </w:pPr>
      <w:r>
        <w:rPr>
          <w:rFonts w:hint="eastAsia" w:ascii="仿宋" w:hAnsi="仿宋" w:eastAsia="仿宋" w:cs="仿宋"/>
          <w:color w:val="000000"/>
        </w:rPr>
        <w:t>    本年度决算金额比预算金额减少0.26万元，其原因：（一）</w:t>
      </w:r>
    </w:p>
    <w:p>
      <w:pPr>
        <w:pStyle w:val="4"/>
        <w:widowControl/>
        <w:spacing w:beforeAutospacing="0" w:afterAutospacing="0" w:line="500" w:lineRule="atLeast"/>
        <w:jc w:val="both"/>
        <w:rPr>
          <w:rFonts w:ascii="微软雅黑" w:hAnsi="微软雅黑" w:eastAsia="微软雅黑" w:cs="微软雅黑"/>
          <w:sz w:val="18"/>
          <w:szCs w:val="18"/>
        </w:rPr>
      </w:pPr>
      <w:r>
        <w:rPr>
          <w:rFonts w:hint="eastAsia" w:ascii="仿宋" w:hAnsi="仿宋" w:eastAsia="仿宋" w:cs="仿宋"/>
          <w:color w:val="000000"/>
        </w:rPr>
        <w:t>由于单位压缩节约工作经费0.26万元。</w:t>
      </w:r>
    </w:p>
    <w:p>
      <w:pPr>
        <w:pStyle w:val="4"/>
        <w:widowControl/>
        <w:spacing w:beforeAutospacing="0" w:afterAutospacing="0" w:line="500" w:lineRule="atLeast"/>
        <w:ind w:left="450" w:hanging="450"/>
        <w:jc w:val="both"/>
        <w:rPr>
          <w:rFonts w:ascii="微软雅黑" w:hAnsi="微软雅黑" w:eastAsia="微软雅黑" w:cs="微软雅黑"/>
          <w:sz w:val="18"/>
          <w:szCs w:val="18"/>
        </w:rPr>
      </w:pPr>
      <w:r>
        <w:rPr>
          <w:rFonts w:hint="eastAsia" w:ascii="仿宋" w:hAnsi="仿宋" w:eastAsia="仿宋" w:cs="仿宋"/>
          <w:color w:val="000000"/>
        </w:rPr>
        <w:t>2.年度预算支出决算及结余</w:t>
      </w:r>
    </w:p>
    <w:tbl>
      <w:tblPr>
        <w:tblStyle w:val="5"/>
        <w:tblW w:w="8505" w:type="dxa"/>
        <w:tblInd w:w="0" w:type="dxa"/>
        <w:tblLayout w:type="autofit"/>
        <w:tblCellMar>
          <w:top w:w="0" w:type="dxa"/>
          <w:left w:w="0" w:type="dxa"/>
          <w:bottom w:w="0" w:type="dxa"/>
          <w:right w:w="0" w:type="dxa"/>
        </w:tblCellMar>
      </w:tblPr>
      <w:tblGrid>
        <w:gridCol w:w="1865"/>
        <w:gridCol w:w="2269"/>
        <w:gridCol w:w="1983"/>
        <w:gridCol w:w="2388"/>
      </w:tblGrid>
      <w:tr>
        <w:tblPrEx>
          <w:tblCellMar>
            <w:top w:w="0" w:type="dxa"/>
            <w:left w:w="0" w:type="dxa"/>
            <w:bottom w:w="0" w:type="dxa"/>
            <w:right w:w="0" w:type="dxa"/>
          </w:tblCellMar>
        </w:tblPrEx>
        <w:trPr>
          <w:trHeight w:val="517" w:hRule="atLeast"/>
        </w:trPr>
        <w:tc>
          <w:tcPr>
            <w:tcW w:w="186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预算支出类别</w:t>
            </w:r>
          </w:p>
        </w:tc>
        <w:tc>
          <w:tcPr>
            <w:tcW w:w="227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预算金额</w:t>
            </w:r>
          </w:p>
        </w:tc>
        <w:tc>
          <w:tcPr>
            <w:tcW w:w="1984"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决算金额</w:t>
            </w:r>
          </w:p>
        </w:tc>
        <w:tc>
          <w:tcPr>
            <w:tcW w:w="238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增减金额</w:t>
            </w:r>
          </w:p>
        </w:tc>
      </w:tr>
      <w:tr>
        <w:tblPrEx>
          <w:tblCellMar>
            <w:top w:w="0" w:type="dxa"/>
            <w:left w:w="0" w:type="dxa"/>
            <w:bottom w:w="0" w:type="dxa"/>
            <w:right w:w="0" w:type="dxa"/>
          </w:tblCellMar>
        </w:tblPrEx>
        <w:trPr>
          <w:trHeight w:val="523" w:hRule="atLeast"/>
        </w:trPr>
        <w:tc>
          <w:tcPr>
            <w:tcW w:w="186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基本支出</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237.06</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jc w:val="center"/>
              <w:textAlignment w:val="center"/>
              <w:rPr>
                <w:rFonts w:ascii="微软雅黑" w:hAnsi="微软雅黑" w:eastAsia="微软雅黑" w:cs="微软雅黑"/>
                <w:sz w:val="18"/>
                <w:szCs w:val="18"/>
              </w:rPr>
            </w:pPr>
            <w:r>
              <w:rPr>
                <w:rFonts w:hint="eastAsia" w:ascii="仿宋" w:hAnsi="仿宋" w:eastAsia="仿宋" w:cs="仿宋"/>
                <w:color w:val="000000"/>
              </w:rPr>
              <w:t>236.8</w:t>
            </w:r>
          </w:p>
        </w:tc>
        <w:tc>
          <w:tcPr>
            <w:tcW w:w="238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-0.26</w:t>
            </w:r>
          </w:p>
        </w:tc>
      </w:tr>
      <w:tr>
        <w:tblPrEx>
          <w:tblCellMar>
            <w:top w:w="0" w:type="dxa"/>
            <w:left w:w="0" w:type="dxa"/>
            <w:bottom w:w="0" w:type="dxa"/>
            <w:right w:w="0" w:type="dxa"/>
          </w:tblCellMar>
        </w:tblPrEx>
        <w:trPr>
          <w:trHeight w:val="523" w:hRule="atLeast"/>
        </w:trPr>
        <w:tc>
          <w:tcPr>
            <w:tcW w:w="186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项目支出</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238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r>
      <w:tr>
        <w:tblPrEx>
          <w:tblCellMar>
            <w:top w:w="0" w:type="dxa"/>
            <w:left w:w="0" w:type="dxa"/>
            <w:bottom w:w="0" w:type="dxa"/>
            <w:right w:w="0" w:type="dxa"/>
          </w:tblCellMar>
        </w:tblPrEx>
        <w:trPr>
          <w:trHeight w:val="523" w:hRule="atLeast"/>
        </w:trPr>
        <w:tc>
          <w:tcPr>
            <w:tcW w:w="186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198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238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r>
      <w:tr>
        <w:tblPrEx>
          <w:tblCellMar>
            <w:top w:w="0" w:type="dxa"/>
            <w:left w:w="0" w:type="dxa"/>
            <w:bottom w:w="0" w:type="dxa"/>
            <w:right w:w="0" w:type="dxa"/>
          </w:tblCellMar>
        </w:tblPrEx>
        <w:trPr>
          <w:trHeight w:val="400" w:hRule="atLeast"/>
        </w:trPr>
        <w:tc>
          <w:tcPr>
            <w:tcW w:w="186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小计</w:t>
            </w:r>
          </w:p>
        </w:tc>
        <w:tc>
          <w:tcPr>
            <w:tcW w:w="227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237.06</w:t>
            </w:r>
          </w:p>
        </w:tc>
        <w:tc>
          <w:tcPr>
            <w:tcW w:w="1984"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236.8</w:t>
            </w:r>
          </w:p>
        </w:tc>
        <w:tc>
          <w:tcPr>
            <w:tcW w:w="238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-0.26</w:t>
            </w:r>
          </w:p>
        </w:tc>
      </w:tr>
    </w:tbl>
    <w:p>
      <w:pPr>
        <w:pStyle w:val="4"/>
        <w:widowControl/>
        <w:spacing w:beforeAutospacing="0" w:afterAutospacing="0" w:line="500" w:lineRule="atLeast"/>
        <w:ind w:left="450" w:hanging="450"/>
        <w:jc w:val="both"/>
        <w:rPr>
          <w:rFonts w:ascii="微软雅黑" w:hAnsi="微软雅黑" w:eastAsia="微软雅黑" w:cs="微软雅黑"/>
          <w:sz w:val="18"/>
          <w:szCs w:val="18"/>
        </w:rPr>
      </w:pPr>
      <w:r>
        <w:rPr>
          <w:rFonts w:hint="eastAsia" w:ascii="仿宋" w:hAnsi="仿宋" w:eastAsia="仿宋" w:cs="仿宋"/>
          <w:color w:val="000000"/>
        </w:rPr>
        <w:t>本年度决算金额比预算金额减少0.26万元，其原因：（一）</w:t>
      </w:r>
    </w:p>
    <w:p>
      <w:pPr>
        <w:pStyle w:val="4"/>
        <w:widowControl/>
        <w:spacing w:beforeAutospacing="0" w:afterAutospacing="0" w:line="500" w:lineRule="atLeast"/>
        <w:jc w:val="both"/>
        <w:rPr>
          <w:rFonts w:ascii="微软雅黑" w:hAnsi="微软雅黑" w:eastAsia="微软雅黑" w:cs="微软雅黑"/>
          <w:sz w:val="18"/>
          <w:szCs w:val="18"/>
        </w:rPr>
      </w:pPr>
      <w:r>
        <w:rPr>
          <w:rFonts w:hint="eastAsia" w:ascii="仿宋" w:hAnsi="仿宋" w:eastAsia="仿宋" w:cs="仿宋"/>
          <w:color w:val="000000"/>
        </w:rPr>
        <w:t>由于单位压缩节约工作经费0.26万元。（二）年初预算安排的项目经费，实际执行中用项目经费弥补基本经费支出不足。</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000000"/>
        </w:rPr>
        <w:t>三、部门整体支出管理及使用情况</w:t>
      </w:r>
    </w:p>
    <w:p>
      <w:pPr>
        <w:pStyle w:val="2"/>
        <w:widowControl/>
        <w:spacing w:beforeAutospacing="0" w:afterAutospacing="0" w:line="500" w:lineRule="atLeast"/>
        <w:ind w:firstLine="360"/>
        <w:jc w:val="both"/>
        <w:rPr>
          <w:rFonts w:hint="default"/>
        </w:rPr>
      </w:pPr>
      <w:r>
        <w:rPr>
          <w:rFonts w:ascii="仿宋" w:hAnsi="仿宋" w:eastAsia="仿宋" w:cs="仿宋"/>
          <w:b w:val="0"/>
          <w:color w:val="000000"/>
          <w:sz w:val="24"/>
          <w:szCs w:val="24"/>
        </w:rPr>
        <w:t>（一）基本支出管理</w:t>
      </w:r>
    </w:p>
    <w:p>
      <w:pPr>
        <w:pStyle w:val="3"/>
        <w:widowControl/>
        <w:spacing w:beforeAutospacing="0" w:afterAutospacing="0" w:line="500" w:lineRule="atLeast"/>
        <w:ind w:firstLine="480"/>
        <w:rPr>
          <w:rFonts w:hint="default"/>
        </w:rPr>
      </w:pPr>
      <w:r>
        <w:rPr>
          <w:rFonts w:ascii="仿宋" w:hAnsi="仿宋" w:eastAsia="仿宋" w:cs="仿宋"/>
          <w:b w:val="0"/>
          <w:color w:val="000000"/>
          <w:sz w:val="24"/>
          <w:szCs w:val="24"/>
        </w:rPr>
        <w:t>1、基本支出总额使用和管理</w:t>
      </w:r>
    </w:p>
    <w:tbl>
      <w:tblPr>
        <w:tblStyle w:val="5"/>
        <w:tblW w:w="0" w:type="auto"/>
        <w:jc w:val="center"/>
        <w:tblLayout w:type="autofit"/>
        <w:tblCellMar>
          <w:top w:w="0" w:type="dxa"/>
          <w:left w:w="0" w:type="dxa"/>
          <w:bottom w:w="0" w:type="dxa"/>
          <w:right w:w="0" w:type="dxa"/>
        </w:tblCellMar>
      </w:tblPr>
      <w:tblGrid>
        <w:gridCol w:w="2392"/>
        <w:gridCol w:w="1666"/>
        <w:gridCol w:w="1604"/>
        <w:gridCol w:w="2737"/>
      </w:tblGrid>
      <w:tr>
        <w:tblPrEx>
          <w:tblCellMar>
            <w:top w:w="0" w:type="dxa"/>
            <w:left w:w="0" w:type="dxa"/>
            <w:bottom w:w="0" w:type="dxa"/>
            <w:right w:w="0" w:type="dxa"/>
          </w:tblCellMar>
        </w:tblPrEx>
        <w:trPr>
          <w:trHeight w:val="401" w:hRule="atLeast"/>
          <w:jc w:val="center"/>
        </w:trPr>
        <w:tc>
          <w:tcPr>
            <w:tcW w:w="2392"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宋体" w:hAnsi="宋体" w:eastAsia="宋体" w:cs="宋体"/>
                <w:color w:val="000000"/>
              </w:rPr>
              <w:t> </w:t>
            </w:r>
            <w:r>
              <w:rPr>
                <w:rFonts w:hint="eastAsia" w:ascii="仿宋" w:hAnsi="仿宋" w:eastAsia="仿宋" w:cs="仿宋"/>
                <w:color w:val="000000"/>
              </w:rPr>
              <w:t>预决算支出项目</w:t>
            </w:r>
          </w:p>
        </w:tc>
        <w:tc>
          <w:tcPr>
            <w:tcW w:w="1666"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预算金额</w:t>
            </w:r>
          </w:p>
        </w:tc>
        <w:tc>
          <w:tcPr>
            <w:tcW w:w="1604"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决算金额</w:t>
            </w:r>
          </w:p>
        </w:tc>
        <w:tc>
          <w:tcPr>
            <w:tcW w:w="27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节约/超支金额</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工资福利支出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119.76</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127.62</w:t>
            </w:r>
          </w:p>
        </w:tc>
        <w:tc>
          <w:tcPr>
            <w:tcW w:w="27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7.86</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商品和服务支出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117.3</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107.77</w:t>
            </w:r>
          </w:p>
        </w:tc>
        <w:tc>
          <w:tcPr>
            <w:tcW w:w="27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-9.53</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对个人和家庭的补助</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0</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1.41</w:t>
            </w:r>
          </w:p>
        </w:tc>
        <w:tc>
          <w:tcPr>
            <w:tcW w:w="27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1.41</w:t>
            </w:r>
          </w:p>
        </w:tc>
      </w:tr>
      <w:tr>
        <w:tblPrEx>
          <w:tblCellMar>
            <w:top w:w="0" w:type="dxa"/>
            <w:left w:w="0" w:type="dxa"/>
            <w:bottom w:w="0" w:type="dxa"/>
            <w:right w:w="0" w:type="dxa"/>
          </w:tblCellMar>
        </w:tblPrEx>
        <w:trPr>
          <w:trHeight w:val="401" w:hRule="atLeast"/>
          <w:jc w:val="center"/>
        </w:trPr>
        <w:tc>
          <w:tcPr>
            <w:tcW w:w="23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其他资本性支出</w:t>
            </w:r>
          </w:p>
        </w:tc>
        <w:tc>
          <w:tcPr>
            <w:tcW w:w="166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1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c>
          <w:tcPr>
            <w:tcW w:w="27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 </w:t>
            </w:r>
          </w:p>
        </w:tc>
      </w:tr>
      <w:tr>
        <w:tblPrEx>
          <w:tblCellMar>
            <w:top w:w="0" w:type="dxa"/>
            <w:left w:w="0" w:type="dxa"/>
            <w:bottom w:w="0" w:type="dxa"/>
            <w:right w:w="0" w:type="dxa"/>
          </w:tblCellMar>
        </w:tblPrEx>
        <w:trPr>
          <w:trHeight w:val="495" w:hRule="atLeast"/>
          <w:jc w:val="center"/>
        </w:trPr>
        <w:tc>
          <w:tcPr>
            <w:tcW w:w="2392" w:type="dxa"/>
            <w:tcBorders>
              <w:top w:val="nil"/>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合计</w:t>
            </w:r>
          </w:p>
        </w:tc>
        <w:tc>
          <w:tcPr>
            <w:tcW w:w="1666"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237.06</w:t>
            </w:r>
          </w:p>
        </w:tc>
        <w:tc>
          <w:tcPr>
            <w:tcW w:w="1604"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236.8</w:t>
            </w:r>
          </w:p>
        </w:tc>
        <w:tc>
          <w:tcPr>
            <w:tcW w:w="2737" w:type="dxa"/>
            <w:tcBorders>
              <w:top w:val="nil"/>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textAlignment w:val="center"/>
              <w:rPr>
                <w:rFonts w:ascii="微软雅黑" w:hAnsi="微软雅黑" w:eastAsia="微软雅黑" w:cs="微软雅黑"/>
                <w:sz w:val="18"/>
                <w:szCs w:val="18"/>
              </w:rPr>
            </w:pPr>
            <w:r>
              <w:rPr>
                <w:rFonts w:hint="eastAsia" w:ascii="仿宋" w:hAnsi="仿宋" w:eastAsia="仿宋" w:cs="仿宋"/>
                <w:color w:val="000000"/>
              </w:rPr>
              <w:t>-0.26</w:t>
            </w:r>
          </w:p>
        </w:tc>
      </w:tr>
    </w:tbl>
    <w:p>
      <w:pPr>
        <w:pStyle w:val="4"/>
        <w:widowControl/>
        <w:spacing w:beforeAutospacing="0" w:afterAutospacing="0" w:line="500" w:lineRule="atLeast"/>
        <w:ind w:left="448" w:firstLine="120"/>
        <w:jc w:val="both"/>
        <w:rPr>
          <w:rFonts w:ascii="微软雅黑" w:hAnsi="微软雅黑" w:eastAsia="微软雅黑" w:cs="微软雅黑"/>
          <w:sz w:val="18"/>
          <w:szCs w:val="18"/>
        </w:rPr>
      </w:pPr>
      <w:r>
        <w:rPr>
          <w:rFonts w:hint="eastAsia" w:ascii="仿宋" w:hAnsi="仿宋" w:eastAsia="仿宋" w:cs="仿宋"/>
          <w:color w:val="000000"/>
        </w:rPr>
        <w:t>2、基本支出中各费用明细支出管理</w:t>
      </w:r>
    </w:p>
    <w:p>
      <w:pPr>
        <w:pStyle w:val="4"/>
        <w:widowControl/>
        <w:spacing w:beforeAutospacing="0" w:afterAutospacing="0" w:line="500" w:lineRule="atLeast"/>
        <w:ind w:left="448"/>
        <w:jc w:val="both"/>
        <w:rPr>
          <w:rFonts w:ascii="微软雅黑" w:hAnsi="微软雅黑" w:eastAsia="微软雅黑" w:cs="微软雅黑"/>
          <w:sz w:val="18"/>
          <w:szCs w:val="18"/>
        </w:rPr>
      </w:pPr>
      <w:r>
        <w:rPr>
          <w:rFonts w:hint="eastAsia" w:ascii="仿宋" w:hAnsi="仿宋" w:eastAsia="仿宋" w:cs="仿宋"/>
          <w:color w:val="000000"/>
        </w:rPr>
        <w:t>（1）工资福利支出</w:t>
      </w:r>
    </w:p>
    <w:tbl>
      <w:tblPr>
        <w:tblStyle w:val="5"/>
        <w:tblW w:w="0" w:type="auto"/>
        <w:jc w:val="center"/>
        <w:tblLayout w:type="autofit"/>
        <w:tblCellMar>
          <w:top w:w="0" w:type="dxa"/>
          <w:left w:w="0" w:type="dxa"/>
          <w:bottom w:w="0" w:type="dxa"/>
          <w:right w:w="0" w:type="dxa"/>
        </w:tblCellMar>
      </w:tblPr>
      <w:tblGrid>
        <w:gridCol w:w="3423"/>
        <w:gridCol w:w="1396"/>
        <w:gridCol w:w="1286"/>
        <w:gridCol w:w="2231"/>
      </w:tblGrid>
      <w:tr>
        <w:tblPrEx>
          <w:tblCellMar>
            <w:top w:w="0" w:type="dxa"/>
            <w:left w:w="0" w:type="dxa"/>
            <w:bottom w:w="0" w:type="dxa"/>
            <w:right w:w="0" w:type="dxa"/>
          </w:tblCellMar>
        </w:tblPrEx>
        <w:trPr>
          <w:trHeight w:val="888" w:hRule="atLeast"/>
          <w:jc w:val="center"/>
        </w:trPr>
        <w:tc>
          <w:tcPr>
            <w:tcW w:w="3494"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费用项目</w:t>
            </w:r>
          </w:p>
        </w:tc>
        <w:tc>
          <w:tcPr>
            <w:tcW w:w="1413"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预算金额</w:t>
            </w:r>
          </w:p>
        </w:tc>
        <w:tc>
          <w:tcPr>
            <w:tcW w:w="1300"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决算金额</w:t>
            </w:r>
          </w:p>
        </w:tc>
        <w:tc>
          <w:tcPr>
            <w:tcW w:w="2270" w:type="dxa"/>
            <w:tcBorders>
              <w:top w:val="single" w:color="000000" w:sz="8" w:space="0"/>
              <w:left w:val="nil"/>
              <w:bottom w:val="single" w:color="000000" w:sz="8" w:space="0"/>
              <w:right w:val="single" w:color="000000" w:sz="8" w:space="0"/>
            </w:tcBorders>
            <w:shd w:val="clear" w:color="auto" w:fill="D9D9D9"/>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节约/超支金额</w:t>
            </w:r>
          </w:p>
        </w:tc>
      </w:tr>
      <w:tr>
        <w:tblPrEx>
          <w:tblCellMar>
            <w:top w:w="0" w:type="dxa"/>
            <w:left w:w="0" w:type="dxa"/>
            <w:bottom w:w="0" w:type="dxa"/>
            <w:right w:w="0" w:type="dxa"/>
          </w:tblCellMar>
        </w:tblPrEx>
        <w:trPr>
          <w:trHeight w:val="357" w:hRule="atLeast"/>
          <w:jc w:val="center"/>
        </w:trPr>
        <w:tc>
          <w:tcPr>
            <w:tcW w:w="349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基本工资</w:t>
            </w:r>
          </w:p>
        </w:tc>
        <w:tc>
          <w:tcPr>
            <w:tcW w:w="14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56.03</w:t>
            </w:r>
          </w:p>
        </w:tc>
        <w:tc>
          <w:tcPr>
            <w:tcW w:w="130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64.35</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8.32</w:t>
            </w:r>
          </w:p>
        </w:tc>
      </w:tr>
      <w:tr>
        <w:tblPrEx>
          <w:tblCellMar>
            <w:top w:w="0" w:type="dxa"/>
            <w:left w:w="0" w:type="dxa"/>
            <w:bottom w:w="0" w:type="dxa"/>
            <w:right w:w="0" w:type="dxa"/>
          </w:tblCellMar>
        </w:tblPrEx>
        <w:trPr>
          <w:trHeight w:val="357" w:hRule="atLeast"/>
          <w:jc w:val="center"/>
        </w:trPr>
        <w:tc>
          <w:tcPr>
            <w:tcW w:w="349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津贴补贴</w:t>
            </w:r>
          </w:p>
        </w:tc>
        <w:tc>
          <w:tcPr>
            <w:tcW w:w="14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25.2</w:t>
            </w:r>
          </w:p>
        </w:tc>
        <w:tc>
          <w:tcPr>
            <w:tcW w:w="130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24.6</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-0.6</w:t>
            </w:r>
          </w:p>
        </w:tc>
      </w:tr>
      <w:tr>
        <w:tblPrEx>
          <w:tblCellMar>
            <w:top w:w="0" w:type="dxa"/>
            <w:left w:w="0" w:type="dxa"/>
            <w:bottom w:w="0" w:type="dxa"/>
            <w:right w:w="0" w:type="dxa"/>
          </w:tblCellMar>
        </w:tblPrEx>
        <w:trPr>
          <w:trHeight w:val="357" w:hRule="atLeast"/>
          <w:jc w:val="center"/>
        </w:trPr>
        <w:tc>
          <w:tcPr>
            <w:tcW w:w="349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奖金</w:t>
            </w:r>
          </w:p>
        </w:tc>
        <w:tc>
          <w:tcPr>
            <w:tcW w:w="14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4.67</w:t>
            </w:r>
          </w:p>
        </w:tc>
        <w:tc>
          <w:tcPr>
            <w:tcW w:w="130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33</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28.33</w:t>
            </w:r>
          </w:p>
        </w:tc>
      </w:tr>
      <w:tr>
        <w:tblPrEx>
          <w:tblCellMar>
            <w:top w:w="0" w:type="dxa"/>
            <w:left w:w="0" w:type="dxa"/>
            <w:bottom w:w="0" w:type="dxa"/>
            <w:right w:w="0" w:type="dxa"/>
          </w:tblCellMar>
        </w:tblPrEx>
        <w:trPr>
          <w:trHeight w:val="357" w:hRule="atLeast"/>
          <w:jc w:val="center"/>
        </w:trPr>
        <w:tc>
          <w:tcPr>
            <w:tcW w:w="349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社会保障缴费</w:t>
            </w:r>
          </w:p>
        </w:tc>
        <w:tc>
          <w:tcPr>
            <w:tcW w:w="14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23.55</w:t>
            </w:r>
          </w:p>
        </w:tc>
        <w:tc>
          <w:tcPr>
            <w:tcW w:w="130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-23.55</w:t>
            </w:r>
          </w:p>
        </w:tc>
      </w:tr>
      <w:tr>
        <w:tblPrEx>
          <w:tblCellMar>
            <w:top w:w="0" w:type="dxa"/>
            <w:left w:w="0" w:type="dxa"/>
            <w:bottom w:w="0" w:type="dxa"/>
            <w:right w:w="0" w:type="dxa"/>
          </w:tblCellMar>
        </w:tblPrEx>
        <w:trPr>
          <w:trHeight w:val="357" w:hRule="atLeast"/>
          <w:jc w:val="center"/>
        </w:trPr>
        <w:tc>
          <w:tcPr>
            <w:tcW w:w="349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住房公积金</w:t>
            </w:r>
          </w:p>
        </w:tc>
        <w:tc>
          <w:tcPr>
            <w:tcW w:w="14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10.31</w:t>
            </w:r>
          </w:p>
        </w:tc>
        <w:tc>
          <w:tcPr>
            <w:tcW w:w="130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-10.31</w:t>
            </w:r>
          </w:p>
        </w:tc>
      </w:tr>
      <w:tr>
        <w:tblPrEx>
          <w:tblCellMar>
            <w:top w:w="0" w:type="dxa"/>
            <w:left w:w="0" w:type="dxa"/>
            <w:bottom w:w="0" w:type="dxa"/>
            <w:right w:w="0" w:type="dxa"/>
          </w:tblCellMar>
        </w:tblPrEx>
        <w:trPr>
          <w:trHeight w:val="357" w:hRule="atLeast"/>
          <w:jc w:val="center"/>
        </w:trPr>
        <w:tc>
          <w:tcPr>
            <w:tcW w:w="3494"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其他工资福利支出</w:t>
            </w:r>
          </w:p>
        </w:tc>
        <w:tc>
          <w:tcPr>
            <w:tcW w:w="1413"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c>
          <w:tcPr>
            <w:tcW w:w="130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5.67</w:t>
            </w:r>
          </w:p>
        </w:tc>
        <w:tc>
          <w:tcPr>
            <w:tcW w:w="227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5.67</w:t>
            </w:r>
          </w:p>
        </w:tc>
      </w:tr>
      <w:tr>
        <w:tblPrEx>
          <w:tblCellMar>
            <w:top w:w="0" w:type="dxa"/>
            <w:left w:w="0" w:type="dxa"/>
            <w:bottom w:w="0" w:type="dxa"/>
            <w:right w:w="0" w:type="dxa"/>
          </w:tblCellMar>
        </w:tblPrEx>
        <w:trPr>
          <w:trHeight w:val="411" w:hRule="atLeast"/>
          <w:jc w:val="center"/>
        </w:trPr>
        <w:tc>
          <w:tcPr>
            <w:tcW w:w="3494"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合计</w:t>
            </w:r>
          </w:p>
        </w:tc>
        <w:tc>
          <w:tcPr>
            <w:tcW w:w="1413"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jc w:val="center"/>
              <w:rPr>
                <w:rFonts w:ascii="微软雅黑" w:hAnsi="微软雅黑" w:eastAsia="微软雅黑" w:cs="微软雅黑"/>
                <w:sz w:val="18"/>
                <w:szCs w:val="18"/>
              </w:rPr>
            </w:pPr>
            <w:r>
              <w:rPr>
                <w:rFonts w:hint="eastAsia" w:ascii="仿宋" w:hAnsi="仿宋" w:eastAsia="仿宋" w:cs="仿宋"/>
                <w:color w:val="000000"/>
              </w:rPr>
              <w:t>119.76</w:t>
            </w:r>
          </w:p>
        </w:tc>
        <w:tc>
          <w:tcPr>
            <w:tcW w:w="130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127.62</w:t>
            </w:r>
          </w:p>
        </w:tc>
        <w:tc>
          <w:tcPr>
            <w:tcW w:w="227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7.86</w:t>
            </w:r>
          </w:p>
        </w:tc>
      </w:tr>
    </w:tbl>
    <w:p>
      <w:pPr>
        <w:pStyle w:val="4"/>
        <w:widowControl/>
        <w:spacing w:beforeAutospacing="0" w:afterAutospacing="0" w:line="500" w:lineRule="atLeast"/>
        <w:ind w:left="256" w:firstLine="480"/>
        <w:jc w:val="both"/>
        <w:rPr>
          <w:rFonts w:ascii="微软雅黑" w:hAnsi="微软雅黑" w:eastAsia="微软雅黑" w:cs="微软雅黑"/>
          <w:sz w:val="18"/>
          <w:szCs w:val="18"/>
        </w:rPr>
      </w:pPr>
      <w:r>
        <w:rPr>
          <w:rFonts w:hint="eastAsia" w:ascii="仿宋" w:hAnsi="仿宋" w:eastAsia="仿宋" w:cs="仿宋"/>
          <w:color w:val="000000"/>
        </w:rPr>
        <w:t>2019年新增工资福利支出7.86万元，由于单位人员工资调整、单位补发30%绩效工资及职工资金年初未纳入预算。</w:t>
      </w:r>
    </w:p>
    <w:p>
      <w:pPr>
        <w:pStyle w:val="4"/>
        <w:widowControl/>
        <w:spacing w:beforeAutospacing="0" w:afterAutospacing="0" w:line="500" w:lineRule="atLeast"/>
        <w:ind w:left="448" w:firstLine="120"/>
        <w:jc w:val="both"/>
        <w:rPr>
          <w:rFonts w:ascii="微软雅黑" w:hAnsi="微软雅黑" w:eastAsia="微软雅黑" w:cs="微软雅黑"/>
          <w:sz w:val="18"/>
          <w:szCs w:val="18"/>
        </w:rPr>
      </w:pPr>
      <w:r>
        <w:rPr>
          <w:rFonts w:hint="eastAsia" w:ascii="仿宋" w:hAnsi="仿宋" w:eastAsia="仿宋" w:cs="仿宋"/>
          <w:color w:val="000000"/>
        </w:rPr>
        <w:t>（2）商品和服务支出</w:t>
      </w:r>
    </w:p>
    <w:tbl>
      <w:tblPr>
        <w:tblStyle w:val="5"/>
        <w:tblW w:w="0" w:type="auto"/>
        <w:jc w:val="center"/>
        <w:tblLayout w:type="autofit"/>
        <w:tblCellMar>
          <w:top w:w="0" w:type="dxa"/>
          <w:left w:w="0" w:type="dxa"/>
          <w:bottom w:w="0" w:type="dxa"/>
          <w:right w:w="0" w:type="dxa"/>
        </w:tblCellMar>
      </w:tblPr>
      <w:tblGrid>
        <w:gridCol w:w="2774"/>
        <w:gridCol w:w="1398"/>
        <w:gridCol w:w="1537"/>
        <w:gridCol w:w="2547"/>
      </w:tblGrid>
      <w:tr>
        <w:tblPrEx>
          <w:tblCellMar>
            <w:top w:w="0" w:type="dxa"/>
            <w:left w:w="0" w:type="dxa"/>
            <w:bottom w:w="0" w:type="dxa"/>
            <w:right w:w="0" w:type="dxa"/>
          </w:tblCellMar>
        </w:tblPrEx>
        <w:trPr>
          <w:trHeight w:val="343" w:hRule="atLeast"/>
          <w:tblHeader/>
          <w:jc w:val="center"/>
        </w:trPr>
        <w:tc>
          <w:tcPr>
            <w:tcW w:w="2774" w:type="dxa"/>
            <w:tcBorders>
              <w:top w:val="single" w:color="auto" w:sz="8" w:space="0"/>
              <w:left w:val="single" w:color="auto" w:sz="8" w:space="0"/>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bookmarkStart w:id="0" w:name="_GoBack"/>
            <w:bookmarkEnd w:id="0"/>
            <w:r>
              <w:rPr>
                <w:rFonts w:hint="eastAsia" w:ascii="仿宋" w:hAnsi="仿宋" w:eastAsia="仿宋" w:cs="仿宋"/>
                <w:color w:val="000000"/>
              </w:rPr>
              <w:t>项目</w:t>
            </w:r>
          </w:p>
        </w:tc>
        <w:tc>
          <w:tcPr>
            <w:tcW w:w="1398"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预算金额</w:t>
            </w:r>
          </w:p>
        </w:tc>
        <w:tc>
          <w:tcPr>
            <w:tcW w:w="153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决算金额</w:t>
            </w:r>
          </w:p>
        </w:tc>
        <w:tc>
          <w:tcPr>
            <w:tcW w:w="2547" w:type="dxa"/>
            <w:tcBorders>
              <w:top w:val="single" w:color="auto" w:sz="8" w:space="0"/>
              <w:left w:val="nil"/>
              <w:bottom w:val="single" w:color="auto" w:sz="8" w:space="0"/>
              <w:right w:val="single" w:color="auto" w:sz="8" w:space="0"/>
            </w:tcBorders>
            <w:shd w:val="clear" w:color="auto" w:fill="D9D9D9"/>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增加额</w:t>
            </w:r>
          </w:p>
        </w:tc>
      </w:tr>
      <w:tr>
        <w:tblPrEx>
          <w:tblCellMar>
            <w:top w:w="0" w:type="dxa"/>
            <w:left w:w="0" w:type="dxa"/>
            <w:bottom w:w="0" w:type="dxa"/>
            <w:right w:w="0" w:type="dxa"/>
          </w:tblCellMar>
        </w:tblPrEx>
        <w:trPr>
          <w:trHeight w:val="343" w:hRule="atLeast"/>
          <w:jc w:val="center"/>
        </w:trPr>
        <w:tc>
          <w:tcPr>
            <w:tcW w:w="27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办公费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12.44</w:t>
            </w:r>
          </w:p>
        </w:tc>
        <w:tc>
          <w:tcPr>
            <w:tcW w:w="25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2.44</w:t>
            </w:r>
          </w:p>
        </w:tc>
      </w:tr>
      <w:tr>
        <w:trPr>
          <w:trHeight w:val="343" w:hRule="atLeast"/>
          <w:jc w:val="center"/>
        </w:trPr>
        <w:tc>
          <w:tcPr>
            <w:tcW w:w="27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差旅费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8</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10.84</w:t>
            </w:r>
          </w:p>
        </w:tc>
        <w:tc>
          <w:tcPr>
            <w:tcW w:w="25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2.84</w:t>
            </w:r>
          </w:p>
        </w:tc>
      </w:tr>
      <w:tr>
        <w:tblPrEx>
          <w:tblCellMar>
            <w:top w:w="0" w:type="dxa"/>
            <w:left w:w="0" w:type="dxa"/>
            <w:bottom w:w="0" w:type="dxa"/>
            <w:right w:w="0" w:type="dxa"/>
          </w:tblCellMar>
        </w:tblPrEx>
        <w:trPr>
          <w:trHeight w:val="343" w:hRule="atLeast"/>
          <w:jc w:val="center"/>
        </w:trPr>
        <w:tc>
          <w:tcPr>
            <w:tcW w:w="27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培训费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0.8</w:t>
            </w:r>
          </w:p>
        </w:tc>
        <w:tc>
          <w:tcPr>
            <w:tcW w:w="25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0.8</w:t>
            </w:r>
          </w:p>
        </w:tc>
      </w:tr>
      <w:tr>
        <w:tblPrEx>
          <w:tblCellMar>
            <w:top w:w="0" w:type="dxa"/>
            <w:left w:w="0" w:type="dxa"/>
            <w:bottom w:w="0" w:type="dxa"/>
            <w:right w:w="0" w:type="dxa"/>
          </w:tblCellMar>
        </w:tblPrEx>
        <w:trPr>
          <w:trHeight w:val="343" w:hRule="atLeast"/>
          <w:jc w:val="center"/>
        </w:trPr>
        <w:tc>
          <w:tcPr>
            <w:tcW w:w="27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公务接待费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7</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0.7</w:t>
            </w:r>
          </w:p>
        </w:tc>
        <w:tc>
          <w:tcPr>
            <w:tcW w:w="25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-6.3</w:t>
            </w:r>
          </w:p>
        </w:tc>
      </w:tr>
      <w:tr>
        <w:trPr>
          <w:trHeight w:val="343" w:hRule="atLeast"/>
          <w:jc w:val="center"/>
        </w:trPr>
        <w:tc>
          <w:tcPr>
            <w:tcW w:w="27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劳务费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4</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0.83</w:t>
            </w:r>
          </w:p>
        </w:tc>
        <w:tc>
          <w:tcPr>
            <w:tcW w:w="25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-3.17</w:t>
            </w:r>
          </w:p>
        </w:tc>
      </w:tr>
      <w:tr>
        <w:tblPrEx>
          <w:tblCellMar>
            <w:top w:w="0" w:type="dxa"/>
            <w:left w:w="0" w:type="dxa"/>
            <w:bottom w:w="0" w:type="dxa"/>
            <w:right w:w="0" w:type="dxa"/>
          </w:tblCellMar>
        </w:tblPrEx>
        <w:trPr>
          <w:trHeight w:val="343" w:hRule="atLeast"/>
          <w:jc w:val="center"/>
        </w:trPr>
        <w:tc>
          <w:tcPr>
            <w:tcW w:w="27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印刷费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c>
          <w:tcPr>
            <w:tcW w:w="25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r>
      <w:tr>
        <w:trPr>
          <w:trHeight w:val="343" w:hRule="atLeast"/>
          <w:jc w:val="center"/>
        </w:trPr>
        <w:tc>
          <w:tcPr>
            <w:tcW w:w="27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工会经费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c>
          <w:tcPr>
            <w:tcW w:w="25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r>
      <w:tr>
        <w:tblPrEx>
          <w:tblCellMar>
            <w:top w:w="0" w:type="dxa"/>
            <w:left w:w="0" w:type="dxa"/>
            <w:bottom w:w="0" w:type="dxa"/>
            <w:right w:w="0" w:type="dxa"/>
          </w:tblCellMar>
        </w:tblPrEx>
        <w:trPr>
          <w:trHeight w:val="343" w:hRule="atLeast"/>
          <w:jc w:val="center"/>
        </w:trPr>
        <w:tc>
          <w:tcPr>
            <w:tcW w:w="27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其他交通费</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10</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8.55</w:t>
            </w:r>
          </w:p>
        </w:tc>
        <w:tc>
          <w:tcPr>
            <w:tcW w:w="25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both"/>
              <w:rPr>
                <w:rFonts w:ascii="微软雅黑" w:hAnsi="微软雅黑" w:eastAsia="微软雅黑" w:cs="微软雅黑"/>
                <w:sz w:val="18"/>
                <w:szCs w:val="18"/>
              </w:rPr>
            </w:pPr>
            <w:r>
              <w:rPr>
                <w:rFonts w:hint="eastAsia" w:ascii="仿宋" w:hAnsi="仿宋" w:eastAsia="仿宋" w:cs="仿宋"/>
                <w:color w:val="000000"/>
              </w:rPr>
              <w:t>       -1.45</w:t>
            </w:r>
          </w:p>
        </w:tc>
      </w:tr>
      <w:tr>
        <w:trPr>
          <w:trHeight w:val="343" w:hRule="atLeast"/>
          <w:jc w:val="center"/>
        </w:trPr>
        <w:tc>
          <w:tcPr>
            <w:tcW w:w="277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其他商品和服务支出</w:t>
            </w:r>
          </w:p>
        </w:tc>
        <w:tc>
          <w:tcPr>
            <w:tcW w:w="13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78.3</w:t>
            </w:r>
          </w:p>
        </w:tc>
        <w:tc>
          <w:tcPr>
            <w:tcW w:w="153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73.61</w:t>
            </w:r>
          </w:p>
        </w:tc>
        <w:tc>
          <w:tcPr>
            <w:tcW w:w="254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-4.69</w:t>
            </w:r>
          </w:p>
        </w:tc>
      </w:tr>
      <w:tr>
        <w:tblPrEx>
          <w:tblCellMar>
            <w:top w:w="0" w:type="dxa"/>
            <w:left w:w="0" w:type="dxa"/>
            <w:bottom w:w="0" w:type="dxa"/>
            <w:right w:w="0" w:type="dxa"/>
          </w:tblCellMar>
        </w:tblPrEx>
        <w:trPr>
          <w:trHeight w:val="359" w:hRule="atLeast"/>
          <w:jc w:val="center"/>
        </w:trPr>
        <w:tc>
          <w:tcPr>
            <w:tcW w:w="2774" w:type="dxa"/>
            <w:tcBorders>
              <w:top w:val="nil"/>
              <w:left w:val="single" w:color="auto" w:sz="8" w:space="0"/>
              <w:bottom w:val="single" w:color="auto" w:sz="8" w:space="0"/>
              <w:right w:val="single" w:color="auto" w:sz="8" w:space="0"/>
            </w:tcBorders>
            <w:shd w:val="clear" w:color="auto" w:fill="C0C0C0"/>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合计</w:t>
            </w:r>
          </w:p>
        </w:tc>
        <w:tc>
          <w:tcPr>
            <w:tcW w:w="1398"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117.3</w:t>
            </w:r>
          </w:p>
        </w:tc>
        <w:tc>
          <w:tcPr>
            <w:tcW w:w="1537"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107.77</w:t>
            </w:r>
          </w:p>
        </w:tc>
        <w:tc>
          <w:tcPr>
            <w:tcW w:w="2547" w:type="dxa"/>
            <w:tcBorders>
              <w:top w:val="nil"/>
              <w:left w:val="nil"/>
              <w:bottom w:val="single" w:color="auto" w:sz="8" w:space="0"/>
              <w:right w:val="single" w:color="auto" w:sz="8" w:space="0"/>
            </w:tcBorders>
            <w:shd w:val="clear" w:color="auto" w:fill="C0C0C0"/>
            <w:tcMar>
              <w:left w:w="108" w:type="dxa"/>
              <w:right w:w="108"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-9.53</w:t>
            </w:r>
          </w:p>
        </w:tc>
      </w:tr>
    </w:tbl>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000000"/>
        </w:rPr>
        <w:t>商品和服务支出减少9.53万元，其原因单位压缩节约工作经费。</w:t>
      </w:r>
    </w:p>
    <w:p>
      <w:pPr>
        <w:pStyle w:val="4"/>
        <w:widowControl/>
        <w:spacing w:beforeAutospacing="0" w:afterAutospacing="0" w:line="500" w:lineRule="atLeast"/>
        <w:ind w:left="448"/>
        <w:jc w:val="both"/>
        <w:rPr>
          <w:rFonts w:ascii="微软雅黑" w:hAnsi="微软雅黑" w:eastAsia="微软雅黑" w:cs="微软雅黑"/>
          <w:sz w:val="18"/>
          <w:szCs w:val="18"/>
        </w:rPr>
      </w:pPr>
      <w:r>
        <w:rPr>
          <w:rFonts w:hint="eastAsia" w:ascii="仿宋" w:hAnsi="仿宋" w:eastAsia="仿宋" w:cs="仿宋"/>
          <w:color w:val="000000"/>
        </w:rPr>
        <w:t>（3）对个人和家庭的补助</w:t>
      </w:r>
    </w:p>
    <w:tbl>
      <w:tblPr>
        <w:tblStyle w:val="5"/>
        <w:tblW w:w="6795" w:type="dxa"/>
        <w:tblInd w:w="0" w:type="dxa"/>
        <w:tblLayout w:type="autofit"/>
        <w:tblCellMar>
          <w:top w:w="0" w:type="dxa"/>
          <w:left w:w="0" w:type="dxa"/>
          <w:bottom w:w="0" w:type="dxa"/>
          <w:right w:w="0" w:type="dxa"/>
        </w:tblCellMar>
      </w:tblPr>
      <w:tblGrid>
        <w:gridCol w:w="1818"/>
        <w:gridCol w:w="1539"/>
        <w:gridCol w:w="1561"/>
        <w:gridCol w:w="1877"/>
      </w:tblGrid>
      <w:tr>
        <w:tblPrEx>
          <w:tblCellMar>
            <w:top w:w="0" w:type="dxa"/>
            <w:left w:w="0" w:type="dxa"/>
            <w:bottom w:w="0" w:type="dxa"/>
            <w:right w:w="0" w:type="dxa"/>
          </w:tblCellMar>
        </w:tblPrEx>
        <w:trPr>
          <w:trHeight w:val="464" w:hRule="atLeast"/>
        </w:trPr>
        <w:tc>
          <w:tcPr>
            <w:tcW w:w="1816"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支出项目</w:t>
            </w:r>
          </w:p>
        </w:tc>
        <w:tc>
          <w:tcPr>
            <w:tcW w:w="1538"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预算金额</w:t>
            </w:r>
          </w:p>
        </w:tc>
        <w:tc>
          <w:tcPr>
            <w:tcW w:w="1560"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决算金额</w:t>
            </w:r>
          </w:p>
        </w:tc>
        <w:tc>
          <w:tcPr>
            <w:tcW w:w="1875" w:type="dxa"/>
            <w:tcBorders>
              <w:top w:val="single" w:color="000000" w:sz="8" w:space="0"/>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节约/超支金额</w:t>
            </w:r>
          </w:p>
        </w:tc>
      </w:tr>
      <w:tr>
        <w:tblPrEx>
          <w:tblCellMar>
            <w:top w:w="0" w:type="dxa"/>
            <w:left w:w="0" w:type="dxa"/>
            <w:bottom w:w="0" w:type="dxa"/>
            <w:right w:w="0" w:type="dxa"/>
          </w:tblCellMar>
        </w:tblPrEx>
        <w:trPr>
          <w:trHeight w:val="413" w:hRule="atLeast"/>
        </w:trPr>
        <w:tc>
          <w:tcPr>
            <w:tcW w:w="1816" w:type="dxa"/>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对其他个人家庭补助</w:t>
            </w:r>
          </w:p>
        </w:tc>
        <w:tc>
          <w:tcPr>
            <w:tcW w:w="1538"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c>
          <w:tcPr>
            <w:tcW w:w="156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1.41</w:t>
            </w:r>
          </w:p>
        </w:tc>
        <w:tc>
          <w:tcPr>
            <w:tcW w:w="187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1.41</w:t>
            </w:r>
          </w:p>
        </w:tc>
      </w:tr>
      <w:tr>
        <w:tblPrEx>
          <w:tblCellMar>
            <w:top w:w="0" w:type="dxa"/>
            <w:left w:w="0" w:type="dxa"/>
            <w:bottom w:w="0" w:type="dxa"/>
            <w:right w:w="0" w:type="dxa"/>
          </w:tblCellMar>
        </w:tblPrEx>
        <w:trPr>
          <w:trHeight w:val="451" w:hRule="atLeast"/>
        </w:trPr>
        <w:tc>
          <w:tcPr>
            <w:tcW w:w="1816" w:type="dxa"/>
            <w:tcBorders>
              <w:top w:val="nil"/>
              <w:left w:val="single" w:color="000000" w:sz="8" w:space="0"/>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合计</w:t>
            </w:r>
          </w:p>
        </w:tc>
        <w:tc>
          <w:tcPr>
            <w:tcW w:w="1538"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w:t>
            </w:r>
          </w:p>
        </w:tc>
        <w:tc>
          <w:tcPr>
            <w:tcW w:w="1560"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1.41</w:t>
            </w:r>
          </w:p>
        </w:tc>
        <w:tc>
          <w:tcPr>
            <w:tcW w:w="1875" w:type="dxa"/>
            <w:tcBorders>
              <w:top w:val="nil"/>
              <w:left w:val="nil"/>
              <w:bottom w:val="single" w:color="000000" w:sz="8" w:space="0"/>
              <w:right w:val="single" w:color="000000" w:sz="8" w:space="0"/>
            </w:tcBorders>
            <w:shd w:val="clear" w:color="auto" w:fill="C0C0C0"/>
            <w:tcMar>
              <w:top w:w="15" w:type="dxa"/>
              <w:left w:w="15" w:type="dxa"/>
              <w:bottom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1.41</w:t>
            </w:r>
          </w:p>
        </w:tc>
      </w:tr>
    </w:tbl>
    <w:p>
      <w:pPr>
        <w:pStyle w:val="4"/>
        <w:widowControl/>
        <w:spacing w:beforeAutospacing="0" w:afterAutospacing="0" w:line="500" w:lineRule="atLeast"/>
        <w:ind w:left="448"/>
        <w:jc w:val="both"/>
        <w:rPr>
          <w:rFonts w:ascii="微软雅黑" w:hAnsi="微软雅黑" w:eastAsia="微软雅黑" w:cs="微软雅黑"/>
          <w:sz w:val="18"/>
          <w:szCs w:val="18"/>
        </w:rPr>
      </w:pPr>
      <w:r>
        <w:rPr>
          <w:rFonts w:hint="eastAsia" w:ascii="仿宋" w:hAnsi="仿宋" w:eastAsia="仿宋" w:cs="仿宋"/>
          <w:color w:val="000000"/>
        </w:rPr>
        <w:t>（二）“三公经费”支出使用和管理</w:t>
      </w:r>
    </w:p>
    <w:p>
      <w:pPr>
        <w:pStyle w:val="4"/>
        <w:widowControl/>
        <w:spacing w:beforeAutospacing="0" w:afterAutospacing="0" w:line="500" w:lineRule="atLeast"/>
        <w:ind w:left="448" w:firstLine="120"/>
        <w:jc w:val="both"/>
        <w:rPr>
          <w:rFonts w:ascii="微软雅黑" w:hAnsi="微软雅黑" w:eastAsia="微软雅黑" w:cs="微软雅黑"/>
          <w:sz w:val="18"/>
          <w:szCs w:val="18"/>
        </w:rPr>
      </w:pPr>
      <w:r>
        <w:rPr>
          <w:rFonts w:hint="eastAsia" w:ascii="仿宋" w:hAnsi="仿宋" w:eastAsia="仿宋" w:cs="仿宋"/>
          <w:color w:val="000000"/>
        </w:rPr>
        <w:t>1、“三公经费”预算执行</w:t>
      </w:r>
    </w:p>
    <w:tbl>
      <w:tblPr>
        <w:tblStyle w:val="5"/>
        <w:tblW w:w="8430" w:type="dxa"/>
        <w:jc w:val="center"/>
        <w:tblLayout w:type="autofit"/>
        <w:tblCellMar>
          <w:top w:w="0" w:type="dxa"/>
          <w:left w:w="0" w:type="dxa"/>
          <w:bottom w:w="0" w:type="dxa"/>
          <w:right w:w="0" w:type="dxa"/>
        </w:tblCellMar>
      </w:tblPr>
      <w:tblGrid>
        <w:gridCol w:w="1630"/>
        <w:gridCol w:w="1064"/>
        <w:gridCol w:w="1124"/>
        <w:gridCol w:w="1004"/>
        <w:gridCol w:w="1169"/>
        <w:gridCol w:w="1149"/>
        <w:gridCol w:w="1290"/>
      </w:tblGrid>
      <w:tr>
        <w:tblPrEx>
          <w:tblCellMar>
            <w:top w:w="0" w:type="dxa"/>
            <w:left w:w="0" w:type="dxa"/>
            <w:bottom w:w="0" w:type="dxa"/>
            <w:right w:w="0" w:type="dxa"/>
          </w:tblCellMar>
        </w:tblPrEx>
        <w:trPr>
          <w:trHeight w:val="364" w:hRule="atLeast"/>
          <w:jc w:val="center"/>
        </w:trPr>
        <w:tc>
          <w:tcPr>
            <w:tcW w:w="1632" w:type="dxa"/>
            <w:vMerge w:val="restart"/>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费用项目</w:t>
            </w:r>
          </w:p>
        </w:tc>
        <w:tc>
          <w:tcPr>
            <w:tcW w:w="2190"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本年预算</w:t>
            </w:r>
          </w:p>
        </w:tc>
        <w:tc>
          <w:tcPr>
            <w:tcW w:w="2175"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本年决算</w:t>
            </w:r>
          </w:p>
        </w:tc>
        <w:tc>
          <w:tcPr>
            <w:tcW w:w="2439" w:type="dxa"/>
            <w:gridSpan w:val="2"/>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结余/超支</w:t>
            </w:r>
          </w:p>
        </w:tc>
      </w:tr>
      <w:tr>
        <w:tblPrEx>
          <w:tblCellMar>
            <w:top w:w="0" w:type="dxa"/>
            <w:left w:w="0" w:type="dxa"/>
            <w:bottom w:w="0" w:type="dxa"/>
            <w:right w:w="0" w:type="dxa"/>
          </w:tblCellMar>
        </w:tblPrEx>
        <w:trPr>
          <w:trHeight w:val="580" w:hRule="atLeast"/>
          <w:jc w:val="center"/>
        </w:trPr>
        <w:tc>
          <w:tcPr>
            <w:tcW w:w="1632" w:type="dxa"/>
            <w:vMerge w:val="continue"/>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rPr>
                <w:rFonts w:ascii="宋体"/>
                <w:sz w:val="24"/>
              </w:rPr>
            </w:pPr>
          </w:p>
        </w:tc>
        <w:tc>
          <w:tcPr>
            <w:tcW w:w="106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基本支出</w:t>
            </w:r>
          </w:p>
        </w:tc>
        <w:tc>
          <w:tcPr>
            <w:tcW w:w="112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项目支出</w:t>
            </w:r>
          </w:p>
        </w:tc>
        <w:tc>
          <w:tcPr>
            <w:tcW w:w="100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基本支出</w:t>
            </w:r>
          </w:p>
        </w:tc>
        <w:tc>
          <w:tcPr>
            <w:tcW w:w="117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项目支出</w:t>
            </w:r>
          </w:p>
        </w:tc>
        <w:tc>
          <w:tcPr>
            <w:tcW w:w="11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基本支出</w:t>
            </w:r>
          </w:p>
        </w:tc>
        <w:tc>
          <w:tcPr>
            <w:tcW w:w="1290"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项目支出</w:t>
            </w:r>
          </w:p>
        </w:tc>
      </w:tr>
      <w:tr>
        <w:tblPrEx>
          <w:tblCellMar>
            <w:top w:w="0" w:type="dxa"/>
            <w:left w:w="0" w:type="dxa"/>
            <w:bottom w:w="0" w:type="dxa"/>
            <w:right w:w="0" w:type="dxa"/>
          </w:tblCellMar>
        </w:tblPrEx>
        <w:trPr>
          <w:trHeight w:val="364" w:hRule="atLeast"/>
          <w:jc w:val="center"/>
        </w:trPr>
        <w:tc>
          <w:tcPr>
            <w:tcW w:w="1632"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公务接待费</w:t>
            </w:r>
          </w:p>
        </w:tc>
        <w:tc>
          <w:tcPr>
            <w:tcW w:w="1065" w:type="dxa"/>
            <w:tcBorders>
              <w:top w:val="nil"/>
              <w:left w:val="nil"/>
              <w:bottom w:val="single" w:color="000000" w:sz="8" w:space="0"/>
              <w:right w:val="single" w:color="000000" w:sz="8" w:space="0"/>
            </w:tcBorders>
            <w:shd w:val="clear" w:color="auto" w:fill="auto"/>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7</w:t>
            </w:r>
          </w:p>
        </w:tc>
        <w:tc>
          <w:tcPr>
            <w:tcW w:w="1125" w:type="dxa"/>
            <w:tcBorders>
              <w:top w:val="nil"/>
              <w:left w:val="nil"/>
              <w:bottom w:val="single" w:color="000000" w:sz="8" w:space="0"/>
              <w:right w:val="single" w:color="000000" w:sz="8" w:space="0"/>
            </w:tcBorders>
            <w:shd w:val="clear" w:color="auto" w:fill="auto"/>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c>
          <w:tcPr>
            <w:tcW w:w="1005" w:type="dxa"/>
            <w:tcBorders>
              <w:top w:val="nil"/>
              <w:left w:val="nil"/>
              <w:bottom w:val="single" w:color="000000" w:sz="8" w:space="0"/>
              <w:right w:val="single" w:color="000000" w:sz="8" w:space="0"/>
            </w:tcBorders>
            <w:shd w:val="clear" w:color="auto" w:fill="auto"/>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0.7</w:t>
            </w:r>
          </w:p>
        </w:tc>
        <w:tc>
          <w:tcPr>
            <w:tcW w:w="1170" w:type="dxa"/>
            <w:tcBorders>
              <w:top w:val="nil"/>
              <w:left w:val="nil"/>
              <w:bottom w:val="single" w:color="000000" w:sz="8" w:space="0"/>
              <w:right w:val="single" w:color="000000" w:sz="8" w:space="0"/>
            </w:tcBorders>
            <w:shd w:val="clear" w:color="auto" w:fill="auto"/>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c>
          <w:tcPr>
            <w:tcW w:w="1149" w:type="dxa"/>
            <w:tcBorders>
              <w:top w:val="nil"/>
              <w:left w:val="nil"/>
              <w:bottom w:val="single" w:color="000000" w:sz="8" w:space="0"/>
              <w:right w:val="single" w:color="000000" w:sz="8" w:space="0"/>
            </w:tcBorders>
            <w:shd w:val="clear" w:color="auto" w:fill="auto"/>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-6.3</w:t>
            </w:r>
          </w:p>
        </w:tc>
        <w:tc>
          <w:tcPr>
            <w:tcW w:w="1290" w:type="dxa"/>
            <w:tcBorders>
              <w:top w:val="nil"/>
              <w:left w:val="nil"/>
              <w:bottom w:val="single" w:color="000000" w:sz="8" w:space="0"/>
              <w:right w:val="single" w:color="000000" w:sz="8" w:space="0"/>
            </w:tcBorders>
            <w:shd w:val="clear" w:color="auto" w:fill="auto"/>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r>
      <w:tr>
        <w:tblPrEx>
          <w:tblCellMar>
            <w:top w:w="0" w:type="dxa"/>
            <w:left w:w="0" w:type="dxa"/>
            <w:bottom w:w="0" w:type="dxa"/>
            <w:right w:w="0" w:type="dxa"/>
          </w:tblCellMar>
        </w:tblPrEx>
        <w:trPr>
          <w:trHeight w:val="399" w:hRule="atLeast"/>
          <w:jc w:val="center"/>
        </w:trPr>
        <w:tc>
          <w:tcPr>
            <w:tcW w:w="1632"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合计</w:t>
            </w:r>
          </w:p>
        </w:tc>
        <w:tc>
          <w:tcPr>
            <w:tcW w:w="1065" w:type="dxa"/>
            <w:tcBorders>
              <w:top w:val="nil"/>
              <w:left w:val="nil"/>
              <w:bottom w:val="single" w:color="000000" w:sz="8" w:space="0"/>
              <w:right w:val="single" w:color="000000" w:sz="8" w:space="0"/>
            </w:tcBorders>
            <w:shd w:val="clear" w:color="auto" w:fill="D9D9D9"/>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7</w:t>
            </w:r>
          </w:p>
        </w:tc>
        <w:tc>
          <w:tcPr>
            <w:tcW w:w="1125" w:type="dxa"/>
            <w:tcBorders>
              <w:top w:val="nil"/>
              <w:left w:val="nil"/>
              <w:bottom w:val="single" w:color="000000" w:sz="8" w:space="0"/>
              <w:right w:val="single" w:color="000000" w:sz="8" w:space="0"/>
            </w:tcBorders>
            <w:shd w:val="clear" w:color="auto" w:fill="D9D9D9"/>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c>
          <w:tcPr>
            <w:tcW w:w="1005" w:type="dxa"/>
            <w:tcBorders>
              <w:top w:val="nil"/>
              <w:left w:val="nil"/>
              <w:bottom w:val="single" w:color="000000" w:sz="8" w:space="0"/>
              <w:right w:val="single" w:color="000000" w:sz="8" w:space="0"/>
            </w:tcBorders>
            <w:shd w:val="clear" w:color="auto" w:fill="D9D9D9"/>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0.7</w:t>
            </w:r>
          </w:p>
        </w:tc>
        <w:tc>
          <w:tcPr>
            <w:tcW w:w="1170" w:type="dxa"/>
            <w:tcBorders>
              <w:top w:val="nil"/>
              <w:left w:val="nil"/>
              <w:bottom w:val="single" w:color="000000" w:sz="8" w:space="0"/>
              <w:right w:val="single" w:color="000000" w:sz="8" w:space="0"/>
            </w:tcBorders>
            <w:shd w:val="clear" w:color="auto" w:fill="D9D9D9"/>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c>
          <w:tcPr>
            <w:tcW w:w="1149" w:type="dxa"/>
            <w:tcBorders>
              <w:top w:val="nil"/>
              <w:left w:val="nil"/>
              <w:bottom w:val="single" w:color="000000" w:sz="8" w:space="0"/>
              <w:right w:val="single" w:color="000000" w:sz="8" w:space="0"/>
            </w:tcBorders>
            <w:shd w:val="clear" w:color="auto" w:fill="D9D9D9"/>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-6.3</w:t>
            </w:r>
          </w:p>
        </w:tc>
        <w:tc>
          <w:tcPr>
            <w:tcW w:w="1290" w:type="dxa"/>
            <w:tcBorders>
              <w:top w:val="nil"/>
              <w:left w:val="nil"/>
              <w:bottom w:val="single" w:color="000000" w:sz="8" w:space="0"/>
              <w:right w:val="single" w:color="000000" w:sz="8" w:space="0"/>
            </w:tcBorders>
            <w:shd w:val="clear" w:color="auto" w:fill="D9D9D9"/>
            <w:tcMar>
              <w:left w:w="15" w:type="dxa"/>
              <w:right w:w="15" w:type="dxa"/>
            </w:tcMa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r>
    </w:tbl>
    <w:p>
      <w:pPr>
        <w:pStyle w:val="4"/>
        <w:widowControl/>
        <w:spacing w:beforeAutospacing="0" w:afterAutospacing="0" w:line="500" w:lineRule="atLeast"/>
        <w:ind w:firstLine="480"/>
        <w:rPr>
          <w:rFonts w:ascii="宋体" w:hAnsi="宋体" w:eastAsia="宋体" w:cs="宋体"/>
        </w:rPr>
      </w:pPr>
      <w:r>
        <w:rPr>
          <w:rFonts w:hint="eastAsia" w:ascii="仿宋" w:hAnsi="仿宋" w:eastAsia="仿宋" w:cs="仿宋"/>
          <w:color w:val="000000"/>
        </w:rPr>
        <w:t>2019年公务接待费决算与预算减少6.3万元。</w:t>
      </w:r>
    </w:p>
    <w:p>
      <w:pPr>
        <w:pStyle w:val="4"/>
        <w:widowControl/>
        <w:spacing w:beforeAutospacing="0" w:afterAutospacing="0" w:line="500" w:lineRule="atLeast"/>
        <w:ind w:left="448" w:firstLine="120"/>
        <w:jc w:val="both"/>
        <w:rPr>
          <w:rFonts w:ascii="微软雅黑" w:hAnsi="微软雅黑" w:eastAsia="微软雅黑" w:cs="微软雅黑"/>
          <w:sz w:val="18"/>
          <w:szCs w:val="18"/>
        </w:rPr>
      </w:pPr>
      <w:r>
        <w:rPr>
          <w:rFonts w:hint="eastAsia" w:ascii="仿宋" w:hAnsi="仿宋" w:eastAsia="仿宋" w:cs="仿宋"/>
          <w:color w:val="000000"/>
        </w:rPr>
        <w:t>2、“三公经费”与上年度比较</w:t>
      </w:r>
    </w:p>
    <w:p>
      <w:pPr>
        <w:pStyle w:val="4"/>
        <w:widowControl/>
        <w:spacing w:beforeAutospacing="0" w:afterAutospacing="0" w:line="500" w:lineRule="atLeast"/>
        <w:ind w:left="450" w:hanging="450"/>
        <w:jc w:val="both"/>
        <w:rPr>
          <w:rFonts w:ascii="微软雅黑" w:hAnsi="微软雅黑" w:eastAsia="微软雅黑" w:cs="微软雅黑"/>
          <w:sz w:val="18"/>
          <w:szCs w:val="18"/>
        </w:rPr>
      </w:pPr>
      <w:r>
        <w:rPr>
          <w:rFonts w:hint="eastAsia" w:ascii="仿宋" w:hAnsi="仿宋" w:eastAsia="仿宋" w:cs="仿宋"/>
          <w:color w:val="000000"/>
        </w:rPr>
        <w:t> </w:t>
      </w:r>
    </w:p>
    <w:tbl>
      <w:tblPr>
        <w:tblStyle w:val="5"/>
        <w:tblW w:w="8475" w:type="dxa"/>
        <w:jc w:val="center"/>
        <w:tblLayout w:type="autofit"/>
        <w:tblCellMar>
          <w:top w:w="0" w:type="dxa"/>
          <w:left w:w="0" w:type="dxa"/>
          <w:bottom w:w="0" w:type="dxa"/>
          <w:right w:w="0" w:type="dxa"/>
        </w:tblCellMar>
      </w:tblPr>
      <w:tblGrid>
        <w:gridCol w:w="1796"/>
        <w:gridCol w:w="1180"/>
        <w:gridCol w:w="1256"/>
        <w:gridCol w:w="1250"/>
        <w:gridCol w:w="2993"/>
      </w:tblGrid>
      <w:tr>
        <w:tblPrEx>
          <w:tblCellMar>
            <w:top w:w="0" w:type="dxa"/>
            <w:left w:w="0" w:type="dxa"/>
            <w:bottom w:w="0" w:type="dxa"/>
            <w:right w:w="0" w:type="dxa"/>
          </w:tblCellMar>
        </w:tblPrEx>
        <w:trPr>
          <w:trHeight w:val="331" w:hRule="atLeast"/>
          <w:jc w:val="center"/>
        </w:trPr>
        <w:tc>
          <w:tcPr>
            <w:tcW w:w="1795" w:type="dxa"/>
            <w:tcBorders>
              <w:top w:val="single" w:color="000000" w:sz="8" w:space="0"/>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费用项目</w:t>
            </w:r>
          </w:p>
        </w:tc>
        <w:tc>
          <w:tcPr>
            <w:tcW w:w="117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本年金额</w:t>
            </w:r>
          </w:p>
        </w:tc>
        <w:tc>
          <w:tcPr>
            <w:tcW w:w="1255"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上年金额</w:t>
            </w:r>
          </w:p>
        </w:tc>
        <w:tc>
          <w:tcPr>
            <w:tcW w:w="1249"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增减额</w:t>
            </w:r>
          </w:p>
        </w:tc>
        <w:tc>
          <w:tcPr>
            <w:tcW w:w="2991" w:type="dxa"/>
            <w:tcBorders>
              <w:top w:val="single" w:color="000000" w:sz="8" w:space="0"/>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增减率%</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公务接待费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0.7</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2.93</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-2.23</w:t>
            </w:r>
          </w:p>
        </w:tc>
        <w:tc>
          <w:tcPr>
            <w:tcW w:w="2991"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-76.11</w:t>
            </w:r>
          </w:p>
        </w:tc>
      </w:tr>
      <w:tr>
        <w:tblPrEx>
          <w:tblCellMar>
            <w:top w:w="0" w:type="dxa"/>
            <w:left w:w="0" w:type="dxa"/>
            <w:bottom w:w="0" w:type="dxa"/>
            <w:right w:w="0" w:type="dxa"/>
          </w:tblCellMar>
        </w:tblPrEx>
        <w:trPr>
          <w:trHeight w:val="331" w:hRule="atLeast"/>
          <w:jc w:val="center"/>
        </w:trPr>
        <w:tc>
          <w:tcPr>
            <w:tcW w:w="1795" w:type="dxa"/>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公车运行维护费</w:t>
            </w:r>
          </w:p>
        </w:tc>
        <w:tc>
          <w:tcPr>
            <w:tcW w:w="117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c>
          <w:tcPr>
            <w:tcW w:w="125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c>
          <w:tcPr>
            <w:tcW w:w="1249"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c>
          <w:tcPr>
            <w:tcW w:w="2991"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 </w:t>
            </w:r>
          </w:p>
        </w:tc>
      </w:tr>
      <w:tr>
        <w:tblPrEx>
          <w:tblCellMar>
            <w:top w:w="0" w:type="dxa"/>
            <w:left w:w="0" w:type="dxa"/>
            <w:bottom w:w="0" w:type="dxa"/>
            <w:right w:w="0" w:type="dxa"/>
          </w:tblCellMar>
        </w:tblPrEx>
        <w:trPr>
          <w:trHeight w:val="369" w:hRule="atLeast"/>
          <w:jc w:val="center"/>
        </w:trPr>
        <w:tc>
          <w:tcPr>
            <w:tcW w:w="1795" w:type="dxa"/>
            <w:tcBorders>
              <w:top w:val="nil"/>
              <w:left w:val="single" w:color="000000" w:sz="8" w:space="0"/>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合计</w:t>
            </w:r>
          </w:p>
        </w:tc>
        <w:tc>
          <w:tcPr>
            <w:tcW w:w="117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0.7</w:t>
            </w:r>
          </w:p>
        </w:tc>
        <w:tc>
          <w:tcPr>
            <w:tcW w:w="1255"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2.93</w:t>
            </w:r>
          </w:p>
        </w:tc>
        <w:tc>
          <w:tcPr>
            <w:tcW w:w="1249"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-2.23</w:t>
            </w:r>
          </w:p>
        </w:tc>
        <w:tc>
          <w:tcPr>
            <w:tcW w:w="2991" w:type="dxa"/>
            <w:tcBorders>
              <w:top w:val="nil"/>
              <w:left w:val="nil"/>
              <w:bottom w:val="single" w:color="000000" w:sz="8" w:space="0"/>
              <w:right w:val="single" w:color="000000" w:sz="8" w:space="0"/>
            </w:tcBorders>
            <w:shd w:val="clear" w:color="auto" w:fill="D9D9D9"/>
            <w:tcMar>
              <w:left w:w="15" w:type="dxa"/>
              <w:right w:w="15" w:type="dxa"/>
            </w:tcMar>
            <w:vAlign w:val="center"/>
          </w:tcPr>
          <w:p>
            <w:pPr>
              <w:pStyle w:val="4"/>
              <w:widowControl/>
              <w:spacing w:beforeAutospacing="0" w:afterAutospacing="0" w:line="500" w:lineRule="atLeast"/>
              <w:ind w:left="450" w:hanging="450"/>
              <w:jc w:val="center"/>
              <w:rPr>
                <w:rFonts w:ascii="微软雅黑" w:hAnsi="微软雅黑" w:eastAsia="微软雅黑" w:cs="微软雅黑"/>
                <w:sz w:val="18"/>
                <w:szCs w:val="18"/>
              </w:rPr>
            </w:pPr>
            <w:r>
              <w:rPr>
                <w:rFonts w:hint="eastAsia" w:ascii="仿宋" w:hAnsi="仿宋" w:eastAsia="仿宋" w:cs="仿宋"/>
                <w:color w:val="000000"/>
              </w:rPr>
              <w:t>-76.11</w:t>
            </w:r>
          </w:p>
        </w:tc>
      </w:tr>
    </w:tbl>
    <w:p>
      <w:pPr>
        <w:pStyle w:val="4"/>
        <w:widowControl/>
        <w:shd w:val="clear" w:color="auto" w:fill="FFFFFF"/>
        <w:spacing w:beforeAutospacing="0" w:afterAutospacing="0" w:line="500" w:lineRule="atLeast"/>
        <w:ind w:firstLine="600"/>
        <w:rPr>
          <w:rFonts w:ascii="微软雅黑" w:hAnsi="微软雅黑" w:eastAsia="微软雅黑" w:cs="微软雅黑"/>
          <w:sz w:val="18"/>
          <w:szCs w:val="18"/>
        </w:rPr>
      </w:pPr>
      <w:r>
        <w:rPr>
          <w:rFonts w:hint="eastAsia" w:ascii="仿宋" w:hAnsi="仿宋" w:eastAsia="仿宋" w:cs="仿宋"/>
          <w:color w:val="000000"/>
          <w:shd w:val="clear" w:color="auto" w:fill="FFFFFF"/>
        </w:rPr>
        <w:t>2019年“三公”经费支出0.7万元，比上年减少2.23万元。招待费用0.7万元，比上年减少2.23万元，支出减少的主要原因为认真贯彻落实“八项”规定要求，实行预算控制制度，严格控制公务接待数量、规模、接待标准等。</w:t>
      </w:r>
      <w:r>
        <w:rPr>
          <w:rFonts w:hint="eastAsia" w:ascii="仿宋" w:hAnsi="仿宋" w:eastAsia="仿宋" w:cs="仿宋"/>
          <w:color w:val="333333"/>
          <w:shd w:val="clear" w:color="auto" w:fill="FFFFFF"/>
        </w:rPr>
        <w:t>因本单位无公务车辆，所以2019年没有产生公务用车购置及运行维护费。</w:t>
      </w:r>
      <w:r>
        <w:rPr>
          <w:rFonts w:hint="eastAsia" w:ascii="仿宋" w:hAnsi="仿宋" w:eastAsia="仿宋" w:cs="仿宋"/>
          <w:color w:val="1E1E1E"/>
          <w:shd w:val="clear" w:color="auto" w:fill="FFFFFF"/>
        </w:rPr>
        <w:t>实加强“三公”经费管理，努力降低行政成本，厉行节约，勤俭办事，较好地完成了本年度的预算执行任务。来年有待我们在今后的工作中进一步提高。</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1E1E1E"/>
        </w:rPr>
        <w:t>四、部门整体支出绩效评价效益分析</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1E1E1E"/>
        </w:rPr>
        <w:t>经济效益：通过科技推广和林下经济不仅促进林区农民增收，还为农民带了低门槛、劳力密集型就业，让农民不出乡也能致富，实现幸福指数高的绿色就业，进一步减少了大城市的压力，带来不可估量的社会效益。而有一批返乡农民工还具备比较高的文化素质和一定的资金积累，他们带回了资本、技术等，为繁荣农村经济作出贡献。</w:t>
      </w:r>
    </w:p>
    <w:p>
      <w:pPr>
        <w:pStyle w:val="4"/>
        <w:widowControl/>
        <w:shd w:val="clear" w:color="auto" w:fill="FFFFFF"/>
        <w:spacing w:beforeAutospacing="0" w:afterAutospacing="0" w:line="500" w:lineRule="atLeast"/>
        <w:ind w:firstLine="480"/>
        <w:rPr>
          <w:rFonts w:ascii="宋体" w:hAnsi="宋体" w:eastAsia="宋体" w:cs="宋体"/>
        </w:rPr>
      </w:pPr>
      <w:r>
        <w:rPr>
          <w:rFonts w:hint="eastAsia" w:ascii="仿宋" w:hAnsi="仿宋" w:eastAsia="仿宋" w:cs="仿宋"/>
          <w:color w:val="1E1E1E"/>
          <w:shd w:val="clear" w:color="auto" w:fill="FFFFFF"/>
        </w:rPr>
        <w:t>社会效益：促进城市空气清新、景观优美、生态友好，城市人居环境明显改善。城市园林绿化是唯一有生命的城市基础设施，城市园林绿化维护功在当代，利在千秋。打造优美的城市环境，对保全城市生态系统的合理的发展和改善环境的质量有着积极的作用。</w:t>
      </w:r>
      <w:r>
        <w:rPr>
          <w:rFonts w:hint="eastAsia" w:ascii="宋体" w:hAnsi="宋体" w:eastAsia="宋体" w:cs="宋体"/>
          <w:color w:val="1E1E1E"/>
          <w:shd w:val="clear" w:color="auto" w:fill="FFFFFF"/>
        </w:rPr>
        <w:t> </w:t>
      </w:r>
    </w:p>
    <w:p>
      <w:pPr>
        <w:pStyle w:val="4"/>
        <w:widowControl/>
        <w:shd w:val="clear" w:color="auto" w:fill="FFFFFF"/>
        <w:spacing w:beforeAutospacing="0" w:afterAutospacing="0" w:line="500" w:lineRule="atLeast"/>
        <w:rPr>
          <w:rFonts w:ascii="宋体" w:hAnsi="宋体" w:eastAsia="宋体" w:cs="宋体"/>
        </w:rPr>
      </w:pPr>
      <w:r>
        <w:rPr>
          <w:rFonts w:hint="eastAsia" w:ascii="仿宋" w:hAnsi="仿宋" w:eastAsia="仿宋" w:cs="仿宋"/>
          <w:color w:val="1E1E1E"/>
          <w:shd w:val="clear" w:color="auto" w:fill="FFFFFF"/>
        </w:rPr>
        <w:t>　　行政效能：林管办在不断改善行政管理、严格经费及资产管理，改进文风会风，精简会议，提高了管理效率，降低了管理成本。</w:t>
      </w:r>
      <w:r>
        <w:rPr>
          <w:rFonts w:hint="eastAsia" w:ascii="宋体" w:hAnsi="宋体" w:eastAsia="宋体" w:cs="宋体"/>
          <w:color w:val="1E1E1E"/>
          <w:shd w:val="clear" w:color="auto" w:fill="FFFFFF"/>
        </w:rPr>
        <w:t> </w:t>
      </w:r>
    </w:p>
    <w:p>
      <w:pPr>
        <w:pStyle w:val="4"/>
        <w:widowControl/>
        <w:shd w:val="clear" w:color="auto" w:fill="FFFFFF"/>
        <w:spacing w:beforeAutospacing="0" w:afterAutospacing="0" w:line="500" w:lineRule="atLeast"/>
        <w:rPr>
          <w:rFonts w:ascii="宋体" w:hAnsi="宋体" w:eastAsia="宋体" w:cs="宋体"/>
        </w:rPr>
      </w:pPr>
      <w:r>
        <w:rPr>
          <w:rFonts w:hint="eastAsia" w:ascii="仿宋" w:hAnsi="仿宋" w:eastAsia="仿宋" w:cs="仿宋"/>
          <w:color w:val="1E1E1E"/>
          <w:shd w:val="clear" w:color="auto" w:fill="FFFFFF"/>
        </w:rPr>
        <w:t>　　社会公众或服务对象满意度：服务对象全县人民，满意度90%以上。</w:t>
      </w:r>
      <w:r>
        <w:rPr>
          <w:rFonts w:hint="eastAsia" w:ascii="宋体" w:hAnsi="宋体" w:eastAsia="宋体" w:cs="宋体"/>
          <w:color w:val="1E1E1E"/>
          <w:shd w:val="clear" w:color="auto" w:fill="FFFFFF"/>
        </w:rPr>
        <w:t> </w:t>
      </w:r>
    </w:p>
    <w:p>
      <w:pPr>
        <w:pStyle w:val="4"/>
        <w:widowControl/>
        <w:shd w:val="clear" w:color="auto" w:fill="FFFFFF"/>
        <w:spacing w:beforeAutospacing="0" w:afterAutospacing="0" w:line="500" w:lineRule="atLeast"/>
        <w:rPr>
          <w:rFonts w:ascii="宋体" w:hAnsi="宋体" w:eastAsia="宋体" w:cs="宋体"/>
        </w:rPr>
      </w:pPr>
      <w:r>
        <w:rPr>
          <w:rFonts w:hint="eastAsia" w:ascii="仿宋" w:hAnsi="仿宋" w:eastAsia="仿宋" w:cs="仿宋"/>
          <w:color w:val="1E1E1E"/>
          <w:shd w:val="clear" w:color="auto" w:fill="FFFFFF"/>
        </w:rPr>
        <w:t>　　综合以上各项指标，林管办财务管理制度健全规范，无违规违纪现象</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1E1E1E"/>
        </w:rPr>
        <w:t>五、存在的问题和建议</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1E1E1E"/>
        </w:rPr>
        <w:t>存在的问题：项目相关管理制度还有待完善。</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1E1E1E"/>
        </w:rPr>
        <w:t>建议：</w:t>
      </w:r>
    </w:p>
    <w:p>
      <w:pPr>
        <w:pStyle w:val="4"/>
        <w:widowControl/>
        <w:shd w:val="clear" w:color="auto" w:fill="FFFFFF"/>
        <w:spacing w:beforeAutospacing="0" w:afterAutospacing="0" w:line="500" w:lineRule="atLeast"/>
        <w:ind w:firstLine="480"/>
        <w:rPr>
          <w:rFonts w:ascii="宋体" w:hAnsi="宋体" w:eastAsia="宋体" w:cs="宋体"/>
        </w:rPr>
      </w:pPr>
      <w:r>
        <w:rPr>
          <w:rFonts w:hint="eastAsia" w:ascii="仿宋" w:hAnsi="仿宋" w:eastAsia="仿宋" w:cs="仿宋"/>
          <w:color w:val="1E1E1E"/>
          <w:shd w:val="clear" w:color="auto" w:fill="FFFFFF"/>
        </w:rPr>
        <w:t>1、因部门整体支出的预算资金安排和使用上仍有不可预见性，年中需要追加部分经费，所以导致预算控制率低，加强预算管理、严格预算执行，科学编制预算。</w:t>
      </w:r>
      <w:r>
        <w:rPr>
          <w:rFonts w:hint="eastAsia" w:ascii="宋体" w:hAnsi="宋体" w:eastAsia="宋体" w:cs="宋体"/>
          <w:color w:val="1E1E1E"/>
          <w:shd w:val="clear" w:color="auto" w:fill="FFFFFF"/>
        </w:rPr>
        <w:t> </w:t>
      </w:r>
    </w:p>
    <w:p>
      <w:pPr>
        <w:pStyle w:val="4"/>
        <w:widowControl/>
        <w:shd w:val="clear" w:color="auto" w:fill="FFFFFF"/>
        <w:spacing w:beforeAutospacing="0" w:afterAutospacing="0" w:line="500" w:lineRule="atLeast"/>
        <w:rPr>
          <w:rFonts w:ascii="宋体" w:hAnsi="宋体" w:eastAsia="宋体" w:cs="宋体"/>
        </w:rPr>
      </w:pPr>
      <w:r>
        <w:rPr>
          <w:rFonts w:hint="eastAsia" w:ascii="仿宋" w:hAnsi="仿宋" w:eastAsia="仿宋" w:cs="仿宋"/>
          <w:color w:val="1E1E1E"/>
          <w:shd w:val="clear" w:color="auto" w:fill="FFFFFF"/>
        </w:rPr>
        <w:t>　　2、加强队伍建设，抓好绩效评价管理部门的队伍建设和业务指导，培养项目和部门的绩效管理队伍，建立绩效评价的长期机制。</w:t>
      </w:r>
      <w:r>
        <w:rPr>
          <w:rFonts w:hint="eastAsia" w:ascii="宋体" w:hAnsi="宋体" w:eastAsia="宋体" w:cs="宋体"/>
          <w:color w:val="1E1E1E"/>
          <w:shd w:val="clear" w:color="auto" w:fill="FFFFFF"/>
        </w:rPr>
        <w:t> </w:t>
      </w:r>
    </w:p>
    <w:p>
      <w:pPr>
        <w:pStyle w:val="4"/>
        <w:widowControl/>
        <w:spacing w:beforeAutospacing="0" w:afterAutospacing="0" w:line="500" w:lineRule="atLeast"/>
        <w:ind w:firstLine="480"/>
        <w:jc w:val="both"/>
        <w:rPr>
          <w:rFonts w:ascii="微软雅黑" w:hAnsi="微软雅黑" w:eastAsia="微软雅黑" w:cs="微软雅黑"/>
          <w:sz w:val="18"/>
          <w:szCs w:val="18"/>
        </w:rPr>
      </w:pPr>
      <w:r>
        <w:rPr>
          <w:rFonts w:hint="eastAsia" w:ascii="仿宋" w:hAnsi="仿宋" w:eastAsia="仿宋" w:cs="仿宋"/>
          <w:color w:val="1E1E1E"/>
        </w:rPr>
        <w:t> </w:t>
      </w:r>
    </w:p>
    <w:p>
      <w:pPr>
        <w:widowControl/>
        <w:spacing w:beforeAutospacing="1" w:afterAutospacing="1"/>
        <w:jc w:val="left"/>
      </w:pPr>
    </w:p>
    <w:p>
      <w:pPr>
        <w:pStyle w:val="4"/>
        <w:widowControl/>
        <w:spacing w:beforeAutospacing="0" w:after="160" w:afterAutospacing="0" w:line="500" w:lineRule="atLeast"/>
        <w:jc w:val="both"/>
        <w:rPr>
          <w:rFonts w:ascii="微软雅黑" w:hAnsi="微软雅黑" w:eastAsia="微软雅黑" w:cs="微软雅黑"/>
          <w:sz w:val="18"/>
          <w:szCs w:val="18"/>
        </w:rPr>
      </w:pPr>
      <w:r>
        <w:rPr>
          <w:rFonts w:hint="eastAsia" w:ascii="仿宋" w:hAnsi="仿宋" w:eastAsia="仿宋" w:cs="仿宋"/>
          <w:color w:val="1E1E1E"/>
          <w:spacing w:val="-8"/>
        </w:rPr>
        <w:t> </w:t>
      </w:r>
    </w:p>
    <w:p>
      <w:pPr>
        <w:pStyle w:val="4"/>
        <w:widowControl/>
        <w:spacing w:beforeAutospacing="0" w:afterAutospacing="0" w:line="500" w:lineRule="atLeast"/>
        <w:jc w:val="center"/>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jc w:val="center"/>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jc w:val="center"/>
        <w:rPr>
          <w:rFonts w:ascii="微软雅黑" w:hAnsi="微软雅黑" w:eastAsia="微软雅黑" w:cs="微软雅黑"/>
          <w:sz w:val="18"/>
          <w:szCs w:val="18"/>
        </w:rPr>
      </w:pPr>
      <w:r>
        <w:rPr>
          <w:rFonts w:hint="eastAsia" w:ascii="微软雅黑" w:hAnsi="微软雅黑" w:eastAsia="微软雅黑" w:cs="微软雅黑"/>
          <w:color w:val="1E1E1E"/>
          <w:sz w:val="18"/>
          <w:szCs w:val="18"/>
        </w:rPr>
        <w:t> </w:t>
      </w:r>
    </w:p>
    <w:p>
      <w:pPr>
        <w:pStyle w:val="4"/>
        <w:widowControl/>
        <w:spacing w:beforeAutospacing="0" w:afterAutospacing="0" w:line="500" w:lineRule="atLeast"/>
        <w:jc w:val="center"/>
        <w:rPr>
          <w:rFonts w:ascii="微软雅黑" w:hAnsi="微软雅黑" w:eastAsia="微软雅黑" w:cs="微软雅黑"/>
          <w:sz w:val="18"/>
          <w:szCs w:val="18"/>
        </w:rPr>
      </w:pPr>
      <w:r>
        <w:rPr>
          <w:rFonts w:hint="eastAsia" w:ascii="宋体" w:hAnsi="宋体" w:eastAsia="宋体" w:cs="宋体"/>
          <w:color w:val="1E1E1E"/>
          <w:sz w:val="36"/>
          <w:szCs w:val="36"/>
        </w:rPr>
        <w:t>新邵县林管办2019年度部门整体支出</w:t>
      </w:r>
      <w:r>
        <w:rPr>
          <w:rFonts w:hint="eastAsia" w:ascii="宋体" w:hAnsi="宋体" w:eastAsia="宋体" w:cs="宋体"/>
          <w:color w:val="1E1E1E"/>
          <w:spacing w:val="-8"/>
          <w:sz w:val="36"/>
          <w:szCs w:val="36"/>
        </w:rPr>
        <w:t>绩效评价指标评分表</w:t>
      </w:r>
    </w:p>
    <w:tbl>
      <w:tblPr>
        <w:tblStyle w:val="5"/>
        <w:tblW w:w="0" w:type="auto"/>
        <w:jc w:val="center"/>
        <w:tblLayout w:type="autofit"/>
        <w:tblCellMar>
          <w:top w:w="0" w:type="dxa"/>
          <w:left w:w="0" w:type="dxa"/>
          <w:bottom w:w="0" w:type="dxa"/>
          <w:right w:w="0" w:type="dxa"/>
        </w:tblCellMar>
      </w:tblPr>
      <w:tblGrid>
        <w:gridCol w:w="516"/>
        <w:gridCol w:w="552"/>
        <w:gridCol w:w="797"/>
        <w:gridCol w:w="2001"/>
        <w:gridCol w:w="509"/>
        <w:gridCol w:w="3509"/>
        <w:gridCol w:w="442"/>
      </w:tblGrid>
      <w:tr>
        <w:tblPrEx>
          <w:tblCellMar>
            <w:top w:w="0" w:type="dxa"/>
            <w:left w:w="0" w:type="dxa"/>
            <w:bottom w:w="0" w:type="dxa"/>
            <w:right w:w="0" w:type="dxa"/>
          </w:tblCellMar>
        </w:tblPrEx>
        <w:trPr>
          <w:trHeight w:val="553" w:hRule="atLeast"/>
          <w:tblHeader/>
          <w:jc w:val="center"/>
        </w:trPr>
        <w:tc>
          <w:tcPr>
            <w:tcW w:w="709"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一级</w:t>
            </w:r>
            <w:r>
              <w:rPr>
                <w:rFonts w:hint="eastAsia" w:ascii="宋体" w:hAnsi="宋体" w:eastAsia="宋体" w:cs="宋体"/>
                <w:b/>
                <w:sz w:val="20"/>
                <w:szCs w:val="20"/>
              </w:rPr>
              <w:br w:type="textWrapping"/>
            </w:r>
            <w:r>
              <w:rPr>
                <w:rFonts w:hint="eastAsia" w:ascii="宋体" w:hAnsi="宋体" w:eastAsia="宋体" w:cs="宋体"/>
                <w:b/>
                <w:sz w:val="20"/>
                <w:szCs w:val="20"/>
              </w:rPr>
              <w:t>指标</w:t>
            </w:r>
          </w:p>
        </w:tc>
        <w:tc>
          <w:tcPr>
            <w:tcW w:w="680"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二级</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指标</w:t>
            </w:r>
          </w:p>
        </w:tc>
        <w:tc>
          <w:tcPr>
            <w:tcW w:w="1172"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三级指标</w:t>
            </w:r>
          </w:p>
        </w:tc>
        <w:tc>
          <w:tcPr>
            <w:tcW w:w="3573"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指标解释</w:t>
            </w:r>
          </w:p>
        </w:tc>
        <w:tc>
          <w:tcPr>
            <w:tcW w:w="696"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分值</w:t>
            </w:r>
          </w:p>
        </w:tc>
        <w:tc>
          <w:tcPr>
            <w:tcW w:w="5886" w:type="dxa"/>
            <w:tcBorders>
              <w:top w:val="single" w:color="auto" w:sz="8" w:space="0"/>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指标说明</w:t>
            </w:r>
          </w:p>
        </w:tc>
        <w:tc>
          <w:tcPr>
            <w:tcW w:w="464" w:type="dxa"/>
            <w:tcBorders>
              <w:top w:val="single" w:color="auto" w:sz="8" w:space="0"/>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textAlignment w:val="center"/>
              <w:rPr>
                <w:rFonts w:ascii="微软雅黑" w:hAnsi="微软雅黑" w:eastAsia="微软雅黑" w:cs="微软雅黑"/>
                <w:sz w:val="18"/>
                <w:szCs w:val="18"/>
              </w:rPr>
            </w:pPr>
            <w:r>
              <w:rPr>
                <w:rFonts w:hint="eastAsia" w:ascii="宋体" w:hAnsi="宋体" w:eastAsia="宋体" w:cs="宋体"/>
                <w:b/>
                <w:sz w:val="20"/>
                <w:szCs w:val="20"/>
              </w:rPr>
              <w:t>单位</w:t>
            </w:r>
          </w:p>
          <w:p>
            <w:pPr>
              <w:pStyle w:val="4"/>
              <w:widowControl/>
              <w:spacing w:beforeAutospacing="0" w:afterAutospacing="0" w:line="500" w:lineRule="atLeast"/>
              <w:jc w:val="center"/>
              <w:textAlignment w:val="center"/>
              <w:rPr>
                <w:rFonts w:ascii="微软雅黑" w:hAnsi="微软雅黑" w:eastAsia="微软雅黑" w:cs="微软雅黑"/>
                <w:sz w:val="18"/>
                <w:szCs w:val="18"/>
              </w:rPr>
            </w:pPr>
            <w:r>
              <w:rPr>
                <w:rFonts w:hint="eastAsia" w:ascii="宋体" w:hAnsi="宋体" w:eastAsia="宋体" w:cs="宋体"/>
                <w:b/>
                <w:sz w:val="20"/>
                <w:szCs w:val="20"/>
              </w:rPr>
              <w:t>自评</w:t>
            </w:r>
          </w:p>
        </w:tc>
      </w:tr>
      <w:tr>
        <w:tblPrEx>
          <w:tblCellMar>
            <w:top w:w="0" w:type="dxa"/>
            <w:left w:w="0" w:type="dxa"/>
            <w:bottom w:w="0" w:type="dxa"/>
            <w:right w:w="0" w:type="dxa"/>
          </w:tblCellMar>
        </w:tblPrEx>
        <w:trPr>
          <w:trHeight w:val="1006" w:hRule="atLeast"/>
          <w:jc w:val="center"/>
        </w:trPr>
        <w:tc>
          <w:tcPr>
            <w:tcW w:w="709"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投入(20分)</w:t>
            </w: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目标</w:t>
            </w:r>
            <w:r>
              <w:rPr>
                <w:rFonts w:hint="eastAsia" w:ascii="宋体" w:hAnsi="宋体" w:eastAsia="宋体" w:cs="宋体"/>
                <w:b/>
                <w:sz w:val="20"/>
                <w:szCs w:val="20"/>
              </w:rPr>
              <w:br w:type="textWrapping"/>
            </w:r>
            <w:r>
              <w:rPr>
                <w:rFonts w:hint="eastAsia" w:ascii="宋体" w:hAnsi="宋体" w:eastAsia="宋体" w:cs="宋体"/>
                <w:b/>
                <w:sz w:val="20"/>
                <w:szCs w:val="20"/>
              </w:rPr>
              <w:t>设定</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（5分）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绩效目标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合理性</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部门所设立的整体绩效目标依据是否充分，是否符合客观实际，用以反映和考核部门整体绩效目标与部门履职、年度工作任务的相符性情况。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①符合国家法律法规、国民经济和社会发展总体规划计1分；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②符合部门“三定”方案确定的职责计0.5分；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③是否符合部门制定的中长期实施规划计0.5分。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r>
      <w:tr>
        <w:tblPrEx>
          <w:tblCellMar>
            <w:top w:w="0" w:type="dxa"/>
            <w:left w:w="0" w:type="dxa"/>
            <w:bottom w:w="0" w:type="dxa"/>
            <w:right w:w="0" w:type="dxa"/>
          </w:tblCellMar>
        </w:tblPrEx>
        <w:trPr>
          <w:trHeight w:val="102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绩效指标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明确性</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部门依据整体绩效目标所设定的绩效指标是否清晰、细化、可衡量，用以反映和考核部门整体绩效目标的明细化情况。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①将部门整体的绩效目标细化分解为具体的工作任务计1分；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②通过清晰、可衡量的指标值予以体现计0.5分；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③与部门年度的任务数或计划数相对应计0.5分；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④与本年度部门预算资金相匹配计1分。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w:t>
            </w:r>
          </w:p>
        </w:tc>
      </w:tr>
      <w:tr>
        <w:tblPrEx>
          <w:tblCellMar>
            <w:top w:w="0" w:type="dxa"/>
            <w:left w:w="0" w:type="dxa"/>
            <w:bottom w:w="0" w:type="dxa"/>
            <w:right w:w="0" w:type="dxa"/>
          </w:tblCellMar>
        </w:tblPrEx>
        <w:trPr>
          <w:trHeight w:val="1077"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预算</w:t>
            </w:r>
            <w:r>
              <w:rPr>
                <w:rFonts w:hint="eastAsia" w:ascii="宋体" w:hAnsi="宋体" w:eastAsia="宋体" w:cs="宋体"/>
                <w:b/>
                <w:sz w:val="20"/>
                <w:szCs w:val="20"/>
              </w:rPr>
              <w:br w:type="textWrapping"/>
            </w:r>
            <w:r>
              <w:rPr>
                <w:rFonts w:hint="eastAsia" w:ascii="宋体" w:hAnsi="宋体" w:eastAsia="宋体" w:cs="宋体"/>
                <w:b/>
                <w:sz w:val="20"/>
                <w:szCs w:val="20"/>
              </w:rPr>
              <w:t>配置（15分）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在职人员</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控制率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部门本年度实际在职人员数与编制数的比率，用以反映和考核部门对人员成本的控制程度。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1057"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“三公经费”变动率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部门本年度“三公经费”预算数与上年度“三公经费”预算数的变动比率，用以反映和考核部门对控制重点行政成本的努力程度。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三公经费”变动率=[（本年度“三公经费”总额-上年度“三公经费”总额）/上年度“三公经费”总额]×100%。下降的计5分，增加的按比例扣减。“三公经费”：年度预算安排的因公出国（境）费、公务车辆购置及运行费和公务招待费。</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1451"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重点支出</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安排率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部门本年度预算安排的重点项目支出与部门项目总支出的比率，用以反映和考核部门对履行主要职责或完成重点任务的保障程度。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850" w:hRule="atLeast"/>
          <w:jc w:val="center"/>
        </w:trPr>
        <w:tc>
          <w:tcPr>
            <w:tcW w:w="709"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过程</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(40分)</w:t>
            </w: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预算</w:t>
            </w:r>
            <w:r>
              <w:rPr>
                <w:rFonts w:hint="eastAsia" w:ascii="宋体" w:hAnsi="宋体" w:eastAsia="宋体" w:cs="宋体"/>
                <w:b/>
                <w:sz w:val="20"/>
                <w:szCs w:val="20"/>
              </w:rPr>
              <w:br w:type="textWrapping"/>
            </w:r>
            <w:r>
              <w:rPr>
                <w:rFonts w:hint="eastAsia" w:ascii="宋体" w:hAnsi="宋体" w:eastAsia="宋体" w:cs="宋体"/>
                <w:b/>
                <w:sz w:val="20"/>
                <w:szCs w:val="20"/>
              </w:rPr>
              <w:t>执行</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(23分)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预算</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完成率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部门本年度预算完成数与预算数的比率，用以反映和考核部门预算完成程度。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预算完成率=（预算完成数/预算数）×100%。完成年初预算计4分，未完成年初预算按比例扣减，预算完成数：部门本年度实际完成的预算数。预算数：财政部门批复的本年度部门预算数。</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w:t>
            </w:r>
          </w:p>
        </w:tc>
      </w:tr>
      <w:tr>
        <w:tblPrEx>
          <w:tblCellMar>
            <w:top w:w="0" w:type="dxa"/>
            <w:left w:w="0" w:type="dxa"/>
            <w:bottom w:w="0" w:type="dxa"/>
            <w:right w:w="0" w:type="dxa"/>
          </w:tblCellMar>
        </w:tblPrEx>
        <w:trPr>
          <w:trHeight w:val="128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预算</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调整率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部门本年度预算调整数与预算数的比率，用以反映和考核部门预算的调整程度。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1</w:t>
            </w:r>
          </w:p>
        </w:tc>
      </w:tr>
      <w:tr>
        <w:tblPrEx>
          <w:tblCellMar>
            <w:top w:w="0" w:type="dxa"/>
            <w:left w:w="0" w:type="dxa"/>
            <w:bottom w:w="0" w:type="dxa"/>
            <w:right w:w="0" w:type="dxa"/>
          </w:tblCellMar>
        </w:tblPrEx>
        <w:trPr>
          <w:trHeight w:val="1627"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支付</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进度率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部门实际支付进度与既定支付进度的比率，用以反映和考核部门预算执行的及时性和均衡性程度。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r>
      <w:tr>
        <w:tblPrEx>
          <w:tblCellMar>
            <w:top w:w="0" w:type="dxa"/>
            <w:left w:w="0" w:type="dxa"/>
            <w:bottom w:w="0" w:type="dxa"/>
            <w:right w:w="0" w:type="dxa"/>
          </w:tblCellMar>
        </w:tblPrEx>
        <w:trPr>
          <w:trHeight w:val="115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结转结余</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控制率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部门本年度结转结余总额与上年结转结余总额增减比例，用以反映和考核部门对存量资金的实际控制程度。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结转结余控制率=（本年结转结余总额-上年结转结余总额）/上年结转结余总额×100%。低于15%的计4分，每超过5个百分点扣1分，扣完为止。结转结余总额：部门本年度的结转资金与结余资金之和（以决算数为准）。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r>
      <w:tr>
        <w:tblPrEx>
          <w:tblCellMar>
            <w:top w:w="0" w:type="dxa"/>
            <w:left w:w="0" w:type="dxa"/>
            <w:bottom w:w="0" w:type="dxa"/>
            <w:right w:w="0" w:type="dxa"/>
          </w:tblCellMar>
        </w:tblPrEx>
        <w:trPr>
          <w:trHeight w:val="936"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公用经费</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控制率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部门本年度实际支出的公用经费总额与预算安排的公用经费总额的比率，用以反映和考核部门对机构运转成本的实际控制程度。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公用经费控制率=（实际支出公用经费总额/预算安排公用经费总额）×100%。为100%的计4分，每超过1个百分点扣0.1分，扣完为止。</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w:t>
            </w:r>
          </w:p>
        </w:tc>
      </w:tr>
      <w:tr>
        <w:tblPrEx>
          <w:tblCellMar>
            <w:top w:w="0" w:type="dxa"/>
            <w:left w:w="0" w:type="dxa"/>
            <w:bottom w:w="0" w:type="dxa"/>
            <w:right w:w="0" w:type="dxa"/>
          </w:tblCellMar>
        </w:tblPrEx>
        <w:trPr>
          <w:trHeight w:val="87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“三公经费”控制率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部门本年度“三公经费”实际支出数与预算安排数的比率，用以反映和考核部门对“三公经费”的实际控制程度。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“三公经费”控制率=（“三公经费”实际支出数/“三公经费”预算安排数）×100%。为100%的计3分，每超过1个百分点扣0.5分，扣完为止。</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w:t>
            </w:r>
          </w:p>
        </w:tc>
      </w:tr>
      <w:tr>
        <w:trPr>
          <w:trHeight w:val="1170"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政府采购</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执行率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部门本年度实际政府采购金额与年初政府采购预算的比率，用以反映和考核部门政府采购预算执行情况。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w:t>
            </w:r>
          </w:p>
        </w:tc>
      </w:tr>
      <w:tr>
        <w:tblPrEx>
          <w:tblCellMar>
            <w:top w:w="0" w:type="dxa"/>
            <w:left w:w="0" w:type="dxa"/>
            <w:bottom w:w="0" w:type="dxa"/>
            <w:right w:w="0" w:type="dxa"/>
          </w:tblCellMar>
        </w:tblPrEx>
        <w:trPr>
          <w:trHeight w:val="1076"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预算</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管理</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(12分)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管理制度</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健全性</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部门为加强预算管理、规范财务行为而制定的管理制度是否健全完整，用以反映和考核部门预算管理制度对完成主要职责或促进事业发展的保障情况。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已制定或具有预算资金管理办法、内部财务管理制度、会计核算制度等管理制度计1分；相关管理制度合法、合规、完整计0.5分；相关管理制度得到有效执行计0.5分。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1.5</w:t>
            </w:r>
          </w:p>
        </w:tc>
      </w:tr>
      <w:tr>
        <w:tblPrEx>
          <w:tblCellMar>
            <w:top w:w="0" w:type="dxa"/>
            <w:left w:w="0" w:type="dxa"/>
            <w:bottom w:w="0" w:type="dxa"/>
            <w:right w:w="0" w:type="dxa"/>
          </w:tblCellMar>
        </w:tblPrEx>
        <w:trPr>
          <w:trHeight w:val="155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资金使用</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合规性</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部门使用预算资金是否符合相关的预算财务管理制度的规定，用以反映和考核部门预算资金的规范运行情况。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①符合国家财经法规和财务管理制度规定以及有关专项资金管理办法的规定计1分；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②资金的拨付有完整的审批程序和手续计1分；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③项目的重大开支经过评估论证计1分；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④符合部门预算批复的用途计1分；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⑤不存在截留、挤占、挪用、虚列支出等情况计1分。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897"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预决算信</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息公开性</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部门是否按照政府信息公开有关规定公开相关预决算信息，用以反映和考核部门预决算管理的公开透明情况。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①按规定内容公开预决算信息计1分；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②按规定时限公开预决算信息计1分。预决算信息是指与部门预算、执行、决算、监督、绩效等管理相关的信息。</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r>
      <w:tr>
        <w:trPr>
          <w:trHeight w:val="821"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基础信息</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完善性</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部门基础信息是否完善，用以反映和考核基础信息对预算管理工作的支撑情况。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①基础数据信息和会计信息资料真实计1分；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②基础数据信息和会计信息资料完整计1分；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③基础数据信息和会计信息资料准确计1分。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3</w:t>
            </w:r>
          </w:p>
        </w:tc>
      </w:tr>
      <w:tr>
        <w:tblPrEx>
          <w:tblCellMar>
            <w:top w:w="0" w:type="dxa"/>
            <w:left w:w="0" w:type="dxa"/>
            <w:bottom w:w="0" w:type="dxa"/>
            <w:right w:w="0" w:type="dxa"/>
          </w:tblCellMar>
        </w:tblPrEx>
        <w:trPr>
          <w:trHeight w:val="968"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资产</w:t>
            </w:r>
            <w:r>
              <w:rPr>
                <w:rFonts w:hint="eastAsia" w:ascii="宋体" w:hAnsi="宋体" w:eastAsia="宋体" w:cs="宋体"/>
                <w:b/>
                <w:sz w:val="20"/>
                <w:szCs w:val="20"/>
              </w:rPr>
              <w:br w:type="textWrapping"/>
            </w:r>
            <w:r>
              <w:rPr>
                <w:rFonts w:hint="eastAsia" w:ascii="宋体" w:hAnsi="宋体" w:eastAsia="宋体" w:cs="宋体"/>
                <w:b/>
                <w:sz w:val="20"/>
                <w:szCs w:val="20"/>
              </w:rPr>
              <w:t>管理</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（5分）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管理制度</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健全性</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部门为加强资产管理、规范资产管理行为而制定的管理制度是否健全完整，用以反映和考核部门资产管理制度对完成主要职责或促进社会发展的保障情况。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①制定或具有资产管理制度计1分；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②相关资金管理制度合法、合规、完整计0.5分；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③相关资产管理制度得到有效执行计0.5分。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r>
      <w:tr>
        <w:tblPrEx>
          <w:tblCellMar>
            <w:top w:w="0" w:type="dxa"/>
            <w:left w:w="0" w:type="dxa"/>
            <w:bottom w:w="0" w:type="dxa"/>
            <w:right w:w="0" w:type="dxa"/>
          </w:tblCellMar>
        </w:tblPrEx>
        <w:trPr>
          <w:trHeight w:val="1382"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资产管理</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安全性</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部门的资产是否保存完整、使用合规、配置合理、处置规范、收入及时足额上缴，用以反映和考核部门资产安全运行情况。</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①资产保存完整计0.4分；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②资产配置合理计0.4分；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③资产处置规范计0.4分；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④资产账务管理合规、</w:t>
            </w:r>
            <w:r>
              <w:rPr>
                <w:rFonts w:hint="eastAsia" w:ascii="宋体" w:hAnsi="宋体" w:eastAsia="宋体" w:cs="宋体"/>
                <w:sz w:val="20"/>
                <w:szCs w:val="20"/>
                <w:lang w:eastAsia="zh-CN"/>
              </w:rPr>
              <w:t>账</w:t>
            </w:r>
            <w:r>
              <w:rPr>
                <w:rFonts w:hint="eastAsia" w:ascii="宋体" w:hAnsi="宋体" w:eastAsia="宋体" w:cs="宋体"/>
                <w:sz w:val="20"/>
                <w:szCs w:val="20"/>
              </w:rPr>
              <w:t>实相符计0.4分；</w:t>
            </w:r>
          </w:p>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⑤资产有偿使用及处置收入及时足额上缴计0.4分。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2</w:t>
            </w:r>
          </w:p>
        </w:tc>
      </w:tr>
      <w:tr>
        <w:trPr>
          <w:trHeight w:val="91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固定资产</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利用率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（1分）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部门实际在用固定资产总额与所有固定资产总额的比率，用以反映和考核部门固定资产使用效率程度。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1</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固定资产利用率=（实际在用固定资产总额/所有固定资产总额）×100%。利用率为100%的计1分，每降1个百分点扣0.1分，扣完为止。</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1</w:t>
            </w:r>
          </w:p>
        </w:tc>
      </w:tr>
      <w:tr>
        <w:tblPrEx>
          <w:tblCellMar>
            <w:top w:w="0" w:type="dxa"/>
            <w:left w:w="0" w:type="dxa"/>
            <w:bottom w:w="0" w:type="dxa"/>
            <w:right w:w="0" w:type="dxa"/>
          </w:tblCellMar>
        </w:tblPrEx>
        <w:trPr>
          <w:trHeight w:val="894" w:hRule="atLeast"/>
          <w:jc w:val="center"/>
        </w:trPr>
        <w:tc>
          <w:tcPr>
            <w:tcW w:w="709"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产出</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(20分)</w:t>
            </w: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职责</w:t>
            </w:r>
            <w:r>
              <w:rPr>
                <w:rFonts w:hint="eastAsia" w:ascii="宋体" w:hAnsi="宋体" w:eastAsia="宋体" w:cs="宋体"/>
                <w:b/>
                <w:sz w:val="20"/>
                <w:szCs w:val="20"/>
              </w:rPr>
              <w:br w:type="textWrapping"/>
            </w:r>
            <w:r>
              <w:rPr>
                <w:rFonts w:hint="eastAsia" w:ascii="宋体" w:hAnsi="宋体" w:eastAsia="宋体" w:cs="宋体"/>
                <w:b/>
                <w:sz w:val="20"/>
                <w:szCs w:val="20"/>
              </w:rPr>
              <w:t>履行</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实际完成率（5分）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部门履行职责而实际完成工作数与计划工作数的比率，用以反映和考核部门履职工作任务目标的实现程度。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实际完成率得分=完成县委县政府绩效考核得分或上级主管部门考核指标得分/指标分值*5分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w:t>
            </w:r>
          </w:p>
        </w:tc>
      </w:tr>
      <w:tr>
        <w:tblPrEx>
          <w:tblCellMar>
            <w:top w:w="0" w:type="dxa"/>
            <w:left w:w="0" w:type="dxa"/>
            <w:bottom w:w="0" w:type="dxa"/>
            <w:right w:w="0" w:type="dxa"/>
          </w:tblCellMar>
        </w:tblPrEx>
        <w:trPr>
          <w:trHeight w:val="86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完成及时率（4分）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部门在规定时限内及时完成的实际工作数与计划工作数的比率,用以反映和考核部门履职时效目标的实现程度。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完成及时率=（及时完成实际工作数/计划工作数）×100%。1-4季度各得1分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4</w:t>
            </w:r>
          </w:p>
        </w:tc>
      </w:tr>
      <w:tr>
        <w:tblPrEx>
          <w:tblCellMar>
            <w:top w:w="0" w:type="dxa"/>
            <w:left w:w="0" w:type="dxa"/>
            <w:bottom w:w="0" w:type="dxa"/>
            <w:right w:w="0" w:type="dxa"/>
          </w:tblCellMar>
        </w:tblPrEx>
        <w:trPr>
          <w:trHeight w:val="80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质量达标率（5分）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达到质量标准（绩效标准值）的实际工作数与计划工作数的比率,用以反映和考核部门履职质量目标的实现程度。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质量达标率=（质量达标实际工作数/计划工作数）×100%。实际得分=达标率*5分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105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重点工作</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办结率</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（6分）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部门年度重点工作实际完成数与交办或下达数的比率，用以反映部门对重点工作的办理落实程度。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6</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重点工作办结率=（重点工作实际完成数/交办或下达数）×100%。实际得分=办结率*6分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644" w:hRule="atLeast"/>
          <w:jc w:val="center"/>
        </w:trPr>
        <w:tc>
          <w:tcPr>
            <w:tcW w:w="709" w:type="dxa"/>
            <w:vMerge w:val="restart"/>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效果</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(20分)</w:t>
            </w:r>
          </w:p>
        </w:tc>
        <w:tc>
          <w:tcPr>
            <w:tcW w:w="680" w:type="dxa"/>
            <w:vMerge w:val="restart"/>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履职</w:t>
            </w:r>
            <w:r>
              <w:rPr>
                <w:rFonts w:hint="eastAsia" w:ascii="宋体" w:hAnsi="宋体" w:eastAsia="宋体" w:cs="宋体"/>
                <w:b/>
                <w:sz w:val="20"/>
                <w:szCs w:val="20"/>
              </w:rPr>
              <w:br w:type="textWrapping"/>
            </w:r>
            <w:r>
              <w:rPr>
                <w:rFonts w:hint="eastAsia" w:ascii="宋体" w:hAnsi="宋体" w:eastAsia="宋体" w:cs="宋体"/>
                <w:b/>
                <w:sz w:val="20"/>
                <w:szCs w:val="20"/>
              </w:rPr>
              <w:t>效益(20分)</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经济效益</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部门履行职责对经济发展所带来的直接或间接影响。</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按经济效益实现程度计算得分（5分）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64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社会效益</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部门履行职责对社会发展所带来的直接或间接影响。</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微软雅黑" w:hAnsi="微软雅黑" w:eastAsia="微软雅黑" w:cs="微软雅黑"/>
                <w:sz w:val="18"/>
                <w:szCs w:val="18"/>
              </w:rP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微软雅黑" w:hAnsi="微软雅黑" w:eastAsia="微软雅黑" w:cs="微软雅黑"/>
                <w:sz w:val="18"/>
                <w:szCs w:val="18"/>
              </w:rPr>
            </w:pPr>
            <w:r>
              <w:rPr>
                <w:rFonts w:hint="eastAsia" w:ascii="宋体" w:hAnsi="宋体" w:eastAsia="宋体" w:cs="宋体"/>
                <w:sz w:val="20"/>
                <w:szCs w:val="20"/>
              </w:rPr>
              <w:t>按社会效益实现程度计算得分（5分）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644"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微软雅黑" w:hAnsi="微软雅黑" w:eastAsia="微软雅黑" w:cs="微软雅黑"/>
                <w:sz w:val="18"/>
                <w:szCs w:val="18"/>
              </w:rPr>
            </w:pPr>
            <w:r>
              <w:rPr>
                <w:rFonts w:hint="eastAsia" w:ascii="宋体" w:hAnsi="宋体" w:eastAsia="宋体" w:cs="宋体"/>
                <w:sz w:val="20"/>
                <w:szCs w:val="20"/>
              </w:rPr>
              <w:t>行政效能</w:t>
            </w:r>
          </w:p>
          <w:p>
            <w:pPr>
              <w:pStyle w:val="4"/>
              <w:widowControl/>
              <w:spacing w:beforeAutospacing="0" w:afterAutospacing="0" w:line="500" w:lineRule="atLeast"/>
              <w:jc w:val="center"/>
              <w:rPr>
                <w:rFonts w:ascii="微软雅黑" w:hAnsi="微软雅黑" w:eastAsia="微软雅黑" w:cs="微软雅黑"/>
                <w:sz w:val="18"/>
                <w:szCs w:val="18"/>
              </w:rP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促进部门改进文风会风，加强经费及资产管理，推动网上办事，提高行政效率。</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降低行政成本效果较好的计6分；一般3分；无效果或者效果不明显0分。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1259" w:hRule="atLeast"/>
          <w:jc w:val="center"/>
        </w:trPr>
        <w:tc>
          <w:tcPr>
            <w:tcW w:w="709" w:type="dxa"/>
            <w:vMerge w:val="continue"/>
            <w:tcBorders>
              <w:top w:val="nil"/>
              <w:left w:val="single" w:color="auto" w:sz="8" w:space="0"/>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680" w:type="dxa"/>
            <w:vMerge w:val="continue"/>
            <w:tcBorders>
              <w:top w:val="nil"/>
              <w:left w:val="nil"/>
              <w:bottom w:val="single" w:color="auto" w:sz="8" w:space="0"/>
              <w:right w:val="single" w:color="auto" w:sz="8" w:space="0"/>
            </w:tcBorders>
            <w:shd w:val="clear" w:color="auto" w:fill="auto"/>
            <w:tcMar>
              <w:top w:w="10" w:type="dxa"/>
              <w:left w:w="10" w:type="dxa"/>
              <w:right w:w="10" w:type="dxa"/>
            </w:tcMar>
            <w:vAlign w:val="center"/>
          </w:tcPr>
          <w:p>
            <w:pPr>
              <w:rPr>
                <w:rFonts w:ascii="宋体"/>
                <w:sz w:val="24"/>
              </w:rPr>
            </w:pP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社会公众</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或服务对</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象满意度</w:t>
            </w:r>
          </w:p>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（5分）</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社会公众或部门的服务对象对部门履职效果的满意程度。</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ind w:firstLine="200"/>
              <w:jc w:val="both"/>
              <w:rPr>
                <w:rFonts w:ascii="宋体" w:hAnsi="宋体" w:eastAsia="宋体" w:cs="宋体"/>
              </w:rPr>
            </w:pPr>
            <w:r>
              <w:rPr>
                <w:rFonts w:hint="eastAsia" w:ascii="宋体" w:hAnsi="宋体" w:eastAsia="宋体" w:cs="宋体"/>
                <w:sz w:val="20"/>
                <w:szCs w:val="20"/>
              </w:rPr>
              <w:t>90%（含）以上计5分；80%（含）-90%，计4分；70%（含）-80%，计3分；60%（含）-70%，计2分；低于60%计0分。</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5</w:t>
            </w:r>
          </w:p>
        </w:tc>
      </w:tr>
      <w:tr>
        <w:tblPrEx>
          <w:tblCellMar>
            <w:top w:w="0" w:type="dxa"/>
            <w:left w:w="0" w:type="dxa"/>
            <w:bottom w:w="0" w:type="dxa"/>
            <w:right w:w="0" w:type="dxa"/>
          </w:tblCellMar>
        </w:tblPrEx>
        <w:trPr>
          <w:trHeight w:val="669" w:hRule="atLeast"/>
          <w:jc w:val="center"/>
        </w:trPr>
        <w:tc>
          <w:tcPr>
            <w:tcW w:w="709" w:type="dxa"/>
            <w:tcBorders>
              <w:top w:val="nil"/>
              <w:left w:val="single" w:color="auto" w:sz="8" w:space="0"/>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总分</w:t>
            </w:r>
          </w:p>
        </w:tc>
        <w:tc>
          <w:tcPr>
            <w:tcW w:w="680"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b/>
                <w:sz w:val="20"/>
                <w:szCs w:val="20"/>
              </w:rPr>
              <w:t>100</w:t>
            </w:r>
          </w:p>
        </w:tc>
        <w:tc>
          <w:tcPr>
            <w:tcW w:w="1172"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100　</w:t>
            </w:r>
          </w:p>
        </w:tc>
        <w:tc>
          <w:tcPr>
            <w:tcW w:w="3573"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both"/>
              <w:rPr>
                <w:rFonts w:ascii="宋体" w:hAnsi="宋体" w:eastAsia="宋体" w:cs="宋体"/>
              </w:rPr>
            </w:pPr>
            <w:r>
              <w:rPr>
                <w:rFonts w:hint="eastAsia" w:ascii="宋体" w:hAnsi="宋体" w:eastAsia="宋体" w:cs="宋体"/>
                <w:sz w:val="20"/>
                <w:szCs w:val="20"/>
              </w:rPr>
              <w:t> </w:t>
            </w:r>
          </w:p>
        </w:tc>
        <w:tc>
          <w:tcPr>
            <w:tcW w:w="69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100</w:t>
            </w:r>
          </w:p>
        </w:tc>
        <w:tc>
          <w:tcPr>
            <w:tcW w:w="5886" w:type="dxa"/>
            <w:tcBorders>
              <w:top w:val="nil"/>
              <w:left w:val="nil"/>
              <w:bottom w:val="single" w:color="auto" w:sz="8" w:space="0"/>
              <w:right w:val="single" w:color="auto" w:sz="8" w:space="0"/>
            </w:tcBorders>
            <w:shd w:val="clear" w:color="auto" w:fill="auto"/>
            <w:tcMar>
              <w:top w:w="10" w:type="dxa"/>
              <w:left w:w="10" w:type="dxa"/>
              <w:right w:w="10" w:type="dxa"/>
            </w:tcMar>
            <w:vAlign w:val="center"/>
          </w:tcPr>
          <w:p>
            <w:pPr>
              <w:pStyle w:val="4"/>
              <w:widowControl/>
              <w:spacing w:beforeAutospacing="0" w:afterAutospacing="0" w:line="500" w:lineRule="atLeast"/>
              <w:jc w:val="both"/>
              <w:rPr>
                <w:rFonts w:ascii="宋体" w:hAnsi="宋体" w:eastAsia="宋体" w:cs="宋体"/>
              </w:rPr>
            </w:pPr>
            <w:r>
              <w:rPr>
                <w:rFonts w:hint="eastAsia" w:ascii="宋体" w:hAnsi="宋体" w:eastAsia="宋体" w:cs="宋体"/>
                <w:sz w:val="20"/>
                <w:szCs w:val="20"/>
              </w:rPr>
              <w:t> </w:t>
            </w:r>
          </w:p>
        </w:tc>
        <w:tc>
          <w:tcPr>
            <w:tcW w:w="464" w:type="dxa"/>
            <w:tcBorders>
              <w:top w:val="nil"/>
              <w:left w:val="nil"/>
              <w:bottom w:val="single" w:color="auto" w:sz="8" w:space="0"/>
              <w:right w:val="single" w:color="auto" w:sz="8" w:space="0"/>
            </w:tcBorders>
            <w:shd w:val="clear" w:color="auto" w:fill="auto"/>
            <w:vAlign w:val="center"/>
          </w:tcPr>
          <w:p>
            <w:pPr>
              <w:pStyle w:val="4"/>
              <w:widowControl/>
              <w:spacing w:beforeAutospacing="0" w:afterAutospacing="0" w:line="500" w:lineRule="atLeast"/>
              <w:jc w:val="center"/>
              <w:rPr>
                <w:rFonts w:ascii="宋体" w:hAnsi="宋体" w:eastAsia="宋体" w:cs="宋体"/>
              </w:rPr>
            </w:pPr>
            <w:r>
              <w:rPr>
                <w:rFonts w:hint="eastAsia" w:ascii="宋体" w:hAnsi="宋体" w:eastAsia="宋体" w:cs="宋体"/>
                <w:sz w:val="20"/>
                <w:szCs w:val="20"/>
              </w:rPr>
              <w:t>92.5</w:t>
            </w:r>
          </w:p>
        </w:tc>
      </w:tr>
    </w:tbl>
    <w:p>
      <w:pPr>
        <w:pStyle w:val="4"/>
        <w:widowControl/>
        <w:spacing w:beforeAutospacing="0" w:afterAutospacing="0" w:line="500" w:lineRule="atLeast"/>
        <w:jc w:val="both"/>
        <w:rPr>
          <w:rFonts w:ascii="微软雅黑" w:hAnsi="微软雅黑" w:eastAsia="微软雅黑" w:cs="微软雅黑"/>
          <w:sz w:val="18"/>
          <w:szCs w:val="18"/>
        </w:rPr>
      </w:pPr>
      <w:r>
        <w:rPr>
          <w:rFonts w:hint="eastAsia" w:ascii="宋体" w:hAnsi="宋体" w:eastAsia="宋体" w:cs="宋体"/>
          <w:color w:val="1E1E1E"/>
          <w:sz w:val="10"/>
          <w:szCs w:val="10"/>
        </w:rPr>
        <w:t> </w:t>
      </w:r>
    </w:p>
    <w:p>
      <w:pPr>
        <w:pStyle w:val="4"/>
        <w:widowControl/>
        <w:spacing w:beforeAutospacing="0" w:afterAutospacing="0" w:line="500" w:lineRule="atLeast"/>
        <w:jc w:val="both"/>
        <w:rPr>
          <w:rFonts w:ascii="微软雅黑" w:hAnsi="微软雅黑" w:eastAsia="微软雅黑" w:cs="微软雅黑"/>
          <w:sz w:val="18"/>
          <w:szCs w:val="18"/>
        </w:rPr>
      </w:pPr>
      <w:r>
        <w:rPr>
          <w:rFonts w:hint="eastAsia" w:ascii="宋体" w:hAnsi="宋体" w:eastAsia="宋体" w:cs="宋体"/>
          <w:color w:val="1E1E1E"/>
          <w:sz w:val="30"/>
          <w:szCs w:val="3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1NDkxZjczODgxOWUzZWZiNDhmOGI2YTJiZDY5MTMifQ=="/>
  </w:docVars>
  <w:rsids>
    <w:rsidRoot w:val="002327D5"/>
    <w:rsid w:val="00051929"/>
    <w:rsid w:val="002327D5"/>
    <w:rsid w:val="00561C75"/>
    <w:rsid w:val="00711200"/>
    <w:rsid w:val="16E502AC"/>
    <w:rsid w:val="486964B7"/>
    <w:rsid w:val="4D0E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6506</Words>
  <Characters>7100</Characters>
  <Lines>55</Lines>
  <Paragraphs>15</Paragraphs>
  <TotalTime>1</TotalTime>
  <ScaleCrop>false</ScaleCrop>
  <LinksUpToDate>false</LinksUpToDate>
  <CharactersWithSpaces>7112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2022-07-27T06:11:00Z</dcterms:created>
  <dc:creator>Administrator</dc:creator>
  <cp:lastModifiedBy>user</cp:lastModifiedBy>
  <dcterms:modified xsi:type="dcterms:W3CDTF">2022-10-15T00:46:56Z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B73C6FACD613441590291ADEB3A3315A</vt:lpwstr>
  </property>
</Properties>
</file>