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新邵县农村公路管理所2019年度部门整体支出绩效自评报告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ascii="方正大标宋简体" w:hAnsi="方正大标宋简体" w:eastAsia="方正大标宋简体" w:cs="方正大标宋简体"/>
          <w:i w:val="0"/>
          <w:caps w:val="0"/>
          <w:color w:val="1E1E1E"/>
          <w:spacing w:val="0"/>
          <w:kern w:val="0"/>
          <w:sz w:val="36"/>
          <w:szCs w:val="36"/>
          <w:lang w:val="en-US" w:eastAsia="zh-CN" w:bidi="ar"/>
        </w:rPr>
        <w:t>新邵县农村公路管理所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方正大标宋简体" w:hAnsi="方正大标宋简体" w:eastAsia="方正大标宋简体" w:cs="方正大标宋简体"/>
          <w:i w:val="0"/>
          <w:caps w:val="0"/>
          <w:color w:val="1E1E1E"/>
          <w:spacing w:val="0"/>
          <w:kern w:val="0"/>
          <w:sz w:val="36"/>
          <w:szCs w:val="36"/>
          <w:lang w:val="en-US" w:eastAsia="zh-CN" w:bidi="ar"/>
        </w:rPr>
        <w:t>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pPr>
      <w:r>
        <w:rPr>
          <w:rFonts w:ascii="仿宋" w:hAnsi="仿宋" w:eastAsia="仿宋" w:cs="仿宋"/>
          <w:b/>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pPr>
      <w:r>
        <w:rPr>
          <w:rFonts w:hint="eastAsia" w:ascii="仿宋" w:hAnsi="仿宋" w:eastAsia="仿宋" w:cs="仿宋"/>
          <w:i w:val="0"/>
          <w:caps w:val="0"/>
          <w:color w:val="1E1E1E"/>
          <w:spacing w:val="0"/>
          <w:sz w:val="32"/>
          <w:szCs w:val="32"/>
          <w:shd w:val="clear" w:fill="FFFFFF"/>
        </w:rPr>
        <w:t>（一）部门基本情况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2" w:right="0" w:hanging="422"/>
        <w:jc w:val="left"/>
      </w:pPr>
      <w:r>
        <w:rPr>
          <w:rFonts w:hint="eastAsia" w:ascii="宋体" w:hAnsi="宋体" w:eastAsia="宋体" w:cs="宋体"/>
          <w:b/>
          <w:i w:val="0"/>
          <w:caps w:val="0"/>
          <w:color w:val="1E1E1E"/>
          <w:spacing w:val="0"/>
          <w:kern w:val="0"/>
          <w:sz w:val="28"/>
          <w:szCs w:val="28"/>
          <w:lang w:val="en-US" w:eastAsia="zh-CN" w:bidi="ar"/>
        </w:rPr>
        <w:t>我所属全额拨款事业单位（批准文号：新机编办字[2010]29号）。内设办公室、计财股、养护股、工程股、路政大队、安全股和法制股等7个股室，核定事业编制38名，其中所长1人，副所长4人，股室长7人。2019年末，我单位共有编制36人。其中在职人员39人，临时工1人，退休人员6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638" w:right="0" w:firstLine="160"/>
        <w:jc w:val="left"/>
      </w:pPr>
      <w:r>
        <w:rPr>
          <w:rFonts w:hint="eastAsia" w:ascii="仿宋" w:hAnsi="仿宋" w:eastAsia="仿宋" w:cs="仿宋"/>
          <w:i w:val="0"/>
          <w:caps w:val="0"/>
          <w:color w:val="1E1E1E"/>
          <w:spacing w:val="0"/>
          <w:kern w:val="0"/>
          <w:sz w:val="32"/>
          <w:szCs w:val="32"/>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pPr>
      <w:r>
        <w:rPr>
          <w:rFonts w:ascii="仿宋_GB2312" w:hAnsi="微软雅黑" w:eastAsia="仿宋_GB2312" w:cs="仿宋_GB2312"/>
          <w:i w:val="0"/>
          <w:caps w:val="0"/>
          <w:color w:val="1E1E1E"/>
          <w:spacing w:val="0"/>
          <w:kern w:val="0"/>
          <w:sz w:val="32"/>
          <w:szCs w:val="32"/>
          <w:lang w:val="en-US" w:eastAsia="zh-CN" w:bidi="ar"/>
        </w:rPr>
        <w:t>1、贯彻执行国家、省、市有关交通运输工作的方针政策、法律法规，贯彻落实国家、省、市综合交通运输标准和协调衔接交通运输方式标准。指导交通运输枢纽规划和管理，促进交通运输方式融合发展。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pPr>
      <w:r>
        <w:rPr>
          <w:rFonts w:hint="default" w:ascii="仿宋_GB2312" w:hAnsi="微软雅黑" w:eastAsia="仿宋_GB2312" w:cs="仿宋_GB2312"/>
          <w:i w:val="0"/>
          <w:caps w:val="0"/>
          <w:color w:val="1E1E1E"/>
          <w:spacing w:val="0"/>
          <w:kern w:val="0"/>
          <w:sz w:val="32"/>
          <w:szCs w:val="32"/>
          <w:lang w:val="en-US" w:eastAsia="zh-CN" w:bidi="ar"/>
        </w:rPr>
        <w:t>2、</w:t>
      </w:r>
      <w:r>
        <w:rPr>
          <w:rFonts w:hint="default" w:ascii="仿宋_GB2312" w:hAnsi="微软雅黑" w:eastAsia="仿宋_GB2312" w:cs="仿宋_GB2312"/>
          <w:b/>
          <w:i w:val="0"/>
          <w:caps w:val="0"/>
          <w:color w:val="1E1E1E"/>
          <w:spacing w:val="0"/>
          <w:kern w:val="0"/>
          <w:sz w:val="32"/>
          <w:szCs w:val="32"/>
          <w:lang w:val="en-US" w:eastAsia="zh-CN" w:bidi="ar"/>
        </w:rPr>
        <w:t>负责贯彻落实国家有关农村公路管理养护的政策法规、技术规范和质量标准；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3"/>
        <w:jc w:val="left"/>
      </w:pPr>
      <w:r>
        <w:rPr>
          <w:rFonts w:hint="default" w:ascii="仿宋_GB2312" w:hAnsi="微软雅黑" w:eastAsia="仿宋_GB2312" w:cs="仿宋_GB2312"/>
          <w:b/>
          <w:i w:val="0"/>
          <w:caps w:val="0"/>
          <w:color w:val="1E1E1E"/>
          <w:spacing w:val="0"/>
          <w:kern w:val="0"/>
          <w:sz w:val="32"/>
          <w:szCs w:val="32"/>
          <w:lang w:val="en-US" w:eastAsia="zh-CN" w:bidi="ar"/>
        </w:rPr>
        <w:t>3、负责制定农村公路管理养护实施细则，编制和呈报农村公路养护投资计划，并按批准的计划组织实施；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3"/>
        <w:jc w:val="left"/>
      </w:pPr>
      <w:r>
        <w:rPr>
          <w:rFonts w:hint="default" w:ascii="仿宋_GB2312" w:hAnsi="微软雅黑" w:eastAsia="仿宋_GB2312" w:cs="仿宋_GB2312"/>
          <w:b/>
          <w:i w:val="0"/>
          <w:caps w:val="0"/>
          <w:color w:val="1E1E1E"/>
          <w:spacing w:val="0"/>
          <w:kern w:val="0"/>
          <w:sz w:val="32"/>
          <w:szCs w:val="32"/>
          <w:lang w:val="en-US" w:eastAsia="zh-CN" w:bidi="ar"/>
        </w:rPr>
        <w:t>4、组织实施县道和乡道的路政管理，指导、监督、检查镇乡农村公路管理养护工作。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480"/>
        <w:jc w:val="left"/>
      </w:pPr>
      <w:r>
        <w:rPr>
          <w:rFonts w:hint="default" w:ascii="仿宋_GB2312" w:hAnsi="微软雅黑" w:eastAsia="仿宋_GB2312" w:cs="仿宋_GB2312"/>
          <w:i w:val="0"/>
          <w:caps w:val="0"/>
          <w:color w:val="1E1E1E"/>
          <w:spacing w:val="0"/>
          <w:kern w:val="0"/>
          <w:sz w:val="32"/>
          <w:szCs w:val="32"/>
          <w:lang w:val="en-US" w:eastAsia="zh-CN" w:bidi="ar"/>
        </w:rPr>
        <w:t>5、负责法律、法规和上级政府规定的安全生产职责，承办县安全生产委员会交办的有关安全生产工作。完成县委、县政府交办的其他任务。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06" w:right="0" w:hanging="147"/>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48" w:right="0" w:hanging="148"/>
        <w:jc w:val="left"/>
      </w:pPr>
      <w:r>
        <w:rPr>
          <w:rFonts w:hint="eastAsia" w:ascii="仿宋" w:hAnsi="仿宋" w:eastAsia="仿宋" w:cs="仿宋"/>
          <w:b/>
          <w:i w:val="0"/>
          <w:caps w:val="0"/>
          <w:color w:val="1E1E1E"/>
          <w:spacing w:val="0"/>
          <w:kern w:val="0"/>
          <w:sz w:val="32"/>
          <w:szCs w:val="32"/>
          <w:lang w:val="en-US" w:eastAsia="zh-CN" w:bidi="ar"/>
        </w:rPr>
        <w:t>二、2019年工作情况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（一）养护工作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1、日常养护：今年来等级公路养护覆盖率、经常性养护率全面达到100%，全县县道优良中等路率达到86%，公路技术状况指数MQI值达到85.5，各项指标均达到或超过创建标准。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2、四好农村路建设：完成了32公里示范路创建。全县15个乡镇基本完每个乡镇一条示范路，一到两个示范村的创建。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3.千灯万带和学校路口安装安全指示牌，警示灯，减速带等安全设施路口共9个；按二级公路标准设置标志标线（目前已完成言二铺至小塘10公里）。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4、路面破损小修：完成清灌缝7万米，县乡道水泥路面修补面积3000余平方米，严重破损路面砂石修补面积20000余平方米。完成水沟清理500余公里，路肩除草13500余平方米。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5、水毁抢修和重点路段水毁恢复工作：完成水段抢修项目136处，共计清理塌方20000余立方米。修筑挡墙13000余立方米；清理涵洞70余道。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（二）安保工程工作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1、安全生命防护工程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2019年计划完成21条安全生命防护工程，共计90.365公里的隐患里程；预计年底完成。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2、路面大中修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完成S240线（黄岩——迎光新乡政府段）4.8公里换板工程；正在财评。X036十古公路（腰古岭——卓笔段）养护工程5公里，预计306万元；正在施工中。Y002线新开——茅坪公路路面维修工程5.896公里，预计160万元；正在施工中。（已完成的X032胜段线（坪上镇）路面维修工程1.872公里， Y999郁茶线（潭溪镇）路面维修工程1.859公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3、危桥改造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2019年计划内完成龙溪铺S332线楠木桥的危桥改造；投资101万元，已开工建设，现基础工程完成60,%，预计年底前完成。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2019年危桥改造计划外，（先修后补）启动32座，共计总投资2600余万元，目前完成1座。10座已开工在建，22座正在进行招标中;预计年底前完成。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（三）路政管理工作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今年以来，共上路巡查540余人次，清理公路两侧堆积物共60余处、拆除非公路交通标志11块、发现违法建筑15处，立案查处违法建筑2起，督促其自行纠正违法行为13处。安全、法制宣传活动8次，参加宣传人员85人次，接受群众咨询300余人次，散发宣传单9000份、发放《公路法》等相关法律手册500册，悬挂横（条）幅8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20"/>
      </w:pPr>
      <w:r>
        <w:rPr>
          <w:rFonts w:hint="default" w:ascii="仿宋_GB2312" w:hAnsi="微软雅黑" w:eastAsia="仿宋_GB2312" w:cs="仿宋_GB2312"/>
          <w:i w:val="0"/>
          <w:caps w:val="0"/>
          <w:color w:val="1E1E1E"/>
          <w:spacing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i w:val="0"/>
          <w:caps w:val="0"/>
          <w:color w:val="1E1E1E"/>
          <w:spacing w:val="0"/>
          <w:kern w:val="0"/>
          <w:sz w:val="32"/>
          <w:szCs w:val="32"/>
          <w:lang w:val="en-US" w:eastAsia="zh-CN" w:bidi="ar"/>
        </w:rPr>
        <w:t>以下所有表格可根据实际情况进行相应调整（金额：万元）。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1.年初预算收支</w:t>
      </w:r>
    </w:p>
    <w:tbl>
      <w:tblPr>
        <w:tblStyle w:val="5"/>
        <w:tblW w:w="8680" w:type="dxa"/>
        <w:jc w:val="center"/>
        <w:shd w:val="clear" w:color="auto" w:fill="auto"/>
        <w:tblLayout w:type="autofit"/>
        <w:tblCellMar>
          <w:top w:w="0" w:type="dxa"/>
          <w:left w:w="0" w:type="dxa"/>
          <w:bottom w:w="0" w:type="dxa"/>
          <w:right w:w="0" w:type="dxa"/>
        </w:tblCellMar>
      </w:tblPr>
      <w:tblGrid>
        <w:gridCol w:w="2135"/>
        <w:gridCol w:w="1736"/>
        <w:gridCol w:w="1624"/>
        <w:gridCol w:w="1344"/>
        <w:gridCol w:w="1841"/>
      </w:tblGrid>
      <w:tr>
        <w:tblPrEx>
          <w:shd w:val="clear" w:color="auto" w:fill="auto"/>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较上年增减变化</w:t>
            </w:r>
          </w:p>
        </w:tc>
      </w:tr>
      <w:tr>
        <w:tblPrEx>
          <w:shd w:val="clear" w:color="auto" w:fill="auto"/>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比例</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kern w:val="0"/>
                <w:sz w:val="21"/>
                <w:szCs w:val="21"/>
                <w:lang w:val="en-US" w:eastAsia="zh-CN" w:bidi="ar"/>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432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486</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-54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-11.11%</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kern w:val="0"/>
                <w:sz w:val="21"/>
                <w:szCs w:val="21"/>
                <w:lang w:val="en-US" w:eastAsia="zh-CN" w:bidi="ar"/>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432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486</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-54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-11.11%</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kern w:val="0"/>
                <w:sz w:val="21"/>
                <w:szCs w:val="21"/>
                <w:lang w:val="en-US" w:eastAsia="zh-CN" w:bidi="ar"/>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432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486</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-54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-11.11%</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kern w:val="0"/>
                <w:sz w:val="21"/>
                <w:szCs w:val="21"/>
                <w:lang w:val="en-US" w:eastAsia="zh-CN" w:bidi="ar"/>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338</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371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-33</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-8.89%</w:t>
            </w:r>
          </w:p>
        </w:tc>
      </w:tr>
      <w:tr>
        <w:tblPrEx>
          <w:shd w:val="clear" w:color="auto" w:fill="auto"/>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kern w:val="0"/>
                <w:sz w:val="21"/>
                <w:szCs w:val="21"/>
                <w:lang w:val="en-US" w:eastAsia="zh-CN" w:bidi="ar"/>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94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115</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-21</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-18.26%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根据年初预算批复，与上年比较，较上年减少54万元，原因是压缩项目经费。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2.财政预算整体支出使用范围、方向和内容</w:t>
      </w:r>
    </w:p>
    <w:tbl>
      <w:tblPr>
        <w:tblStyle w:val="5"/>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合计</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256</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256</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82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94</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176</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0</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0</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338</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94</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1.年度收入决算</w:t>
      </w:r>
    </w:p>
    <w:tbl>
      <w:tblPr>
        <w:tblStyle w:val="5"/>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432</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514</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82</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480"/>
        <w:jc w:val="left"/>
      </w:pPr>
      <w:r>
        <w:rPr>
          <w:rFonts w:hint="eastAsia" w:ascii="仿宋" w:hAnsi="仿宋" w:eastAsia="仿宋" w:cs="仿宋"/>
          <w:i w:val="0"/>
          <w:caps w:val="0"/>
          <w:color w:val="1E1E1E"/>
          <w:spacing w:val="0"/>
          <w:kern w:val="0"/>
          <w:sz w:val="32"/>
          <w:szCs w:val="32"/>
          <w:lang w:val="en-US" w:eastAsia="zh-CN" w:bidi="ar"/>
        </w:rPr>
        <w:t>由于本单位使用了未纳入年初预算的其他资金用于支付单位的部分支出，导致决算金额超预算。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2.年度预算支出决算及结余</w:t>
      </w:r>
    </w:p>
    <w:tbl>
      <w:tblPr>
        <w:tblStyle w:val="5"/>
        <w:tblW w:w="7953" w:type="dxa"/>
        <w:tblInd w:w="0" w:type="dxa"/>
        <w:shd w:val="clear" w:color="auto" w:fill="auto"/>
        <w:tblLayout w:type="autofit"/>
        <w:tblCellMar>
          <w:top w:w="0" w:type="dxa"/>
          <w:left w:w="0" w:type="dxa"/>
          <w:bottom w:w="0" w:type="dxa"/>
          <w:right w:w="0" w:type="dxa"/>
        </w:tblCellMar>
      </w:tblPr>
      <w:tblGrid>
        <w:gridCol w:w="1739"/>
        <w:gridCol w:w="2268"/>
        <w:gridCol w:w="1984"/>
        <w:gridCol w:w="1962"/>
      </w:tblGrid>
      <w:tr>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预算支出类别</w:t>
            </w:r>
          </w:p>
        </w:tc>
        <w:tc>
          <w:tcPr>
            <w:tcW w:w="226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增减金额</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基本支出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338</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521</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183</w:t>
            </w:r>
          </w:p>
        </w:tc>
      </w:tr>
      <w:tr>
        <w:tblPrEx>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项目支出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94</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0</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-94</w:t>
            </w:r>
          </w:p>
        </w:tc>
      </w:tr>
      <w:tr>
        <w:tblPrEx>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0" w:hRule="atLeast"/>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小计</w:t>
            </w:r>
          </w:p>
        </w:tc>
        <w:tc>
          <w:tcPr>
            <w:tcW w:w="226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432</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521</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89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
        <w:jc w:val="left"/>
      </w:pPr>
      <w:r>
        <w:rPr>
          <w:rFonts w:hint="eastAsia" w:ascii="仿宋" w:hAnsi="仿宋" w:eastAsia="仿宋" w:cs="仿宋"/>
          <w:i w:val="0"/>
          <w:caps w:val="0"/>
          <w:color w:val="1E1E1E"/>
          <w:spacing w:val="0"/>
          <w:kern w:val="0"/>
          <w:sz w:val="32"/>
          <w:szCs w:val="32"/>
          <w:lang w:val="en-US" w:eastAsia="zh-CN" w:bidi="ar"/>
        </w:rPr>
        <w:t>年度预算支出决算及结余，年初预算安排的项目经费，实际执行中用项目经费弥补基本经费支出不足。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1E1E1E"/>
          <w:spacing w:val="0"/>
          <w:kern w:val="0"/>
          <w:sz w:val="32"/>
          <w:szCs w:val="32"/>
          <w:lang w:val="en-US" w:eastAsia="zh-CN" w:bidi="ar"/>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仿宋" w:hAnsi="仿宋" w:eastAsia="仿宋" w:cs="仿宋"/>
          <w:b w:val="0"/>
          <w:i w:val="0"/>
          <w:caps w:val="0"/>
          <w:color w:val="1E1E1E"/>
          <w:spacing w:val="0"/>
          <w:sz w:val="32"/>
          <w:szCs w:val="32"/>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b w:val="0"/>
          <w:i w:val="0"/>
          <w:caps w:val="0"/>
          <w:color w:val="1E1E1E"/>
          <w:spacing w:val="0"/>
          <w:sz w:val="32"/>
          <w:szCs w:val="32"/>
        </w:rPr>
        <w:t>1、基本支出总额使用和管理</w:t>
      </w:r>
    </w:p>
    <w:tbl>
      <w:tblPr>
        <w:tblStyle w:val="5"/>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节约/超支金额</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280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406</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126</w:t>
            </w:r>
          </w:p>
        </w:tc>
      </w:tr>
      <w:tr>
        <w:tblPrEx>
          <w:shd w:val="clear" w:color="auto" w:fill="auto"/>
          <w:tblCellMar>
            <w:top w:w="0" w:type="dxa"/>
            <w:left w:w="0" w:type="dxa"/>
            <w:bottom w:w="0" w:type="dxa"/>
            <w:right w:w="0" w:type="dxa"/>
          </w:tblCellMar>
        </w:tblPrEx>
        <w:trPr>
          <w:trHeight w:val="589"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41</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111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70</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17</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-13</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338</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521</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183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（1）工资福利支出</w:t>
      </w:r>
    </w:p>
    <w:tbl>
      <w:tblPr>
        <w:tblStyle w:val="5"/>
        <w:tblW w:w="0" w:type="auto"/>
        <w:jc w:val="center"/>
        <w:shd w:val="clear" w:color="auto" w:fill="auto"/>
        <w:tblLayout w:type="autofit"/>
        <w:tblCellMar>
          <w:top w:w="0" w:type="dxa"/>
          <w:left w:w="0" w:type="dxa"/>
          <w:bottom w:w="0" w:type="dxa"/>
          <w:right w:w="0" w:type="dxa"/>
        </w:tblCellMar>
      </w:tblPr>
      <w:tblGrid>
        <w:gridCol w:w="2431"/>
        <w:gridCol w:w="1134"/>
        <w:gridCol w:w="1134"/>
        <w:gridCol w:w="1417"/>
        <w:gridCol w:w="1664"/>
      </w:tblGrid>
      <w:tr>
        <w:tblPrEx>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费用项目</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预算金额</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节约/超支金额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节约/超支率</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127</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151</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18.90%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津贴补贴</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61</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-4.92%</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奖金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572.73%</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伙食补助费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20</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绩效工资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71</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71</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机关事业单位基本养老保险缴费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职业年金缴费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职工基本医疗保险缴费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-30.00%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公务员医疗补助缴费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其他社会保障缴费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0.2</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-3.8</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-95.00%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住房公积金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-19</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-79.17%</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医疗费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其他工资福利支出</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19</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19</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286</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405</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126</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45.00%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增加原因：工作任务增加，人员增加。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（2）商品和服务支出</w:t>
      </w:r>
    </w:p>
    <w:tbl>
      <w:tblPr>
        <w:tblStyle w:val="5"/>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292.50%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366.67%</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0.04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0.04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水电费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-36.00%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1060.00%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766.67%</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-28.96%</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115.00%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840.00%</w:t>
            </w:r>
          </w:p>
        </w:tc>
      </w:tr>
      <w:tr>
        <w:tblPrEx>
          <w:shd w:val="clear" w:color="auto" w:fill="auto"/>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41</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111</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70</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170.73%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增加原因：由于本单位使用了未纳入年初预算的其他资金用于支付单位的部分开支，导致决算金额超预算。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（3）对个人和家庭的补助</w:t>
      </w:r>
    </w:p>
    <w:tbl>
      <w:tblPr>
        <w:tblStyle w:val="5"/>
        <w:tblW w:w="8364" w:type="dxa"/>
        <w:tblInd w:w="0" w:type="dxa"/>
        <w:shd w:val="clear" w:color="auto" w:fill="auto"/>
        <w:tblLayout w:type="autofit"/>
        <w:tblCellMar>
          <w:top w:w="0" w:type="dxa"/>
          <w:left w:w="0" w:type="dxa"/>
          <w:bottom w:w="0" w:type="dxa"/>
          <w:right w:w="0" w:type="dxa"/>
        </w:tblCellMar>
      </w:tblPr>
      <w:tblGrid>
        <w:gridCol w:w="1816"/>
        <w:gridCol w:w="1538"/>
        <w:gridCol w:w="1560"/>
        <w:gridCol w:w="1875"/>
        <w:gridCol w:w="1575"/>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支出项目</w:t>
            </w:r>
          </w:p>
        </w:tc>
        <w:tc>
          <w:tcPr>
            <w:tcW w:w="153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预算金额</w:t>
            </w:r>
          </w:p>
        </w:tc>
        <w:tc>
          <w:tcPr>
            <w:tcW w:w="156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决算金额</w:t>
            </w:r>
          </w:p>
        </w:tc>
        <w:tc>
          <w:tcPr>
            <w:tcW w:w="18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结余/超支金额</w:t>
            </w:r>
          </w:p>
        </w:tc>
        <w:tc>
          <w:tcPr>
            <w:tcW w:w="15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离休费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17</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结余17</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结余100%</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退休费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退职（役）费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抚恤金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生活补助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2.9</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超支2.9</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救济费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医疗费补助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0.4</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超支0.4</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助学金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奖励金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个人农业生产补贴</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其他对个人和家庭的补助支出</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0.7</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超支0.7</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51" w:hRule="atLeast"/>
        </w:trPr>
        <w:tc>
          <w:tcPr>
            <w:tcW w:w="1816"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53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17</w:t>
            </w:r>
          </w:p>
        </w:tc>
        <w:tc>
          <w:tcPr>
            <w:tcW w:w="156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8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5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减少原因：由于本单位预算的生活补助和医疗费补助等支出没有做预算，导致预算与决算存在差异。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1、“三公经费”预算执行</w:t>
      </w:r>
    </w:p>
    <w:tbl>
      <w:tblPr>
        <w:tblStyle w:val="5"/>
        <w:tblW w:w="0" w:type="auto"/>
        <w:jc w:val="center"/>
        <w:shd w:val="clear" w:color="auto" w:fill="auto"/>
        <w:tblLayout w:type="autofit"/>
        <w:tblCellMar>
          <w:top w:w="0" w:type="dxa"/>
          <w:left w:w="0" w:type="dxa"/>
          <w:bottom w:w="0" w:type="dxa"/>
          <w:right w:w="0" w:type="dxa"/>
        </w:tblCellMar>
      </w:tblPr>
      <w:tblGrid>
        <w:gridCol w:w="1608"/>
        <w:gridCol w:w="1054"/>
        <w:gridCol w:w="1112"/>
        <w:gridCol w:w="995"/>
        <w:gridCol w:w="1156"/>
        <w:gridCol w:w="1138"/>
        <w:gridCol w:w="1273"/>
      </w:tblGrid>
      <w:tr>
        <w:tblPrEx>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费用项目</w:t>
            </w:r>
          </w:p>
        </w:tc>
        <w:tc>
          <w:tcPr>
            <w:tcW w:w="2190"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本年预算</w:t>
            </w:r>
          </w:p>
        </w:tc>
        <w:tc>
          <w:tcPr>
            <w:tcW w:w="217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本年决算</w:t>
            </w:r>
          </w:p>
        </w:tc>
        <w:tc>
          <w:tcPr>
            <w:tcW w:w="2439"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基本支出</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项目支出</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基本支出</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项目支出</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基本支出</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公务接待费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结余3.2</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0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公车运行维护费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超支4.6</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结余5</w:t>
            </w:r>
          </w:p>
        </w:tc>
      </w:tr>
      <w:tr>
        <w:tblPrEx>
          <w:shd w:val="clear" w:color="auto" w:fill="auto"/>
          <w:tblCellMar>
            <w:top w:w="0" w:type="dxa"/>
            <w:left w:w="0" w:type="dxa"/>
            <w:bottom w:w="0" w:type="dxa"/>
            <w:right w:w="0" w:type="dxa"/>
          </w:tblCellMar>
        </w:tblPrEx>
        <w:trPr>
          <w:trHeight w:val="43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公务车购置费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因公出国费用</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06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9.4</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超支1.4</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2、“三公经费”与上年度比较</w:t>
      </w:r>
    </w:p>
    <w:tbl>
      <w:tblPr>
        <w:tblStyle w:val="5"/>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增减率%</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公务接待费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5.5</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-4.7</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-85.45%</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公车运行维护费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2.6</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43.33%</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公务车辆购置费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因公出国(境)费用</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9.4</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11.5</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-2.1</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-18.26%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480"/>
        <w:jc w:val="left"/>
      </w:pPr>
      <w:r>
        <w:rPr>
          <w:rFonts w:hint="eastAsia" w:ascii="仿宋" w:hAnsi="仿宋" w:eastAsia="仿宋" w:cs="仿宋"/>
          <w:i w:val="0"/>
          <w:caps w:val="0"/>
          <w:color w:val="1E1E1E"/>
          <w:spacing w:val="0"/>
          <w:kern w:val="0"/>
          <w:sz w:val="32"/>
          <w:szCs w:val="32"/>
          <w:lang w:val="en-US" w:eastAsia="zh-CN" w:bidi="ar"/>
        </w:rPr>
        <w:t>减少原因：严格控制三公经费支出。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1、专项资金基本情况及绩效目标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本年年初预算专项项目8个，分别是安保工作30万，农村公路建设管理（含扶贫村道路）30万，交通国防动员10万，专项费70万，农村站场、农村公路招呼站建设配套32万，水上交通安全整治10万，交通‘三乱’治理5万，通畅工程前期工作经费35万，县乡公路抢险专项经费5万，重要县乡道建设管理30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2、专项资金预算执行</w:t>
      </w:r>
    </w:p>
    <w:tbl>
      <w:tblPr>
        <w:tblStyle w:val="5"/>
        <w:tblW w:w="9217" w:type="dxa"/>
        <w:tblInd w:w="0" w:type="dxa"/>
        <w:shd w:val="clear" w:color="auto" w:fill="auto"/>
        <w:tblLayout w:type="autofit"/>
        <w:tblCellMar>
          <w:top w:w="0" w:type="dxa"/>
          <w:left w:w="0" w:type="dxa"/>
          <w:bottom w:w="0" w:type="dxa"/>
          <w:right w:w="0" w:type="dxa"/>
        </w:tblCellMar>
      </w:tblPr>
      <w:tblGrid>
        <w:gridCol w:w="3220"/>
        <w:gridCol w:w="584"/>
        <w:gridCol w:w="555"/>
        <w:gridCol w:w="658"/>
        <w:gridCol w:w="776"/>
        <w:gridCol w:w="923"/>
        <w:gridCol w:w="1173"/>
        <w:gridCol w:w="1328"/>
      </w:tblGrid>
      <w:tr>
        <w:tblPrEx>
          <w:shd w:val="clear" w:color="auto" w:fill="auto"/>
          <w:tblCellMar>
            <w:top w:w="0" w:type="dxa"/>
            <w:left w:w="0" w:type="dxa"/>
            <w:bottom w:w="0" w:type="dxa"/>
            <w:right w:w="0" w:type="dxa"/>
          </w:tblCellMar>
        </w:tblPrEx>
        <w:trPr>
          <w:trHeight w:val="415" w:hRule="atLeast"/>
        </w:trPr>
        <w:tc>
          <w:tcPr>
            <w:tcW w:w="3270"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专项子目名称</w:t>
            </w:r>
          </w:p>
        </w:tc>
        <w:tc>
          <w:tcPr>
            <w:tcW w:w="2490" w:type="dxa"/>
            <w:gridSpan w:val="4"/>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本年预算可用指标</w:t>
            </w:r>
          </w:p>
        </w:tc>
        <w:tc>
          <w:tcPr>
            <w:tcW w:w="930"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本年实际支出</w:t>
            </w:r>
          </w:p>
        </w:tc>
        <w:tc>
          <w:tcPr>
            <w:tcW w:w="1185"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本年结余</w:t>
            </w:r>
          </w:p>
        </w:tc>
        <w:tc>
          <w:tcPr>
            <w:tcW w:w="1342" w:type="dxa"/>
            <w:vMerge w:val="restart"/>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投入进度</w:t>
            </w:r>
          </w:p>
        </w:tc>
      </w:tr>
      <w:tr>
        <w:tblPrEx>
          <w:shd w:val="clear" w:color="auto" w:fill="auto"/>
          <w:tblCellMar>
            <w:top w:w="0" w:type="dxa"/>
            <w:left w:w="0" w:type="dxa"/>
            <w:bottom w:w="0" w:type="dxa"/>
            <w:right w:w="0" w:type="dxa"/>
          </w:tblCellMar>
        </w:tblPrEx>
        <w:trPr>
          <w:trHeight w:val="756" w:hRule="atLeast"/>
        </w:trPr>
        <w:tc>
          <w:tcPr>
            <w:tcW w:w="3270"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追加</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930"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85"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342" w:type="dxa"/>
            <w:vMerge w:val="continue"/>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公路养护活动专项</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春运保畅</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公路路障清理</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公路抢修</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治超和安全隐患排查</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危桥改造专项</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安保实施</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40" w:hRule="atLeast"/>
        </w:trPr>
        <w:tc>
          <w:tcPr>
            <w:tcW w:w="3270" w:type="dxa"/>
            <w:tcBorders>
              <w:top w:val="nil"/>
              <w:left w:val="single" w:color="auto" w:sz="12" w:space="0"/>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合 计</w:t>
            </w:r>
          </w:p>
        </w:tc>
        <w:tc>
          <w:tcPr>
            <w:tcW w:w="58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w:t>
            </w:r>
          </w:p>
        </w:tc>
        <w:tc>
          <w:tcPr>
            <w:tcW w:w="66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w:t>
            </w:r>
          </w:p>
        </w:tc>
        <w:tc>
          <w:tcPr>
            <w:tcW w:w="93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w:t>
            </w:r>
          </w:p>
        </w:tc>
        <w:tc>
          <w:tcPr>
            <w:tcW w:w="118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342" w:type="dxa"/>
            <w:tcBorders>
              <w:top w:val="nil"/>
              <w:left w:val="nil"/>
              <w:bottom w:val="single" w:color="auto" w:sz="12"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left"/>
      </w:pPr>
      <w:r>
        <w:rPr>
          <w:rFonts w:hint="eastAsia" w:ascii="仿宋" w:hAnsi="仿宋" w:eastAsia="仿宋" w:cs="仿宋"/>
          <w:i w:val="0"/>
          <w:caps w:val="0"/>
          <w:color w:val="1E1E1E"/>
          <w:spacing w:val="0"/>
          <w:kern w:val="0"/>
          <w:sz w:val="32"/>
          <w:szCs w:val="32"/>
          <w:lang w:val="en-US" w:eastAsia="zh-CN" w:bidi="ar"/>
        </w:rPr>
        <w:t>1、专项资金的管理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对专项资金实行专人专账管理，健全内控管理制度，保障项目资金的使用安全。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pPr>
      <w:r>
        <w:rPr>
          <w:rFonts w:hint="eastAsia" w:ascii="仿宋" w:hAnsi="仿宋" w:eastAsia="仿宋" w:cs="仿宋"/>
          <w:i w:val="0"/>
          <w:caps w:val="0"/>
          <w:color w:val="1E1E1E"/>
          <w:spacing w:val="0"/>
          <w:kern w:val="0"/>
          <w:sz w:val="30"/>
          <w:szCs w:val="30"/>
          <w:shd w:val="clear" w:fill="FFFFFF"/>
          <w:lang w:val="en-US" w:eastAsia="zh-CN" w:bidi="ar"/>
        </w:rPr>
        <w:t>今年我所工作任务，预计完成安全生命防护工程21条，共计90.365公里；农村公路大中修养护维修19.427km，；危桥改造完成1座，10座已开工在建，22座正在进行招标中，预计年底前完成；四好农村公路建设完成了32公里；水毁破损小修完成清灌缝7万米，</w:t>
      </w:r>
      <w:r>
        <w:rPr>
          <w:rFonts w:hint="eastAsia" w:ascii="仿宋" w:hAnsi="仿宋" w:eastAsia="仿宋" w:cs="仿宋"/>
          <w:i w:val="0"/>
          <w:caps w:val="0"/>
          <w:color w:val="1E1E1E"/>
          <w:spacing w:val="0"/>
          <w:kern w:val="0"/>
          <w:sz w:val="32"/>
          <w:szCs w:val="32"/>
          <w:shd w:val="clear" w:fill="FFFFFF"/>
          <w:lang w:val="en-US" w:eastAsia="zh-CN" w:bidi="ar"/>
        </w:rPr>
        <w:t>县乡道水泥路面修补面积3000余平方米，严重破损路面砂石修补面积20000余平方米。完成水沟清理500余公里，路肩除草13500余平方米；今年来等级公路养护覆盖率、经常性养护率全面达到100%，全县县道优良中等路率达到86%，公路技术状况指数MQI值达到85.5，各项指标均达到或超过创建标准。</w:t>
      </w:r>
      <w:r>
        <w:rPr>
          <w:rFonts w:hint="eastAsia" w:ascii="仿宋" w:hAnsi="仿宋" w:eastAsia="仿宋" w:cs="仿宋"/>
          <w:i w:val="0"/>
          <w:caps w:val="0"/>
          <w:color w:val="1E1E1E"/>
          <w:spacing w:val="0"/>
          <w:kern w:val="0"/>
          <w:sz w:val="30"/>
          <w:szCs w:val="30"/>
          <w:shd w:val="clear" w:fill="FFFFFF"/>
          <w:lang w:val="en-US" w:eastAsia="zh-CN" w:bidi="ar"/>
        </w:rPr>
        <w:t>群众满意度非常高，部门整体绩效得分95分。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20"/>
      </w:pPr>
      <w:r>
        <w:rPr>
          <w:rFonts w:hint="eastAsia" w:ascii="仿宋" w:hAnsi="仿宋" w:eastAsia="仿宋" w:cs="仿宋"/>
          <w:i w:val="0"/>
          <w:caps w:val="0"/>
          <w:color w:val="1E1E1E"/>
          <w:spacing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五、存在的主要问题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（一）预算编制欠严谨。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预算预决算差异过大，预算科目不够完整、细化，如：基本支出中的部分科目等年初无足额预算。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（二）预算执行力度不够。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在实际经费列支中，未严格按照预算科目及专项项目进行列支，存在部分预算支出列支在其他科目中等问题。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20"/>
      </w:pPr>
      <w:r>
        <w:rPr>
          <w:rFonts w:hint="eastAsia" w:ascii="仿宋" w:hAnsi="仿宋" w:eastAsia="仿宋" w:cs="仿宋"/>
          <w:i w:val="0"/>
          <w:caps w:val="0"/>
          <w:color w:val="1E1E1E"/>
          <w:spacing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left"/>
      </w:pPr>
      <w:r>
        <w:rPr>
          <w:rFonts w:hint="eastAsia" w:ascii="仿宋" w:hAnsi="仿宋" w:eastAsia="仿宋" w:cs="仿宋"/>
          <w:i w:val="0"/>
          <w:caps w:val="0"/>
          <w:color w:val="1E1E1E"/>
          <w:spacing w:val="0"/>
          <w:kern w:val="0"/>
          <w:sz w:val="32"/>
          <w:szCs w:val="32"/>
          <w:lang w:val="en-US" w:eastAsia="zh-CN" w:bidi="ar"/>
        </w:rPr>
        <w:t>六、改进意见及建议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（一）细化预算编制工作。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进一步加强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（二）规范账务处理，提高财务信息质量。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严格按照《会计法》、《行政单位会计制度》、《行政单位财务规则》等规定，结合实际情况，严格执行单位经费支出制度，规范财务核算。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ascii="黑体" w:hAnsi="宋体" w:eastAsia="黑体" w:cs="黑体"/>
          <w:i w:val="0"/>
          <w:caps w:val="0"/>
          <w:color w:val="1E1E1E"/>
          <w:spacing w:val="0"/>
          <w:kern w:val="0"/>
          <w:sz w:val="32"/>
          <w:szCs w:val="32"/>
          <w:lang w:val="en-US" w:eastAsia="zh-CN" w:bidi="ar"/>
        </w:rPr>
        <w:t>附件</w:t>
      </w:r>
      <w:r>
        <w:rPr>
          <w:rFonts w:hint="eastAsia" w:ascii="黑体" w:hAnsi="宋体" w:eastAsia="黑体" w:cs="黑体"/>
          <w:i w:val="0"/>
          <w:caps w:val="0"/>
          <w:color w:val="1E1E1E"/>
          <w:spacing w:val="0"/>
          <w:kern w:val="0"/>
          <w:sz w:val="32"/>
          <w:szCs w:val="32"/>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Times New Roman" w:hAnsi="Times New Roman" w:eastAsia="微软雅黑" w:cs="Times New Roman"/>
          <w:i w:val="0"/>
          <w:caps w:val="0"/>
          <w:color w:val="1E1E1E"/>
          <w:spacing w:val="0"/>
          <w:kern w:val="0"/>
          <w:sz w:val="36"/>
          <w:szCs w:val="36"/>
          <w:lang w:val="en-US" w:eastAsia="zh-CN" w:bidi="ar"/>
        </w:rPr>
        <w:t>201</w:t>
      </w:r>
      <w:r>
        <w:rPr>
          <w:rFonts w:ascii="方正小标宋_GBK" w:hAnsi="方正小标宋_GBK" w:eastAsia="方正小标宋_GBK" w:cs="方正小标宋_GBK"/>
          <w:i w:val="0"/>
          <w:caps w:val="0"/>
          <w:color w:val="1E1E1E"/>
          <w:spacing w:val="0"/>
          <w:kern w:val="0"/>
          <w:sz w:val="36"/>
          <w:szCs w:val="36"/>
          <w:lang w:val="en-US" w:eastAsia="zh-CN" w:bidi="ar"/>
        </w:rPr>
        <w:t>9</w:t>
      </w:r>
      <w:r>
        <w:rPr>
          <w:rFonts w:hint="default" w:ascii="方正小标宋_GBK" w:hAnsi="方正小标宋_GBK" w:eastAsia="方正小标宋_GBK" w:cs="方正小标宋_GBK"/>
          <w:i w:val="0"/>
          <w:caps w:val="0"/>
          <w:color w:val="1E1E1E"/>
          <w:spacing w:val="0"/>
          <w:kern w:val="0"/>
          <w:sz w:val="36"/>
          <w:szCs w:val="36"/>
          <w:lang w:val="en-US" w:eastAsia="zh-CN" w:bidi="ar"/>
        </w:rPr>
        <w:t>年度部门整体支出</w:t>
      </w:r>
      <w:r>
        <w:rPr>
          <w:rFonts w:hint="default" w:ascii="方正小标宋_GBK" w:hAnsi="方正小标宋_GBK" w:eastAsia="方正小标宋_GBK" w:cs="方正小标宋_GBK"/>
          <w:i w:val="0"/>
          <w:caps w:val="0"/>
          <w:color w:val="1E1E1E"/>
          <w:spacing w:val="-8"/>
          <w:kern w:val="0"/>
          <w:sz w:val="36"/>
          <w:szCs w:val="36"/>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ascii="楷体_GB2312" w:hAnsi="微软雅黑" w:eastAsia="楷体_GB2312" w:cs="楷体_GB2312"/>
          <w:i w:val="0"/>
          <w:caps w:val="0"/>
          <w:color w:val="1E1E1E"/>
          <w:spacing w:val="-8"/>
          <w:kern w:val="0"/>
          <w:sz w:val="28"/>
          <w:szCs w:val="28"/>
          <w:lang w:val="en-US" w:eastAsia="zh-CN" w:bidi="ar"/>
        </w:rPr>
        <w:t>填报单位（盖章）：新邵县农村公路管理所</w:t>
      </w:r>
    </w:p>
    <w:tbl>
      <w:tblPr>
        <w:tblStyle w:val="5"/>
        <w:tblW w:w="14287" w:type="dxa"/>
        <w:jc w:val="center"/>
        <w:shd w:val="clear" w:color="auto" w:fill="auto"/>
        <w:tblLayout w:type="autofit"/>
        <w:tblCellMar>
          <w:top w:w="0" w:type="dxa"/>
          <w:left w:w="0" w:type="dxa"/>
          <w:bottom w:w="0" w:type="dxa"/>
          <w:right w:w="0" w:type="dxa"/>
        </w:tblCellMar>
      </w:tblPr>
      <w:tblGrid>
        <w:gridCol w:w="690"/>
        <w:gridCol w:w="704"/>
        <w:gridCol w:w="960"/>
        <w:gridCol w:w="5340"/>
        <w:gridCol w:w="5825"/>
        <w:gridCol w:w="768"/>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一级</w:t>
            </w:r>
            <w:r>
              <w:rPr>
                <w:rFonts w:hint="eastAsia" w:ascii="宋体" w:hAnsi="宋体" w:eastAsia="宋体" w:cs="宋体"/>
                <w:sz w:val="21"/>
                <w:szCs w:val="21"/>
              </w:rPr>
              <w:br w:type="textWrapping"/>
            </w:r>
            <w:r>
              <w:rPr>
                <w:rFonts w:hint="eastAsia" w:ascii="宋体" w:hAnsi="宋体" w:eastAsia="宋体" w:cs="宋体"/>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目标</w:t>
            </w:r>
            <w:r>
              <w:rPr>
                <w:rFonts w:hint="eastAsia" w:ascii="宋体" w:hAnsi="宋体" w:eastAsia="宋体" w:cs="宋体"/>
                <w:sz w:val="21"/>
                <w:szCs w:val="21"/>
              </w:rPr>
              <w:br w:type="textWrapping"/>
            </w:r>
            <w:r>
              <w:rPr>
                <w:rFonts w:hint="eastAsia" w:ascii="宋体" w:hAnsi="宋体" w:eastAsia="宋体" w:cs="宋体"/>
                <w:sz w:val="21"/>
                <w:szCs w:val="21"/>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预算</w:t>
            </w:r>
            <w:r>
              <w:rPr>
                <w:rFonts w:hint="eastAsia" w:ascii="宋体" w:hAnsi="宋体" w:eastAsia="宋体" w:cs="宋体"/>
                <w:sz w:val="21"/>
                <w:szCs w:val="21"/>
              </w:rPr>
              <w:br w:type="textWrapping"/>
            </w:r>
            <w:r>
              <w:rPr>
                <w:rFonts w:hint="eastAsia" w:ascii="宋体" w:hAnsi="宋体" w:eastAsia="宋体" w:cs="宋体"/>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预算</w:t>
            </w:r>
            <w:r>
              <w:rPr>
                <w:rFonts w:hint="eastAsia" w:ascii="宋体" w:hAnsi="宋体" w:eastAsia="宋体" w:cs="宋体"/>
                <w:sz w:val="21"/>
                <w:szCs w:val="21"/>
              </w:rPr>
              <w:br w:type="textWrapping"/>
            </w:r>
            <w:r>
              <w:rPr>
                <w:rFonts w:hint="eastAsia" w:ascii="宋体" w:hAnsi="宋体" w:eastAsia="宋体" w:cs="宋体"/>
                <w:sz w:val="21"/>
                <w:szCs w:val="21"/>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0</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资产</w:t>
            </w:r>
            <w:r>
              <w:rPr>
                <w:rFonts w:hint="eastAsia" w:ascii="宋体" w:hAnsi="宋体" w:eastAsia="宋体" w:cs="宋体"/>
                <w:sz w:val="21"/>
                <w:szCs w:val="21"/>
              </w:rPr>
              <w:br w:type="textWrapping"/>
            </w:r>
            <w:r>
              <w:rPr>
                <w:rFonts w:hint="eastAsia" w:ascii="宋体" w:hAnsi="宋体" w:eastAsia="宋体" w:cs="宋体"/>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④资产账务管理合规、</w:t>
            </w:r>
            <w:bookmarkStart w:id="0" w:name="_GoBack"/>
            <w:bookmarkEnd w:id="0"/>
            <w:r>
              <w:rPr>
                <w:rFonts w:hint="eastAsia" w:ascii="宋体" w:hAnsi="宋体" w:eastAsia="宋体" w:cs="宋体"/>
                <w:sz w:val="21"/>
                <w:szCs w:val="21"/>
                <w:lang w:eastAsia="zh-CN"/>
              </w:rPr>
              <w:t>账实相符</w:t>
            </w:r>
            <w:r>
              <w:rPr>
                <w:rFonts w:hint="eastAsia" w:ascii="宋体" w:hAnsi="宋体" w:eastAsia="宋体" w:cs="宋体"/>
                <w:sz w:val="21"/>
                <w:szCs w:val="21"/>
              </w:rPr>
              <w:t>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职责</w:t>
            </w:r>
            <w:r>
              <w:rPr>
                <w:rFonts w:hint="eastAsia" w:ascii="宋体" w:hAnsi="宋体" w:eastAsia="宋体" w:cs="宋体"/>
                <w:sz w:val="21"/>
                <w:szCs w:val="21"/>
              </w:rPr>
              <w:br w:type="textWrapping"/>
            </w:r>
            <w:r>
              <w:rPr>
                <w:rFonts w:hint="eastAsia" w:ascii="宋体" w:hAnsi="宋体" w:eastAsia="宋体" w:cs="宋体"/>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pPr>
            <w:r>
              <w:rPr>
                <w:rFonts w:hint="eastAsia" w:ascii="宋体" w:hAnsi="宋体" w:eastAsia="宋体" w:cs="宋体"/>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履职</w:t>
            </w:r>
            <w:r>
              <w:rPr>
                <w:rFonts w:hint="eastAsia" w:ascii="宋体" w:hAnsi="宋体" w:eastAsia="宋体" w:cs="宋体"/>
                <w:sz w:val="21"/>
                <w:szCs w:val="21"/>
              </w:rPr>
              <w:br w:type="textWrapping"/>
            </w:r>
            <w:r>
              <w:rPr>
                <w:rFonts w:hint="eastAsia" w:ascii="宋体" w:hAnsi="宋体" w:eastAsia="宋体" w:cs="宋体"/>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宋体" w:hAnsi="宋体" w:eastAsia="宋体" w:cs="宋体"/>
                <w:kern w:val="0"/>
                <w:sz w:val="21"/>
                <w:szCs w:val="21"/>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kern w:val="0"/>
                <w:sz w:val="21"/>
                <w:szCs w:val="21"/>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18"/>
                <w:szCs w:val="18"/>
              </w:rPr>
              <w:t>90%</w:t>
            </w:r>
            <w:r>
              <w:rPr>
                <w:rFonts w:hint="eastAsia" w:ascii="宋体" w:hAnsi="宋体" w:eastAsia="宋体" w:cs="宋体"/>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总分</w:t>
            </w:r>
          </w:p>
        </w:tc>
        <w:tc>
          <w:tcPr>
            <w:tcW w:w="704"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 </w:t>
            </w:r>
          </w:p>
        </w:tc>
        <w:tc>
          <w:tcPr>
            <w:tcW w:w="768"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95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sz w:val="21"/>
                <w:szCs w:val="21"/>
              </w:rPr>
              <w:t> </w:t>
            </w:r>
          </w:p>
        </w:tc>
        <w:tc>
          <w:tcPr>
            <w:tcW w:w="704"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sz w:val="24"/>
                <w:szCs w:val="24"/>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spacing w:before="0" w:beforeAutospacing="1" w:after="0" w:afterAutospacing="1"/>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jI5NGQ3ODg0OTY1NTJhMjQ2MjE4NzQyOGEyYWEifQ=="/>
  </w:docVars>
  <w:rsids>
    <w:rsidRoot w:val="00000000"/>
    <w:rsid w:val="5C764C68"/>
    <w:rsid w:val="6EF4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7381</Words>
  <Characters>8184</Characters>
  <Lines>0</Lines>
  <Paragraphs>0</Paragraphs>
  <TotalTime>0</TotalTime>
  <ScaleCrop>false</ScaleCrop>
  <LinksUpToDate>false</LinksUpToDate>
  <CharactersWithSpaces>8185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2021-06-06T05:27:00Z</dcterms:created>
  <dc:creator>Administrator</dc:creator>
  <cp:lastModifiedBy>鲸鱼</cp:lastModifiedBy>
  <dcterms:modified xsi:type="dcterms:W3CDTF">2022-08-10T02:43:36Z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703F0BAD152A4A99B3B7480750A39F48</vt:lpwstr>
  </property>
</Properties>
</file>