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35" w:type="dxa"/>
        <w:tblInd w:w="-597" w:type="dxa"/>
        <w:tblLayout w:type="fixed"/>
        <w:tblCellMar>
          <w:top w:w="0" w:type="dxa"/>
          <w:left w:w="108" w:type="dxa"/>
          <w:bottom w:w="0" w:type="dxa"/>
          <w:right w:w="108" w:type="dxa"/>
        </w:tblCellMar>
      </w:tblPr>
      <w:tblGrid>
        <w:gridCol w:w="525"/>
        <w:gridCol w:w="165"/>
        <w:gridCol w:w="795"/>
        <w:gridCol w:w="112"/>
        <w:gridCol w:w="540"/>
        <w:gridCol w:w="233"/>
        <w:gridCol w:w="165"/>
        <w:gridCol w:w="232"/>
        <w:gridCol w:w="458"/>
        <w:gridCol w:w="622"/>
        <w:gridCol w:w="278"/>
        <w:gridCol w:w="405"/>
        <w:gridCol w:w="382"/>
        <w:gridCol w:w="1140"/>
        <w:gridCol w:w="233"/>
        <w:gridCol w:w="877"/>
        <w:gridCol w:w="285"/>
        <w:gridCol w:w="218"/>
        <w:gridCol w:w="352"/>
        <w:gridCol w:w="317"/>
        <w:gridCol w:w="583"/>
        <w:gridCol w:w="473"/>
        <w:gridCol w:w="352"/>
        <w:gridCol w:w="893"/>
      </w:tblGrid>
      <w:tr>
        <w:tblPrEx>
          <w:tblCellMar>
            <w:top w:w="0" w:type="dxa"/>
            <w:left w:w="108" w:type="dxa"/>
            <w:bottom w:w="0" w:type="dxa"/>
            <w:right w:w="108" w:type="dxa"/>
          </w:tblCellMar>
        </w:tblPrEx>
        <w:trPr>
          <w:trHeight w:val="540" w:hRule="atLeast"/>
        </w:trPr>
        <w:tc>
          <w:tcPr>
            <w:tcW w:w="10635" w:type="dxa"/>
            <w:gridSpan w:val="24"/>
            <w:tcBorders>
              <w:top w:val="nil"/>
              <w:left w:val="nil"/>
              <w:bottom w:val="nil"/>
              <w:right w:val="nil"/>
            </w:tcBorders>
            <w:shd w:val="clear" w:color="auto" w:fill="auto"/>
            <w:vAlign w:val="center"/>
          </w:tcPr>
          <w:p>
            <w:pPr>
              <w:widowControl/>
              <w:jc w:val="center"/>
              <w:rPr>
                <w:rFonts w:hint="eastAsia" w:ascii="仿宋" w:hAnsi="仿宋" w:eastAsia="仿宋" w:cs="仿宋"/>
                <w:kern w:val="0"/>
                <w:sz w:val="48"/>
                <w:szCs w:val="48"/>
              </w:rPr>
            </w:pPr>
            <w:r>
              <w:rPr>
                <w:rFonts w:hint="eastAsia" w:ascii="仿宋" w:hAnsi="仿宋" w:eastAsia="仿宋" w:cs="仿宋"/>
                <w:b/>
                <w:bCs/>
                <w:kern w:val="0"/>
                <w:sz w:val="48"/>
                <w:szCs w:val="48"/>
              </w:rPr>
              <w:t>部门整体支出绩效目标申报表</w:t>
            </w:r>
          </w:p>
        </w:tc>
      </w:tr>
      <w:tr>
        <w:tblPrEx>
          <w:tblCellMar>
            <w:top w:w="0" w:type="dxa"/>
            <w:left w:w="108" w:type="dxa"/>
            <w:bottom w:w="0" w:type="dxa"/>
            <w:right w:w="108" w:type="dxa"/>
          </w:tblCellMar>
        </w:tblPrEx>
        <w:trPr>
          <w:trHeight w:val="339" w:hRule="atLeast"/>
        </w:trPr>
        <w:tc>
          <w:tcPr>
            <w:tcW w:w="10635" w:type="dxa"/>
            <w:gridSpan w:val="24"/>
            <w:tcBorders>
              <w:top w:val="nil"/>
              <w:left w:val="nil"/>
              <w:bottom w:val="nil"/>
              <w:right w:val="nil"/>
            </w:tcBorders>
            <w:shd w:val="clear" w:color="auto" w:fill="auto"/>
            <w:vAlign w:val="center"/>
          </w:tcPr>
          <w:p>
            <w:pPr>
              <w:widowControl/>
              <w:jc w:val="left"/>
              <w:rPr>
                <w:rFonts w:hint="eastAsia" w:ascii="仿宋" w:hAnsi="仿宋" w:eastAsia="仿宋" w:cs="仿宋"/>
                <w:kern w:val="0"/>
                <w:sz w:val="32"/>
                <w:szCs w:val="32"/>
              </w:rPr>
            </w:pPr>
            <w:r>
              <w:rPr>
                <w:rFonts w:hint="eastAsia" w:ascii="仿宋" w:hAnsi="仿宋" w:eastAsia="仿宋" w:cs="仿宋"/>
                <w:kern w:val="0"/>
                <w:sz w:val="28"/>
                <w:szCs w:val="28"/>
                <w:lang w:eastAsia="zh-CN"/>
              </w:rPr>
              <w:t>单位（盖章）：新邵县人力资源和社会保障局</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2020</w:t>
            </w:r>
            <w:r>
              <w:rPr>
                <w:rFonts w:hint="eastAsia" w:ascii="仿宋" w:hAnsi="仿宋" w:eastAsia="仿宋" w:cs="仿宋"/>
                <w:kern w:val="0"/>
                <w:sz w:val="28"/>
                <w:szCs w:val="28"/>
              </w:rPr>
              <w:t>年度）</w:t>
            </w:r>
          </w:p>
        </w:tc>
      </w:tr>
      <w:tr>
        <w:tblPrEx>
          <w:tblCellMar>
            <w:top w:w="0" w:type="dxa"/>
            <w:left w:w="108" w:type="dxa"/>
            <w:bottom w:w="0" w:type="dxa"/>
            <w:right w:w="108" w:type="dxa"/>
          </w:tblCellMar>
        </w:tblPrEx>
        <w:trPr>
          <w:trHeight w:val="598" w:hRule="atLeast"/>
        </w:trPr>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部门基本信息</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单位</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名称</w:t>
            </w:r>
          </w:p>
        </w:tc>
        <w:tc>
          <w:tcPr>
            <w:tcW w:w="9150"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新邵县人力资源和社会保障局</w:t>
            </w:r>
            <w:r>
              <w:rPr>
                <w:rFonts w:hint="eastAsia" w:ascii="仿宋" w:hAnsi="仿宋" w:eastAsia="仿宋" w:cs="仿宋"/>
                <w:kern w:val="0"/>
                <w:sz w:val="24"/>
                <w:szCs w:val="24"/>
              </w:rPr>
              <w:t xml:space="preserve"> 　</w:t>
            </w:r>
          </w:p>
        </w:tc>
      </w:tr>
      <w:tr>
        <w:tblPrEx>
          <w:tblCellMar>
            <w:top w:w="0" w:type="dxa"/>
            <w:left w:w="108" w:type="dxa"/>
            <w:bottom w:w="0" w:type="dxa"/>
            <w:right w:w="108" w:type="dxa"/>
          </w:tblCellMar>
        </w:tblPrEx>
        <w:trPr>
          <w:trHeight w:val="990"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编制人数</w:t>
            </w:r>
          </w:p>
        </w:tc>
        <w:tc>
          <w:tcPr>
            <w:tcW w:w="885" w:type="dxa"/>
            <w:gridSpan w:val="3"/>
            <w:tcBorders>
              <w:top w:val="nil"/>
              <w:left w:val="nil"/>
              <w:bottom w:val="single" w:color="auto" w:sz="4" w:space="0"/>
              <w:right w:val="single" w:color="auto" w:sz="4" w:space="0"/>
            </w:tcBorders>
            <w:shd w:val="clear" w:color="auto" w:fill="auto"/>
            <w:vAlign w:val="center"/>
          </w:tcPr>
          <w:p>
            <w:pPr>
              <w:widowControl/>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w:t>
            </w:r>
          </w:p>
        </w:tc>
        <w:tc>
          <w:tcPr>
            <w:tcW w:w="855"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实有  人数</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37</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单位预算绩效   管理联系人</w:t>
            </w:r>
          </w:p>
        </w:tc>
        <w:tc>
          <w:tcPr>
            <w:tcW w:w="11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王若林</w:t>
            </w:r>
            <w:r>
              <w:rPr>
                <w:rFonts w:hint="eastAsia" w:ascii="仿宋" w:hAnsi="仿宋" w:eastAsia="仿宋" w:cs="仿宋"/>
                <w:kern w:val="0"/>
                <w:sz w:val="24"/>
                <w:szCs w:val="24"/>
              </w:rPr>
              <w:t>　</w:t>
            </w:r>
          </w:p>
        </w:tc>
        <w:tc>
          <w:tcPr>
            <w:tcW w:w="887"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   电话</w:t>
            </w:r>
          </w:p>
        </w:tc>
        <w:tc>
          <w:tcPr>
            <w:tcW w:w="23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3681135</w:t>
            </w:r>
          </w:p>
        </w:tc>
      </w:tr>
      <w:tr>
        <w:tblPrEx>
          <w:tblCellMar>
            <w:top w:w="0" w:type="dxa"/>
            <w:left w:w="108" w:type="dxa"/>
            <w:bottom w:w="0" w:type="dxa"/>
            <w:right w:w="108" w:type="dxa"/>
          </w:tblCellMar>
        </w:tblPrEx>
        <w:trPr>
          <w:trHeight w:val="1800"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单位   职能   概述</w:t>
            </w:r>
          </w:p>
        </w:tc>
        <w:tc>
          <w:tcPr>
            <w:tcW w:w="9150" w:type="dxa"/>
            <w:gridSpan w:val="21"/>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1、贯彻执行国家人力资源和社会保障工作方针政策和法律法规，拟订全县人力资源和社会保障事业发展规划、政策，</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拟订全县人力资源市场发展规划，组织落实人力资源流动政策，建立统一规范的人力资源市场，促进人力资源合理流动、有效配置。</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负责促进就业工作，拟订统筹城乡的就业发展规划，完善公共就业服务体系</w:t>
            </w:r>
            <w:r>
              <w:rPr>
                <w:rFonts w:hint="eastAsia" w:ascii="仿宋" w:hAnsi="仿宋" w:eastAsia="仿宋" w:cs="仿宋"/>
                <w:sz w:val="24"/>
                <w:szCs w:val="24"/>
                <w:lang w:eastAsia="zh-CN"/>
              </w:rPr>
              <w:t>。</w:t>
            </w:r>
            <w:r>
              <w:rPr>
                <w:rFonts w:hint="eastAsia" w:ascii="仿宋" w:hAnsi="仿宋" w:eastAsia="仿宋" w:cs="仿宋"/>
                <w:sz w:val="24"/>
                <w:szCs w:val="24"/>
              </w:rPr>
              <w:t>　</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统筹建立覆盖城乡的社会保障体系，组织落实城乡社会保险和补充保险政策以及机关企事业单位基本养老保险政策。　</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负责全县就业、失业、社会保险基金预测预警和信息引导，制定应对预案，实施预防、调节和控制，保持就业形势稳定和社会保险基金总体收支平衡。</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6、会同有关部门组织实施机关、事业单位人员工资收入分配政策，建立机关企事业单位人员工资正常增长和支付保障机制。</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7、</w:t>
            </w:r>
            <w:r>
              <w:rPr>
                <w:rFonts w:hint="eastAsia" w:ascii="仿宋" w:hAnsi="仿宋" w:eastAsia="仿宋" w:cs="仿宋"/>
                <w:sz w:val="24"/>
                <w:szCs w:val="24"/>
              </w:rPr>
              <w:t>会同有关部门负责全县事业单位人事综合管理工作。</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8、</w:t>
            </w:r>
            <w:r>
              <w:rPr>
                <w:rFonts w:hint="eastAsia" w:ascii="仿宋" w:hAnsi="仿宋" w:eastAsia="仿宋" w:cs="仿宋"/>
                <w:sz w:val="24"/>
                <w:szCs w:val="24"/>
              </w:rPr>
              <w:t>会同有关部门拟订农民工工作综合性政策和规划，推动农民工相关政策的实施，协调解决重点难点问题，维护农民工合法权益。</w:t>
            </w:r>
          </w:p>
          <w:p>
            <w:pPr>
              <w:numPr>
                <w:ilvl w:val="0"/>
                <w:numId w:val="0"/>
              </w:numPr>
              <w:rPr>
                <w:rFonts w:hint="eastAsia" w:ascii="仿宋" w:hAnsi="仿宋" w:eastAsia="仿宋" w:cs="仿宋"/>
                <w:kern w:val="0"/>
                <w:sz w:val="24"/>
                <w:szCs w:val="24"/>
              </w:rPr>
            </w:pPr>
            <w:r>
              <w:rPr>
                <w:rFonts w:hint="eastAsia" w:ascii="仿宋" w:hAnsi="仿宋" w:eastAsia="仿宋" w:cs="仿宋"/>
                <w:sz w:val="24"/>
                <w:szCs w:val="24"/>
                <w:lang w:val="en-US" w:eastAsia="zh-CN"/>
              </w:rPr>
              <w:t xml:space="preserve">     9、</w:t>
            </w:r>
            <w:r>
              <w:rPr>
                <w:rFonts w:hint="eastAsia" w:ascii="仿宋" w:hAnsi="仿宋" w:eastAsia="仿宋" w:cs="仿宋"/>
                <w:sz w:val="24"/>
                <w:szCs w:val="24"/>
              </w:rPr>
              <w:t>统筹实施劳动、人事争议调解仲裁制度，拟订劳动关系政策，完善劳动关系协调机制。</w:t>
            </w:r>
          </w:p>
          <w:p>
            <w:pPr>
              <w:numPr>
                <w:ilvl w:val="0"/>
                <w:numId w:val="0"/>
              </w:numPr>
              <w:rPr>
                <w:rFonts w:hint="eastAsia" w:ascii="仿宋" w:hAnsi="仿宋" w:eastAsia="仿宋" w:cs="仿宋"/>
                <w:kern w:val="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、归口管理全县引智工作，会同有关部门拟订引智工作规划和相关办法。</w:t>
            </w:r>
          </w:p>
          <w:p>
            <w:pPr>
              <w:numPr>
                <w:ilvl w:val="0"/>
                <w:numId w:val="0"/>
              </w:numPr>
              <w:ind w:firstLine="48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、承办县委、县人民政府交办的其他事项。</w:t>
            </w:r>
          </w:p>
          <w:p>
            <w:pPr>
              <w:numPr>
                <w:ilvl w:val="0"/>
                <w:numId w:val="0"/>
              </w:numPr>
              <w:ind w:firstLine="480"/>
              <w:rPr>
                <w:rFonts w:hint="eastAsia" w:ascii="仿宋" w:hAnsi="仿宋" w:eastAsia="仿宋" w:cs="仿宋"/>
                <w:sz w:val="24"/>
                <w:szCs w:val="24"/>
              </w:rPr>
            </w:pPr>
          </w:p>
        </w:tc>
      </w:tr>
      <w:tr>
        <w:tblPrEx>
          <w:tblCellMar>
            <w:top w:w="0" w:type="dxa"/>
            <w:left w:w="108" w:type="dxa"/>
            <w:bottom w:w="0" w:type="dxa"/>
            <w:right w:w="108" w:type="dxa"/>
          </w:tblCellMar>
        </w:tblPrEx>
        <w:trPr>
          <w:trHeight w:val="600"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rPr>
            </w:pPr>
          </w:p>
        </w:tc>
        <w:tc>
          <w:tcPr>
            <w:tcW w:w="332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年度收入预算</w:t>
            </w:r>
          </w:p>
        </w:tc>
        <w:tc>
          <w:tcPr>
            <w:tcW w:w="331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年度支出预算</w:t>
            </w:r>
          </w:p>
        </w:tc>
        <w:tc>
          <w:tcPr>
            <w:tcW w:w="347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三公经费预算支出</w:t>
            </w:r>
          </w:p>
        </w:tc>
      </w:tr>
      <w:tr>
        <w:tblPrEx>
          <w:tblCellMar>
            <w:top w:w="0" w:type="dxa"/>
            <w:left w:w="108" w:type="dxa"/>
            <w:bottom w:w="0" w:type="dxa"/>
            <w:right w:w="108" w:type="dxa"/>
          </w:tblCellMar>
        </w:tblPrEx>
        <w:trPr>
          <w:trHeight w:val="1098"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8"/>
                <w:szCs w:val="28"/>
              </w:rPr>
            </w:pPr>
          </w:p>
        </w:tc>
        <w:tc>
          <w:tcPr>
            <w:tcW w:w="1072"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财政     拨款</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非</w:t>
            </w:r>
            <w:r>
              <w:rPr>
                <w:rFonts w:hint="eastAsia" w:ascii="仿宋" w:hAnsi="仿宋" w:eastAsia="仿宋" w:cs="仿宋"/>
                <w:kern w:val="0"/>
                <w:sz w:val="24"/>
                <w:szCs w:val="24"/>
                <w:lang w:eastAsia="zh-CN"/>
              </w:rPr>
              <w:t>税</w:t>
            </w:r>
            <w:r>
              <w:rPr>
                <w:rFonts w:hint="eastAsia" w:ascii="仿宋" w:hAnsi="仿宋" w:eastAsia="仿宋" w:cs="仿宋"/>
                <w:kern w:val="0"/>
                <w:sz w:val="24"/>
                <w:szCs w:val="24"/>
              </w:rPr>
              <w:t xml:space="preserve">    收入</w:t>
            </w:r>
          </w:p>
        </w:tc>
        <w:tc>
          <w:tcPr>
            <w:tcW w:w="63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其他    收入</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收入     合计</w:t>
            </w:r>
          </w:p>
        </w:tc>
        <w:tc>
          <w:tcPr>
            <w:tcW w:w="106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基本    支出</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    支出</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支出    合计</w:t>
            </w:r>
          </w:p>
        </w:tc>
        <w:tc>
          <w:tcPr>
            <w:tcW w:w="85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    接待费</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公务用车运行和购置费</w:t>
            </w:r>
          </w:p>
        </w:tc>
        <w:tc>
          <w:tcPr>
            <w:tcW w:w="82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因公出国（境）费</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r>
      <w:tr>
        <w:tblPrEx>
          <w:tblCellMar>
            <w:top w:w="0" w:type="dxa"/>
            <w:left w:w="108" w:type="dxa"/>
            <w:bottom w:w="0" w:type="dxa"/>
            <w:right w:w="108" w:type="dxa"/>
          </w:tblCellMar>
        </w:tblPrEx>
        <w:trPr>
          <w:trHeight w:val="540"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8"/>
                <w:szCs w:val="18"/>
              </w:rPr>
            </w:pPr>
          </w:p>
        </w:tc>
        <w:tc>
          <w:tcPr>
            <w:tcW w:w="1072"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787.1731</w:t>
            </w:r>
            <w:r>
              <w:rPr>
                <w:rFonts w:hint="eastAsia" w:ascii="仿宋" w:hAnsi="仿宋" w:eastAsia="仿宋" w:cs="仿宋"/>
                <w:kern w:val="0"/>
                <w:sz w:val="18"/>
                <w:szCs w:val="18"/>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25</w:t>
            </w:r>
            <w:r>
              <w:rPr>
                <w:rFonts w:hint="eastAsia" w:ascii="仿宋" w:hAnsi="仿宋" w:eastAsia="仿宋" w:cs="仿宋"/>
                <w:kern w:val="0"/>
                <w:sz w:val="18"/>
                <w:szCs w:val="18"/>
              </w:rPr>
              <w:t>　</w:t>
            </w:r>
          </w:p>
        </w:tc>
        <w:tc>
          <w:tcPr>
            <w:tcW w:w="63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808.1731</w:t>
            </w:r>
            <w:r>
              <w:rPr>
                <w:rFonts w:hint="eastAsia" w:ascii="仿宋" w:hAnsi="仿宋" w:eastAsia="仿宋" w:cs="仿宋"/>
                <w:kern w:val="0"/>
                <w:sz w:val="18"/>
                <w:szCs w:val="18"/>
              </w:rPr>
              <w:t>　</w:t>
            </w:r>
          </w:p>
        </w:tc>
        <w:tc>
          <w:tcPr>
            <w:tcW w:w="106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463.8131</w:t>
            </w:r>
            <w:r>
              <w:rPr>
                <w:rFonts w:hint="eastAsia" w:ascii="仿宋" w:hAnsi="仿宋" w:eastAsia="仿宋" w:cs="仿宋"/>
                <w:kern w:val="0"/>
                <w:sz w:val="18"/>
                <w:szCs w:val="18"/>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344.36</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808.1731</w:t>
            </w:r>
            <w:r>
              <w:rPr>
                <w:rFonts w:hint="eastAsia" w:ascii="仿宋" w:hAnsi="仿宋" w:eastAsia="仿宋" w:cs="仿宋"/>
                <w:kern w:val="0"/>
                <w:sz w:val="18"/>
                <w:szCs w:val="18"/>
              </w:rPr>
              <w:t>　</w:t>
            </w:r>
          </w:p>
        </w:tc>
        <w:tc>
          <w:tcPr>
            <w:tcW w:w="855"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7</w:t>
            </w:r>
          </w:p>
        </w:tc>
        <w:tc>
          <w:tcPr>
            <w:tcW w:w="9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82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936"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部门整体支出绩效目标</w:t>
            </w:r>
          </w:p>
        </w:tc>
        <w:tc>
          <w:tcPr>
            <w:tcW w:w="10110" w:type="dxa"/>
            <w:gridSpan w:val="23"/>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在今年收支预算内，确保完成以下整体目标：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目标1：</w:t>
            </w:r>
            <w:r>
              <w:rPr>
                <w:rFonts w:hint="eastAsia" w:ascii="仿宋" w:hAnsi="仿宋" w:eastAsia="仿宋" w:cs="仿宋"/>
                <w:kern w:val="0"/>
                <w:sz w:val="24"/>
                <w:szCs w:val="24"/>
                <w:lang w:eastAsia="zh-CN"/>
              </w:rPr>
              <w:t>完成事业单位工作人员考录（聘）工作。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目标2：</w:t>
            </w:r>
            <w:r>
              <w:rPr>
                <w:rFonts w:hint="eastAsia" w:ascii="仿宋" w:hAnsi="仿宋" w:eastAsia="仿宋" w:cs="仿宋"/>
                <w:kern w:val="0"/>
                <w:sz w:val="24"/>
                <w:szCs w:val="24"/>
                <w:lang w:eastAsia="zh-CN"/>
              </w:rPr>
              <w:t>完成事业单位工作人员转正培训</w:t>
            </w:r>
            <w:r>
              <w:rPr>
                <w:rFonts w:hint="eastAsia" w:ascii="仿宋" w:hAnsi="仿宋" w:eastAsia="仿宋" w:cs="仿宋"/>
                <w:kern w:val="0"/>
                <w:sz w:val="24"/>
                <w:szCs w:val="24"/>
                <w:lang w:val="en-US" w:eastAsia="zh-CN"/>
              </w:rPr>
              <w:t>1-2次。</w:t>
            </w:r>
          </w:p>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目标3：</w:t>
            </w:r>
            <w:r>
              <w:rPr>
                <w:rFonts w:hint="eastAsia" w:ascii="仿宋" w:hAnsi="仿宋" w:eastAsia="仿宋" w:cs="仿宋"/>
                <w:kern w:val="0"/>
                <w:sz w:val="24"/>
                <w:szCs w:val="24"/>
                <w:lang w:eastAsia="zh-CN"/>
              </w:rPr>
              <w:t>做好重点民生实事工作。</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目标</w:t>
            </w:r>
            <w:r>
              <w:rPr>
                <w:rFonts w:hint="eastAsia" w:ascii="仿宋" w:hAnsi="仿宋" w:eastAsia="仿宋" w:cs="仿宋"/>
                <w:kern w:val="0"/>
                <w:sz w:val="24"/>
                <w:szCs w:val="24"/>
                <w:lang w:val="en-US" w:eastAsia="zh-CN"/>
              </w:rPr>
              <w:t>4：做好事业单位的日常管理和考核工作。</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目标5：做好全县事业单位的工资、奖金、津补贴、绩效工资和离退休费。</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目标6：促进就业工作，用好公共就业服务资金。</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目标7：做好职称评审工作。</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目标8：做好三支一扶工作。</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目标9：确保社保基金的安全运行，及时完成基金的征缴、支出任务。</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目标10：切实做好劳动监察执法、检查、仲裁工作。</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目标11：对局二级机构的工作进行指导与监督检查。</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目标12：提高窗口高效运行，提高办事效率。</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目标13：做好</w:t>
            </w:r>
            <w:bookmarkStart w:id="0" w:name="_GoBack"/>
            <w:bookmarkEnd w:id="0"/>
            <w:r>
              <w:rPr>
                <w:rFonts w:hint="eastAsia" w:ascii="仿宋" w:hAnsi="仿宋" w:eastAsia="仿宋" w:cs="仿宋"/>
                <w:kern w:val="0"/>
                <w:sz w:val="24"/>
                <w:szCs w:val="24"/>
                <w:lang w:val="en-US" w:eastAsia="zh-CN"/>
              </w:rPr>
              <w:t>县委、县政府交办的各项中心工作任务。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2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部门</w:t>
            </w:r>
            <w:r>
              <w:rPr>
                <w:rFonts w:hint="eastAsia" w:ascii="仿宋" w:hAnsi="仿宋" w:eastAsia="仿宋" w:cs="仿宋"/>
                <w:sz w:val="24"/>
                <w:szCs w:val="24"/>
              </w:rPr>
              <w:br w:type="textWrapping"/>
            </w:r>
            <w:r>
              <w:rPr>
                <w:rFonts w:hint="eastAsia" w:ascii="仿宋" w:hAnsi="仿宋" w:eastAsia="仿宋" w:cs="仿宋"/>
                <w:sz w:val="24"/>
                <w:szCs w:val="24"/>
              </w:rPr>
              <w:t>整体       支出</w:t>
            </w:r>
            <w:r>
              <w:rPr>
                <w:rFonts w:hint="eastAsia" w:ascii="仿宋" w:hAnsi="仿宋" w:eastAsia="仿宋" w:cs="仿宋"/>
                <w:sz w:val="24"/>
                <w:szCs w:val="24"/>
              </w:rPr>
              <w:br w:type="textWrapping"/>
            </w:r>
            <w:r>
              <w:rPr>
                <w:rFonts w:hint="eastAsia" w:ascii="仿宋" w:hAnsi="仿宋" w:eastAsia="仿宋" w:cs="仿宋"/>
                <w:sz w:val="24"/>
                <w:szCs w:val="24"/>
              </w:rPr>
              <w:t>绩效</w:t>
            </w:r>
            <w:r>
              <w:rPr>
                <w:rFonts w:hint="eastAsia" w:ascii="仿宋" w:hAnsi="仿宋" w:eastAsia="仿宋" w:cs="仿宋"/>
                <w:sz w:val="24"/>
                <w:szCs w:val="24"/>
              </w:rPr>
              <w:br w:type="textWrapping"/>
            </w:r>
            <w:r>
              <w:rPr>
                <w:rFonts w:hint="eastAsia" w:ascii="仿宋" w:hAnsi="仿宋" w:eastAsia="仿宋" w:cs="仿宋"/>
                <w:sz w:val="24"/>
                <w:szCs w:val="24"/>
              </w:rPr>
              <w:t>指标</w:t>
            </w:r>
          </w:p>
        </w:tc>
        <w:tc>
          <w:tcPr>
            <w:tcW w:w="2010"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1995"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3135" w:type="dxa"/>
            <w:gridSpan w:val="6"/>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指标内容</w:t>
            </w:r>
          </w:p>
        </w:tc>
        <w:tc>
          <w:tcPr>
            <w:tcW w:w="1725"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指标值</w:t>
            </w:r>
          </w:p>
        </w:tc>
        <w:tc>
          <w:tcPr>
            <w:tcW w:w="12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995"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3135"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各项工作业务安排专项经费</w:t>
            </w:r>
          </w:p>
        </w:tc>
        <w:tc>
          <w:tcPr>
            <w:tcW w:w="1725" w:type="dxa"/>
            <w:gridSpan w:val="4"/>
            <w:vAlign w:val="center"/>
          </w:tcPr>
          <w:p>
            <w:pPr>
              <w:jc w:val="center"/>
              <w:rPr>
                <w:rFonts w:hint="eastAsia" w:ascii="仿宋" w:hAnsi="仿宋" w:eastAsia="仿宋" w:cs="仿宋"/>
                <w:sz w:val="24"/>
                <w:szCs w:val="24"/>
                <w:lang w:val="en-US" w:eastAsia="zh-CN"/>
              </w:rPr>
            </w:pPr>
          </w:p>
        </w:tc>
        <w:tc>
          <w:tcPr>
            <w:tcW w:w="1245" w:type="dxa"/>
            <w:gridSpan w:val="2"/>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continue"/>
            <w:vAlign w:val="center"/>
          </w:tcPr>
          <w:p>
            <w:pPr>
              <w:jc w:val="center"/>
              <w:rPr>
                <w:rFonts w:hint="eastAsia" w:ascii="仿宋" w:hAnsi="仿宋" w:eastAsia="仿宋" w:cs="仿宋"/>
                <w:sz w:val="24"/>
                <w:szCs w:val="24"/>
              </w:rPr>
            </w:pPr>
          </w:p>
        </w:tc>
        <w:tc>
          <w:tcPr>
            <w:tcW w:w="1995"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3135"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年初预算，专款专用，计划调剂</w:t>
            </w:r>
          </w:p>
        </w:tc>
        <w:tc>
          <w:tcPr>
            <w:tcW w:w="1725" w:type="dxa"/>
            <w:gridSpan w:val="4"/>
            <w:vAlign w:val="center"/>
          </w:tcPr>
          <w:p>
            <w:pPr>
              <w:jc w:val="center"/>
              <w:rPr>
                <w:rFonts w:hint="eastAsia" w:ascii="仿宋" w:hAnsi="仿宋" w:eastAsia="仿宋" w:cs="仿宋"/>
                <w:sz w:val="24"/>
                <w:szCs w:val="24"/>
              </w:rPr>
            </w:pPr>
          </w:p>
        </w:tc>
        <w:tc>
          <w:tcPr>
            <w:tcW w:w="1245" w:type="dxa"/>
            <w:gridSpan w:val="2"/>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continue"/>
            <w:vAlign w:val="center"/>
          </w:tcPr>
          <w:p>
            <w:pPr>
              <w:jc w:val="center"/>
              <w:rPr>
                <w:rFonts w:hint="eastAsia" w:ascii="仿宋" w:hAnsi="仿宋" w:eastAsia="仿宋" w:cs="仿宋"/>
                <w:sz w:val="24"/>
                <w:szCs w:val="24"/>
              </w:rPr>
            </w:pPr>
          </w:p>
        </w:tc>
        <w:tc>
          <w:tcPr>
            <w:tcW w:w="1995" w:type="dxa"/>
            <w:gridSpan w:val="5"/>
            <w:tcBorders>
              <w:top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成本指标</w:t>
            </w:r>
          </w:p>
        </w:tc>
        <w:tc>
          <w:tcPr>
            <w:tcW w:w="3135" w:type="dxa"/>
            <w:gridSpan w:val="6"/>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各项业务经费不超出预算，超支审批</w:t>
            </w:r>
          </w:p>
        </w:tc>
        <w:tc>
          <w:tcPr>
            <w:tcW w:w="1725" w:type="dxa"/>
            <w:gridSpan w:val="4"/>
            <w:tcBorders>
              <w:top w:val="single" w:color="auto" w:sz="4" w:space="0"/>
            </w:tcBorders>
            <w:vAlign w:val="center"/>
          </w:tcPr>
          <w:p>
            <w:pPr>
              <w:jc w:val="center"/>
              <w:rPr>
                <w:rFonts w:hint="eastAsia" w:ascii="仿宋" w:hAnsi="仿宋" w:eastAsia="仿宋" w:cs="仿宋"/>
                <w:sz w:val="24"/>
                <w:szCs w:val="24"/>
              </w:rPr>
            </w:pPr>
          </w:p>
        </w:tc>
        <w:tc>
          <w:tcPr>
            <w:tcW w:w="1245" w:type="dxa"/>
            <w:gridSpan w:val="2"/>
            <w:tcBorders>
              <w:top w:val="single" w:color="auto" w:sz="4" w:space="0"/>
            </w:tcBorders>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continue"/>
            <w:vAlign w:val="center"/>
          </w:tcPr>
          <w:p>
            <w:pPr>
              <w:jc w:val="center"/>
              <w:rPr>
                <w:rFonts w:hint="eastAsia" w:ascii="仿宋" w:hAnsi="仿宋" w:eastAsia="仿宋" w:cs="仿宋"/>
                <w:sz w:val="24"/>
                <w:szCs w:val="24"/>
              </w:rPr>
            </w:pPr>
          </w:p>
        </w:tc>
        <w:tc>
          <w:tcPr>
            <w:tcW w:w="1995"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社会效益</w:t>
            </w:r>
          </w:p>
        </w:tc>
        <w:tc>
          <w:tcPr>
            <w:tcW w:w="3135" w:type="dxa"/>
            <w:gridSpan w:val="6"/>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为民服务，提升政府形象</w:t>
            </w:r>
          </w:p>
        </w:tc>
        <w:tc>
          <w:tcPr>
            <w:tcW w:w="1725" w:type="dxa"/>
            <w:gridSpan w:val="4"/>
            <w:vAlign w:val="center"/>
          </w:tcPr>
          <w:p>
            <w:pPr>
              <w:jc w:val="center"/>
              <w:rPr>
                <w:rFonts w:hint="eastAsia" w:ascii="仿宋" w:hAnsi="仿宋" w:eastAsia="仿宋" w:cs="仿宋"/>
                <w:sz w:val="24"/>
                <w:szCs w:val="24"/>
              </w:rPr>
            </w:pPr>
          </w:p>
        </w:tc>
        <w:tc>
          <w:tcPr>
            <w:tcW w:w="1245" w:type="dxa"/>
            <w:gridSpan w:val="2"/>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continue"/>
            <w:vAlign w:val="center"/>
          </w:tcPr>
          <w:p>
            <w:pPr>
              <w:jc w:val="center"/>
              <w:rPr>
                <w:rFonts w:hint="eastAsia" w:ascii="仿宋" w:hAnsi="仿宋" w:eastAsia="仿宋" w:cs="仿宋"/>
                <w:sz w:val="24"/>
                <w:szCs w:val="24"/>
              </w:rPr>
            </w:pPr>
          </w:p>
        </w:tc>
        <w:tc>
          <w:tcPr>
            <w:tcW w:w="1995" w:type="dxa"/>
            <w:gridSpan w:val="5"/>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经济效益</w:t>
            </w:r>
          </w:p>
        </w:tc>
        <w:tc>
          <w:tcPr>
            <w:tcW w:w="3135" w:type="dxa"/>
            <w:gridSpan w:val="6"/>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促进新邵发展</w:t>
            </w:r>
          </w:p>
        </w:tc>
        <w:tc>
          <w:tcPr>
            <w:tcW w:w="1725" w:type="dxa"/>
            <w:gridSpan w:val="4"/>
            <w:tcBorders>
              <w:top w:val="single" w:color="auto" w:sz="4" w:space="0"/>
            </w:tcBorders>
            <w:vAlign w:val="center"/>
          </w:tcPr>
          <w:p>
            <w:pPr>
              <w:jc w:val="center"/>
              <w:rPr>
                <w:rFonts w:hint="eastAsia" w:ascii="仿宋" w:hAnsi="仿宋" w:eastAsia="仿宋" w:cs="仿宋"/>
                <w:sz w:val="24"/>
                <w:szCs w:val="24"/>
              </w:rPr>
            </w:pPr>
          </w:p>
        </w:tc>
        <w:tc>
          <w:tcPr>
            <w:tcW w:w="1245" w:type="dxa"/>
            <w:gridSpan w:val="2"/>
            <w:tcBorders>
              <w:top w:val="single" w:color="auto" w:sz="4" w:space="0"/>
            </w:tcBorders>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jc w:val="center"/>
              <w:rPr>
                <w:rFonts w:hint="eastAsia" w:ascii="仿宋" w:hAnsi="仿宋" w:eastAsia="仿宋" w:cs="仿宋"/>
                <w:sz w:val="24"/>
                <w:szCs w:val="24"/>
              </w:rPr>
            </w:pPr>
          </w:p>
        </w:tc>
        <w:tc>
          <w:tcPr>
            <w:tcW w:w="2010" w:type="dxa"/>
            <w:gridSpan w:val="6"/>
            <w:vMerge w:val="continue"/>
            <w:vAlign w:val="center"/>
          </w:tcPr>
          <w:p>
            <w:pPr>
              <w:jc w:val="center"/>
              <w:rPr>
                <w:rFonts w:hint="eastAsia" w:ascii="仿宋" w:hAnsi="仿宋" w:eastAsia="仿宋" w:cs="仿宋"/>
                <w:sz w:val="24"/>
                <w:szCs w:val="24"/>
              </w:rPr>
            </w:pPr>
          </w:p>
        </w:tc>
        <w:tc>
          <w:tcPr>
            <w:tcW w:w="1995" w:type="dxa"/>
            <w:gridSpan w:val="5"/>
            <w:tcBorders>
              <w:top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服务对象满意度</w:t>
            </w:r>
          </w:p>
        </w:tc>
        <w:tc>
          <w:tcPr>
            <w:tcW w:w="3135" w:type="dxa"/>
            <w:gridSpan w:val="6"/>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c>
          <w:tcPr>
            <w:tcW w:w="1725" w:type="dxa"/>
            <w:gridSpan w:val="4"/>
            <w:tcBorders>
              <w:top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90</w:t>
            </w:r>
          </w:p>
        </w:tc>
        <w:tc>
          <w:tcPr>
            <w:tcW w:w="1245" w:type="dxa"/>
            <w:gridSpan w:val="2"/>
            <w:tcBorders>
              <w:top w:val="single" w:color="auto" w:sz="4" w:space="0"/>
            </w:tcBorders>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财政部门审核意见</w:t>
            </w:r>
          </w:p>
        </w:tc>
        <w:tc>
          <w:tcPr>
            <w:tcW w:w="201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归口业务科室 审核意见</w:t>
            </w:r>
          </w:p>
        </w:tc>
        <w:tc>
          <w:tcPr>
            <w:tcW w:w="8100" w:type="dxa"/>
            <w:gridSpan w:val="17"/>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审核意见：</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审核人：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科室负责人签字：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201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绩效管理   科室审核   意见</w:t>
            </w:r>
          </w:p>
        </w:tc>
        <w:tc>
          <w:tcPr>
            <w:tcW w:w="8100" w:type="dxa"/>
            <w:gridSpan w:val="17"/>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rPr>
            </w:pPr>
            <w:r>
              <w:rPr>
                <w:rFonts w:hint="eastAsia" w:ascii="仿宋" w:hAnsi="仿宋" w:eastAsia="仿宋" w:cs="仿宋"/>
                <w:sz w:val="24"/>
              </w:rPr>
              <w:t>审核意见：</w:t>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 xml:space="preserve">    审核人：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科室负责人签字：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2"/>
          <w:wBefore w:w="690" w:type="dxa"/>
          <w:trHeight w:val="634" w:hRule="atLeast"/>
          <w:jc w:val="center"/>
        </w:trPr>
        <w:tc>
          <w:tcPr>
            <w:tcW w:w="3840" w:type="dxa"/>
            <w:gridSpan w:val="10"/>
            <w:tcBorders>
              <w:top w:val="single" w:color="auto" w:sz="4" w:space="0"/>
              <w:left w:val="nil"/>
              <w:bottom w:val="nil"/>
              <w:right w:val="nil"/>
            </w:tcBorders>
            <w:vAlign w:val="center"/>
          </w:tcPr>
          <w:p>
            <w:pPr>
              <w:jc w:val="both"/>
              <w:rPr>
                <w:rFonts w:hint="eastAsia" w:ascii="仿宋" w:hAnsi="仿宋" w:eastAsia="仿宋" w:cs="仿宋"/>
                <w:sz w:val="24"/>
              </w:rPr>
            </w:pPr>
            <w:r>
              <w:rPr>
                <w:rFonts w:hint="eastAsia" w:ascii="仿宋" w:hAnsi="仿宋" w:eastAsia="仿宋" w:cs="仿宋"/>
                <w:sz w:val="24"/>
              </w:rPr>
              <w:t>填报人：</w:t>
            </w:r>
            <w:r>
              <w:rPr>
                <w:rFonts w:hint="eastAsia" w:ascii="仿宋" w:hAnsi="仿宋" w:eastAsia="仿宋" w:cs="仿宋"/>
                <w:sz w:val="24"/>
                <w:lang w:eastAsia="zh-CN"/>
              </w:rPr>
              <w:t>王若林</w:t>
            </w:r>
          </w:p>
        </w:tc>
        <w:tc>
          <w:tcPr>
            <w:tcW w:w="6105" w:type="dxa"/>
            <w:gridSpan w:val="12"/>
            <w:tcBorders>
              <w:top w:val="single" w:color="auto" w:sz="4" w:space="0"/>
              <w:left w:val="nil"/>
              <w:bottom w:val="nil"/>
              <w:right w:val="nil"/>
            </w:tcBorders>
            <w:vAlign w:val="center"/>
          </w:tcPr>
          <w:p>
            <w:pPr>
              <w:jc w:val="center"/>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lang w:val="en-US" w:eastAsia="zh-CN"/>
              </w:rPr>
              <w:t>3681135</w:t>
            </w:r>
            <w:r>
              <w:rPr>
                <w:rFonts w:hint="eastAsia" w:ascii="仿宋" w:hAnsi="仿宋" w:eastAsia="仿宋" w:cs="仿宋"/>
                <w:sz w:val="24"/>
              </w:rPr>
              <w:t xml:space="preserve">       填报时间：</w:t>
            </w:r>
            <w:r>
              <w:rPr>
                <w:rFonts w:hint="eastAsia" w:ascii="仿宋" w:hAnsi="仿宋" w:eastAsia="仿宋" w:cs="仿宋"/>
                <w:sz w:val="24"/>
                <w:lang w:val="en-US" w:eastAsia="zh-CN"/>
              </w:rPr>
              <w:t>2020</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p>
        </w:tc>
      </w:tr>
    </w:tbl>
    <w:p/>
    <w:sectPr>
      <w:pgSz w:w="11906" w:h="16838"/>
      <w:pgMar w:top="1327" w:right="1179" w:bottom="115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I5NGQ3ODg0OTY1NTJhMjQ2MjE4NzQyOGEyYWEifQ=="/>
  </w:docVars>
  <w:rsids>
    <w:rsidRoot w:val="204666EC"/>
    <w:rsid w:val="0E105E80"/>
    <w:rsid w:val="10454863"/>
    <w:rsid w:val="140501C7"/>
    <w:rsid w:val="1D6A513E"/>
    <w:rsid w:val="204666EC"/>
    <w:rsid w:val="21D60BD5"/>
    <w:rsid w:val="242E345F"/>
    <w:rsid w:val="2CD00E1E"/>
    <w:rsid w:val="33846941"/>
    <w:rsid w:val="364D3556"/>
    <w:rsid w:val="38F54400"/>
    <w:rsid w:val="3C402AA2"/>
    <w:rsid w:val="45F13F89"/>
    <w:rsid w:val="4ABA4C8D"/>
    <w:rsid w:val="4B296C17"/>
    <w:rsid w:val="4CA51B71"/>
    <w:rsid w:val="530930D8"/>
    <w:rsid w:val="537207E6"/>
    <w:rsid w:val="53D10A53"/>
    <w:rsid w:val="67960496"/>
    <w:rsid w:val="68CF611F"/>
    <w:rsid w:val="73800E7A"/>
    <w:rsid w:val="78C7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1203</Words>
  <Characters>1267</Characters>
  <Lines>0</Lines>
  <Paragraphs>0</Paragraphs>
  <TotalTime>44</TotalTime>
  <ScaleCrop>false</ScaleCrop>
  <LinksUpToDate>false</LinksUpToDate>
  <CharactersWithSpaces>1476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2017-05-08T03:28:00Z</dcterms:created>
  <dc:creator>wyl</dc:creator>
  <cp:lastModifiedBy>鲸鱼</cp:lastModifiedBy>
  <cp:lastPrinted>2019-05-21T03:16:00Z</cp:lastPrinted>
  <dcterms:modified xsi:type="dcterms:W3CDTF">2022-08-09T07:59:00Z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67DF725FE6B1486B97873D69423E7587</vt:lpwstr>
  </property>
</Properties>
</file>