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80" w:hanging="480"/>
        <w:rPr>
          <w:rFonts w:eastAsia="黑体"/>
          <w:sz w:val="32"/>
          <w:szCs w:val="32"/>
        </w:rPr>
      </w:pPr>
      <w:r>
        <w:rPr>
          <w:rFonts w:eastAsia="黑体"/>
          <w:sz w:val="32"/>
          <w:szCs w:val="32"/>
        </w:rPr>
        <w:t>附件</w:t>
      </w:r>
      <w:r>
        <w:rPr>
          <w:rFonts w:hint="eastAsia" w:eastAsia="黑体"/>
          <w:sz w:val="32"/>
          <w:szCs w:val="32"/>
        </w:rPr>
        <w:t>3</w:t>
      </w:r>
    </w:p>
    <w:p>
      <w:pPr>
        <w:spacing w:line="600" w:lineRule="exact"/>
        <w:ind w:left="540" w:hanging="540"/>
        <w:jc w:val="center"/>
        <w:rPr>
          <w:rFonts w:eastAsia="方正小标宋_GBK"/>
          <w:spacing w:val="-8"/>
          <w:sz w:val="28"/>
          <w:szCs w:val="28"/>
        </w:rPr>
      </w:pPr>
      <w:r>
        <w:rPr>
          <w:rFonts w:eastAsia="方正小标宋_GBK"/>
          <w:sz w:val="36"/>
          <w:szCs w:val="36"/>
        </w:rPr>
        <w:t>201</w:t>
      </w:r>
      <w:r>
        <w:rPr>
          <w:rFonts w:hint="eastAsia" w:eastAsia="方正小标宋_GBK"/>
          <w:sz w:val="36"/>
          <w:szCs w:val="36"/>
        </w:rPr>
        <w:t>8年度部门整体支出</w:t>
      </w:r>
      <w:r>
        <w:rPr>
          <w:rFonts w:eastAsia="方正小标宋_GBK"/>
          <w:spacing w:val="-8"/>
          <w:sz w:val="36"/>
          <w:szCs w:val="36"/>
        </w:rPr>
        <w:t>绩效评价指标评分表</w:t>
      </w:r>
    </w:p>
    <w:p>
      <w:pPr>
        <w:spacing w:line="600" w:lineRule="exact"/>
        <w:ind w:left="396" w:hanging="396"/>
        <w:rPr>
          <w:rFonts w:ascii="楷体_GB2312" w:eastAsia="楷体_GB2312"/>
          <w:spacing w:val="-8"/>
          <w:sz w:val="28"/>
          <w:szCs w:val="28"/>
        </w:rPr>
      </w:pPr>
      <w:r>
        <w:rPr>
          <w:rFonts w:hint="eastAsia" w:ascii="楷体_GB2312" w:eastAsia="楷体_GB2312"/>
          <w:spacing w:val="-8"/>
          <w:sz w:val="28"/>
          <w:szCs w:val="28"/>
        </w:rPr>
        <w:t>填报单位（盖章）：新邵县森林公安局</w:t>
      </w:r>
    </w:p>
    <w:tbl>
      <w:tblPr>
        <w:tblStyle w:val="5"/>
        <w:tblW w:w="14287" w:type="dxa"/>
        <w:jc w:val="center"/>
        <w:tblLayout w:type="fixed"/>
        <w:tblCellMar>
          <w:top w:w="0" w:type="dxa"/>
          <w:left w:w="0" w:type="dxa"/>
          <w:bottom w:w="0" w:type="dxa"/>
          <w:right w:w="0" w:type="dxa"/>
        </w:tblCellMar>
      </w:tblPr>
      <w:tblGrid>
        <w:gridCol w:w="690"/>
        <w:gridCol w:w="704"/>
        <w:gridCol w:w="960"/>
        <w:gridCol w:w="5340"/>
        <w:gridCol w:w="5229"/>
        <w:gridCol w:w="1364"/>
      </w:tblGrid>
      <w:tr>
        <w:tblPrEx>
          <w:tblCellMar>
            <w:top w:w="0" w:type="dxa"/>
            <w:left w:w="0" w:type="dxa"/>
            <w:bottom w:w="0" w:type="dxa"/>
            <w:right w:w="0" w:type="dxa"/>
          </w:tblCellMar>
        </w:tblPrEx>
        <w:trPr>
          <w:trHeight w:val="644" w:hRule="atLeast"/>
          <w:tblHeader/>
          <w:jc w:val="center"/>
        </w:trPr>
        <w:tc>
          <w:tcPr>
            <w:tcW w:w="690" w:type="dxa"/>
            <w:tcBorders>
              <w:top w:val="single" w:color="auto" w:sz="4" w:space="0"/>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一级</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w:t>
            </w:r>
          </w:p>
        </w:tc>
        <w:tc>
          <w:tcPr>
            <w:tcW w:w="704"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二级指标</w:t>
            </w:r>
          </w:p>
        </w:tc>
        <w:tc>
          <w:tcPr>
            <w:tcW w:w="96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三级指标</w:t>
            </w:r>
          </w:p>
        </w:tc>
        <w:tc>
          <w:tcPr>
            <w:tcW w:w="534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指标解释</w:t>
            </w:r>
          </w:p>
        </w:tc>
        <w:tc>
          <w:tcPr>
            <w:tcW w:w="5229"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指标说明</w:t>
            </w:r>
          </w:p>
        </w:tc>
        <w:tc>
          <w:tcPr>
            <w:tcW w:w="1364" w:type="dxa"/>
            <w:tcBorders>
              <w:top w:val="single" w:color="auto" w:sz="4" w:space="0"/>
              <w:left w:val="nil"/>
              <w:bottom w:val="single" w:color="auto" w:sz="8" w:space="0"/>
              <w:right w:val="single" w:color="auto" w:sz="8" w:space="0"/>
            </w:tcBorders>
            <w:vAlign w:val="center"/>
          </w:tcPr>
          <w:p>
            <w:pPr>
              <w:pStyle w:val="4"/>
              <w:widowControl/>
              <w:spacing w:before="0" w:beforeAutospacing="0" w:after="0" w:afterAutospacing="0" w:line="600" w:lineRule="exact"/>
              <w:jc w:val="center"/>
            </w:pPr>
            <w:r>
              <w:rPr>
                <w:rFonts w:hint="eastAsia" w:ascii="宋体" w:hAnsi="宋体" w:cs="宋体"/>
                <w:color w:val="000000"/>
                <w:sz w:val="21"/>
                <w:szCs w:val="21"/>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投入(20分)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目标</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设定</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绩效目标合理性</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部门所设立的整体绩效目标依据是否充分，是否符合客观实际，用以反映和考核部门整体绩效目标与部门履职、年度工作任务的相符性情况。</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①符合国家法律法规、国民经济和社会发展总体规划计1分；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②符合部门“三定”方案确定的职责计0.5分；</w:t>
            </w:r>
          </w:p>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③是否符合部门制定的中长期实施规划计0.5分。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绩效指标明确性</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部门依据整体绩效目标所设定的绩效指标是否清晰、细化、可衡量，用以反映和考核部门整体绩效目标的明细化情况。</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①将部门整体的绩效目标细化分解为具体的工作任务计1分；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②通过清晰、可衡量的指标值予以体现计0.5分；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③与部门年度的任务数或计划数相对应计0.5分；</w:t>
            </w:r>
          </w:p>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④与本年度部门预算资金相匹配计1分。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配置（15分）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在职人员控制率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部门本年度实际在职人员数与编制数的比率，用以反映和考核部门对人员成本的控制程度。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“三公经费”变动率（5分）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部门本年度“三公经费”预算数与上年度“三公经费”预算数的变动比率，用以反映和考核部门对控制重点行政成本的努力程度。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重点支出安排率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部门本年度预算安排的重点项目支出与部门项目总支出的比率，用以反映和考核部门对履行主要职责或完成重点任务的保障程度。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过程</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执行</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(23分)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完成率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部门本年度预算完成数与预算数的比率，用以反映和考核部门预算完成程度。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调整率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部门本年度预算调整数与预算数的比率，用以反映和考核部门预算的调整程度。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025"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支付</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进度率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部门实际支付进度与既定支付进度的比率，用以反映和考核部门预算执行的及时性和均衡性程度。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1</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结转结余控制率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部门本年度结转结余总额与上年结转结余总额增减比例，用以反映和考核部门对存量资金的实际控制程度。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公用经费</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控制率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部门本年度实际支出的公用经费总额与预算安排的公用经费总额的比率，用以反映和考核部门对机构运转成本的实际控制程度。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 xml:space="preserve">公用经费控制率=（实际支出公用经费总额/预算安排公用经费总额）×100%。为100%的计4分，每超过1个百分点扣0.4分，扣完为止。   </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145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“三公经费”控制率（3分）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部门本年度“三公经费”实际支出数与预算安排数的比率，用以反映和考核部门对“三公经费”的实际控制程度。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“三公经费”控制率=（“三公经费”实际支出数/“三公经费”预算安排数）×100%。为100%的计3分，每超过1个百分点扣0.5分，扣完为止。</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3</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政府采购</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执行率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部门本年度实际政府采购金额与年初政府采购预算的比率，用以反映和考核部门政府采购预算执行情况。</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102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(12分)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管理制度</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健全性</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资金使用</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合规性</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部门使用预算资金是否符合相关的预算财务管理制度的规定，用以反映和考核部门预算资金的规范运行情况。</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①符合国家财经法规和财务管理制度规定以及有关专项资金管理办法的规定计1分；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②资金的拨付有完整的审批程序和手续计1分；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③项目的重大开支经过评估论证计1分；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④符合部门预算批复的用途计1分；</w:t>
            </w:r>
          </w:p>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⑤不存在截留、挤占、挪用、虚列支出等情况计1分。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2142"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预决算信</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息公开性（2分）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部门是否按照政府信息公开有关规定公开相关预决算信息，用以反映和考核部门预决算管理的公开透明情况。</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①按规定内容公开预决算信息计1分；</w:t>
            </w:r>
          </w:p>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②按规定时限公开预决算信息计1分。预决算信息是指与部门预算、执行、决算、监督、绩效等管理相关的信息。</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基础信息</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完善性</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部门基础信息是否完善，用以反映和考核基础信息对预算管理工作的支撑情况。</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①基础数据信息和会计信息资料真实计1分；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②基础数据信息和会计信息资料完整计1分；</w:t>
            </w:r>
          </w:p>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③基础数据信息和会计信息资料准确计1分。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资产</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管理制度</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健全性</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①制定或具有资产管理制度计1分；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②相关资金管理制度合法、合规、完整计0.5分；</w:t>
            </w:r>
          </w:p>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③相关资产管理制度得到有效执行计0.5分。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资产管理</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安全性</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761"/>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部门的资产是否保存完整、使用合规、配置合理、处置规范、收入及时足额上缴，用以反映和考核部门资产安全运行情况。</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①资产保存完整计0.4分；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②资产配置合理计0.4分；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③资产处置规范计0.4分；</w:t>
            </w:r>
          </w:p>
          <w:p>
            <w:pPr>
              <w:pStyle w:val="4"/>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④资产账务管理合规、</w:t>
            </w:r>
            <w:bookmarkStart w:id="0" w:name="_GoBack"/>
            <w:bookmarkEnd w:id="0"/>
            <w:r>
              <w:rPr>
                <w:rFonts w:hint="eastAsia" w:ascii="宋体" w:hAnsi="宋体" w:cs="宋体"/>
                <w:color w:val="000000"/>
                <w:sz w:val="21"/>
                <w:szCs w:val="21"/>
                <w:lang w:eastAsia="zh-CN"/>
              </w:rPr>
              <w:t>账实相符</w:t>
            </w:r>
            <w:r>
              <w:rPr>
                <w:rFonts w:hint="eastAsia" w:ascii="宋体" w:hAnsi="宋体" w:cs="宋体"/>
                <w:color w:val="000000"/>
                <w:sz w:val="21"/>
                <w:szCs w:val="21"/>
              </w:rPr>
              <w:t>计0.4分；</w:t>
            </w:r>
          </w:p>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⑤资产有偿使用及处置收入及时足额上缴计0.4分。</w:t>
            </w:r>
          </w:p>
        </w:tc>
        <w:tc>
          <w:tcPr>
            <w:tcW w:w="1364" w:type="dxa"/>
            <w:tcBorders>
              <w:top w:val="nil"/>
              <w:left w:val="nil"/>
              <w:bottom w:val="single" w:color="auto" w:sz="8" w:space="0"/>
              <w:right w:val="single" w:color="auto" w:sz="8" w:space="0"/>
            </w:tcBorders>
            <w:vAlign w:val="center"/>
          </w:tcPr>
          <w:p>
            <w:pPr>
              <w:pStyle w:val="4"/>
              <w:widowControl/>
              <w:tabs>
                <w:tab w:val="left" w:pos="761"/>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固定资产</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利用率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部门实际在用固定资产总额与所有固定资产总额的比率，用以反映和考核部门固定资产使用效率程度。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固定资产利用率=（实际在用固定资产总额/所有固定资产总额）×100%。利用率为100%的计1分，每降1个百分点扣0.1分，扣完为止。</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产出</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职责</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履行</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实际完成率（5分）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部门履行职责而实际完成工作数与计划工作数的比率，用以反映和考核部门履职工作任务目标的实现程度。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实际完成率得分=完成县委县政府绩效考核得分或上级主管部门考核指标得分/指标分值*5分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733"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完成及时率（4分）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部门在规定时限内及时完成的实际工作数与计划工作数的比率,用以反映和考核部门履职时效目标的实现程度。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210" w:afterAutospacing="0" w:line="600" w:lineRule="exact"/>
              <w:jc w:val="both"/>
              <w:rPr>
                <w:rFonts w:ascii="宋体" w:hAnsi="宋体" w:cs="宋体"/>
                <w:sz w:val="21"/>
                <w:szCs w:val="21"/>
              </w:rPr>
            </w:pPr>
            <w:r>
              <w:rPr>
                <w:rFonts w:hint="eastAsia" w:ascii="宋体" w:hAnsi="宋体" w:cs="宋体"/>
                <w:color w:val="000000"/>
                <w:sz w:val="21"/>
                <w:szCs w:val="21"/>
              </w:rPr>
              <w:t>完成及时率=（及时完成实际工作数/计划工作数）×100%。1-4季度各得1分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质量达标率（5分）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达到质量标准（绩效标准值）的实际工作数与计划工作数的比率,用以反映和考核部门履职质量目标的实现程度。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质量达标率=（质量达标实际工作数/计划工作数）×100%。实际得分=达标率*5分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重点工作</w:t>
            </w:r>
          </w:p>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办结率</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（6分）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部门年度重点工作实际完成数与交办或下达数的比率，用以反映部门对重点工作的办理落实程度。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重点工作办结率=（重点工作实际完成数/交办或下达数）×100%。实际得分=办结率*6分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效果</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履职</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效益(20分)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经济效益（5分）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部门履行职责对经济发展所带来的直接或间接影响。</w:t>
            </w:r>
          </w:p>
        </w:tc>
        <w:tc>
          <w:tcPr>
            <w:tcW w:w="5229" w:type="dxa"/>
            <w:tcBorders>
              <w:top w:val="nil"/>
              <w:left w:val="nil"/>
              <w:bottom w:val="single" w:color="auto" w:sz="4"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按经济效益实现程度计算得分（5分）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社会效益（5分）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部门履行职责对社会发展所带来的直接或间接影响。</w:t>
            </w:r>
          </w:p>
        </w:tc>
        <w:tc>
          <w:tcPr>
            <w:tcW w:w="5229" w:type="dxa"/>
            <w:tcBorders>
              <w:top w:val="single" w:color="auto" w:sz="4" w:space="0"/>
              <w:left w:val="nil"/>
              <w:bottom w:val="single" w:color="auto" w:sz="4" w:space="0"/>
              <w:right w:val="single" w:color="auto" w:sz="8" w:space="0"/>
            </w:tcBorders>
            <w:tcMar>
              <w:top w:w="10" w:type="dxa"/>
              <w:left w:w="10" w:type="dxa"/>
              <w:right w:w="10" w:type="dxa"/>
            </w:tcMar>
            <w:vAlign w:val="center"/>
          </w:tcPr>
          <w:p>
            <w:pPr>
              <w:spacing w:line="600" w:lineRule="exact"/>
              <w:ind w:left="315" w:hanging="315"/>
              <w:rPr>
                <w:rFonts w:ascii="宋体" w:hAnsi="宋体" w:cs="宋体"/>
                <w:color w:val="000000"/>
                <w:sz w:val="15"/>
                <w:szCs w:val="15"/>
              </w:rPr>
            </w:pPr>
            <w:r>
              <w:rPr>
                <w:rFonts w:hint="eastAsia" w:ascii="宋体" w:hAnsi="宋体" w:cs="宋体"/>
                <w:color w:val="000000"/>
                <w:szCs w:val="21"/>
              </w:rPr>
              <w:t>按社会效益实现程度计算得分（5分）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315" w:hanging="315"/>
              <w:jc w:val="center"/>
              <w:rPr>
                <w:rFonts w:ascii="宋体" w:hAnsi="宋体" w:cs="宋体"/>
                <w:color w:val="000000"/>
                <w:szCs w:val="21"/>
              </w:rPr>
            </w:pPr>
            <w:r>
              <w:rPr>
                <w:rFonts w:hint="eastAsia" w:ascii="宋体" w:hAnsi="宋体" w:cs="宋体"/>
                <w:color w:val="000000"/>
                <w:szCs w:val="21"/>
              </w:rPr>
              <w:t>行政效能</w:t>
            </w:r>
          </w:p>
          <w:p>
            <w:pPr>
              <w:spacing w:line="600" w:lineRule="exact"/>
              <w:ind w:left="315" w:hanging="315"/>
              <w:jc w:val="center"/>
              <w:rPr>
                <w:rFonts w:ascii="宋体" w:hAnsi="宋体" w:cs="宋体"/>
                <w:color w:val="000000"/>
                <w:szCs w:val="21"/>
              </w:rPr>
            </w:pPr>
            <w:r>
              <w:rPr>
                <w:rFonts w:hint="eastAsia" w:ascii="宋体" w:hAnsi="宋体" w:cs="宋体"/>
                <w:color w:val="000000"/>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促进部门改进文风会风，加强经费及资产管理，推动网上办事，提高行政效率。</w:t>
            </w:r>
          </w:p>
        </w:tc>
        <w:tc>
          <w:tcPr>
            <w:tcW w:w="5229"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降低行政成本效果较好的计6分；一般3分；无效果或者效果不明显0分。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社会公众</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或服务对</w:t>
            </w:r>
          </w:p>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象满意度（5分）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社会公众或部门的服务对象对部门履职效果的满意程度。</w:t>
            </w: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sz w:val="18"/>
                <w:szCs w:val="18"/>
              </w:rPr>
              <w:t>90%</w:t>
            </w:r>
            <w:r>
              <w:rPr>
                <w:rFonts w:hint="eastAsia" w:ascii="宋体" w:hAnsi="宋体" w:cs="宋体"/>
                <w:color w:val="000000"/>
                <w:sz w:val="21"/>
                <w:szCs w:val="21"/>
              </w:rPr>
              <w:t>（含）以上计5分；80%（含）-90%，计4分；70%（含）-80%，计3分；60%（含）-70%，计2分；低于60%计0分。</w:t>
            </w: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总分</w:t>
            </w:r>
          </w:p>
        </w:tc>
        <w:tc>
          <w:tcPr>
            <w:tcW w:w="704" w:type="dxa"/>
            <w:tcBorders>
              <w:top w:val="nil"/>
              <w:left w:val="nil"/>
              <w:bottom w:val="nil"/>
              <w:right w:val="single" w:color="auto" w:sz="8" w:space="0"/>
            </w:tcBorders>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100</w:t>
            </w:r>
          </w:p>
        </w:tc>
        <w:tc>
          <w:tcPr>
            <w:tcW w:w="960" w:type="dxa"/>
            <w:tcBorders>
              <w:top w:val="nil"/>
              <w:left w:val="nil"/>
              <w:bottom w:val="nil"/>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100　</w:t>
            </w:r>
          </w:p>
        </w:tc>
        <w:tc>
          <w:tcPr>
            <w:tcW w:w="5340" w:type="dxa"/>
            <w:tcBorders>
              <w:top w:val="nil"/>
              <w:left w:val="nil"/>
              <w:bottom w:val="nil"/>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 </w:t>
            </w:r>
          </w:p>
        </w:tc>
        <w:tc>
          <w:tcPr>
            <w:tcW w:w="5229" w:type="dxa"/>
            <w:tcBorders>
              <w:top w:val="nil"/>
              <w:left w:val="nil"/>
              <w:bottom w:val="nil"/>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 </w:t>
            </w:r>
          </w:p>
        </w:tc>
        <w:tc>
          <w:tcPr>
            <w:tcW w:w="1364" w:type="dxa"/>
            <w:tcBorders>
              <w:top w:val="nil"/>
              <w:left w:val="nil"/>
              <w:bottom w:val="nil"/>
              <w:right w:val="single" w:color="auto" w:sz="8" w:space="0"/>
            </w:tcBorders>
            <w:vAlign w:val="center"/>
          </w:tcPr>
          <w:p>
            <w:pPr>
              <w:pStyle w:val="4"/>
              <w:widowControl/>
              <w:tabs>
                <w:tab w:val="left" w:pos="2604"/>
              </w:tabs>
              <w:spacing w:before="0" w:beforeAutospacing="0" w:after="0" w:afterAutospacing="0" w:line="600" w:lineRule="exact"/>
              <w:jc w:val="center"/>
            </w:pP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vAlign w:val="center"/>
          </w:tcPr>
          <w:p>
            <w:pPr>
              <w:pStyle w:val="4"/>
              <w:widowControl/>
              <w:spacing w:before="0" w:beforeAutospacing="0" w:after="0" w:afterAutospacing="0" w:line="600" w:lineRule="exact"/>
              <w:rPr>
                <w:rFonts w:ascii="宋体" w:hAnsi="宋体" w:cs="宋体"/>
                <w:color w:val="000000"/>
                <w:sz w:val="21"/>
                <w:szCs w:val="21"/>
              </w:rPr>
            </w:pPr>
          </w:p>
        </w:tc>
        <w:tc>
          <w:tcPr>
            <w:tcW w:w="704" w:type="dxa"/>
            <w:tcBorders>
              <w:top w:val="nil"/>
              <w:left w:val="nil"/>
              <w:bottom w:val="single" w:color="auto" w:sz="8" w:space="0"/>
              <w:right w:val="single" w:color="auto" w:sz="8" w:space="0"/>
            </w:tcBorders>
            <w:vAlign w:val="center"/>
          </w:tcPr>
          <w:p>
            <w:pPr>
              <w:pStyle w:val="4"/>
              <w:widowControl/>
              <w:spacing w:before="0" w:beforeAutospacing="0" w:after="0" w:afterAutospacing="0" w:line="600" w:lineRule="exact"/>
              <w:jc w:val="center"/>
              <w:rPr>
                <w:rFonts w:ascii="宋体" w:hAnsi="宋体" w:cs="宋体"/>
                <w:color w:val="000000"/>
                <w:sz w:val="21"/>
                <w:szCs w:val="21"/>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ascii="宋体" w:hAnsi="宋体" w:cs="宋体"/>
                <w:color w:val="000000"/>
                <w:sz w:val="21"/>
                <w:szCs w:val="21"/>
              </w:rPr>
            </w:pP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ascii="宋体" w:hAnsi="宋体" w:cs="宋体"/>
                <w:color w:val="000000"/>
                <w:sz w:val="21"/>
                <w:szCs w:val="21"/>
              </w:rPr>
            </w:pPr>
          </w:p>
        </w:tc>
        <w:tc>
          <w:tcPr>
            <w:tcW w:w="5229"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ascii="宋体" w:hAnsi="宋体" w:cs="宋体"/>
                <w:color w:val="000000"/>
                <w:sz w:val="21"/>
                <w:szCs w:val="21"/>
              </w:rPr>
            </w:pPr>
          </w:p>
        </w:tc>
        <w:tc>
          <w:tcPr>
            <w:tcW w:w="1364"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r>
              <w:rPr>
                <w:rFonts w:hint="eastAsia"/>
              </w:rPr>
              <w:t>97</w:t>
            </w:r>
          </w:p>
        </w:tc>
      </w:tr>
    </w:tbl>
    <w:p>
      <w:pPr>
        <w:spacing w:line="600" w:lineRule="exact"/>
        <w:ind w:left="147" w:hanging="147" w:hangingChars="46"/>
        <w:rPr>
          <w:rFonts w:ascii="仿宋" w:hAnsi="仿宋" w:eastAsia="仿宋"/>
          <w:sz w:val="32"/>
          <w:szCs w:val="32"/>
        </w:rPr>
      </w:pPr>
    </w:p>
    <w:p>
      <w:pPr>
        <w:spacing w:line="220" w:lineRule="atLeast"/>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97" w:right="1440" w:bottom="179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2VlYzYzYzVjMTkxMTE2MGJlOTUwODEyMzY5OTM1MDUifQ=="/>
  </w:docVars>
  <w:rsids>
    <w:rsidRoot w:val="00D31D50"/>
    <w:rsid w:val="001D066F"/>
    <w:rsid w:val="00323B43"/>
    <w:rsid w:val="00375A36"/>
    <w:rsid w:val="003869EC"/>
    <w:rsid w:val="003D37D8"/>
    <w:rsid w:val="003F0F30"/>
    <w:rsid w:val="00426133"/>
    <w:rsid w:val="004358AB"/>
    <w:rsid w:val="00485F59"/>
    <w:rsid w:val="004A7046"/>
    <w:rsid w:val="006C5CC0"/>
    <w:rsid w:val="006F0C50"/>
    <w:rsid w:val="007C681B"/>
    <w:rsid w:val="00801FDC"/>
    <w:rsid w:val="008B7726"/>
    <w:rsid w:val="00A650D6"/>
    <w:rsid w:val="00B92890"/>
    <w:rsid w:val="00C477FE"/>
    <w:rsid w:val="00D27108"/>
    <w:rsid w:val="00D31D50"/>
    <w:rsid w:val="00DC6BE6"/>
    <w:rsid w:val="00E82BA2"/>
    <w:rsid w:val="00F03642"/>
    <w:rsid w:val="00F33CCB"/>
    <w:rsid w:val="00F5087B"/>
    <w:rsid w:val="19EB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pPr>
    <w:rPr>
      <w:sz w:val="18"/>
      <w:szCs w:val="18"/>
    </w:rPr>
  </w:style>
  <w:style w:type="paragraph" w:styleId="3">
    <w:name w:val="header"/>
    <w:basedOn w:val="1"/>
    <w:link w:val="7"/>
    <w:unhideWhenUsed/>
    <w:uiPriority w:val="0"/>
    <w:pPr>
      <w:pBdr>
        <w:bottom w:val="single" w:color="auto" w:sz="6" w:space="1"/>
      </w:pBdr>
      <w:tabs>
        <w:tab w:val="center" w:pos="4153"/>
        <w:tab w:val="right" w:pos="8306"/>
      </w:tabs>
      <w:jc w:val="center"/>
    </w:pPr>
    <w:rPr>
      <w:sz w:val="18"/>
      <w:szCs w:val="18"/>
    </w:rPr>
  </w:style>
  <w:style w:type="paragraph" w:styleId="4">
    <w:name w:val="Normal (Web)"/>
    <w:basedOn w:val="1"/>
    <w:uiPriority w:val="0"/>
    <w:pPr>
      <w:widowControl w:val="0"/>
      <w:adjustRightInd/>
      <w:snapToGrid/>
      <w:spacing w:before="100" w:beforeAutospacing="1" w:after="100" w:afterAutospacing="1"/>
    </w:pPr>
    <w:rPr>
      <w:rFonts w:ascii="Times New Roman" w:hAnsi="Times New Roman" w:eastAsia="宋体" w:cs="Times New Roman"/>
      <w:sz w:val="24"/>
      <w:szCs w:val="24"/>
    </w:rPr>
  </w:style>
  <w:style w:type="character" w:customStyle="1" w:styleId="7">
    <w:name w:val="页眉 Char"/>
    <w:basedOn w:val="6"/>
    <w:link w:val="3"/>
    <w:uiPriority w:val="0"/>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3610</Words>
  <Characters>3749</Characters>
  <Lines>28</Lines>
  <Paragraphs>8</Paragraphs>
  <TotalTime>36</TotalTime>
  <ScaleCrop>false</ScaleCrop>
  <LinksUpToDate>false</LinksUpToDate>
  <CharactersWithSpaces>3755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2022-10-17T04:01:56Z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7483EE361FE14B539751C6226B06CFD6</vt:lpwstr>
  </property>
</Properties>
</file>