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2234"/>
        <w:gridCol w:w="281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填报单位：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医疗服务与保障能力提升（医改工作经费）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26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新邵县卫生健康局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25万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按照上级政策要求，深化医疗卫生体制改革，确保国家基本药物制度在全县乡镇及村卫生室顺利实施，积极稳妥地推进乡镇及村卫生室药品零差率销售改革，以满足群众基本医疗需求，减轻群众就医负担为目标，让群众从实施基本药物制度中得到更多的实惠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推进落实《国务院关于印发“十三五”深化医药卫生体制改革规划的通知》（国发【2016】78号）、《国务院办公厅关于全面推开县级公立医院综合改革的实施意见》（国办发【2015】33号）、《国务院办公厅关于建立现代医院管理制度的指导意见》（国办发【2017】67号）等文件提出的公立医院综合改革任务。2021年，基本建立具有中国特色的权责清晰、管理科学、治理完善、运行高效、监督有力的现代医院管理制度，建立维护公益性、调动积极性、保障可持续的运行新机制和科学合理的补偿机制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医疗服务收入（不含药品、耗材、检查、化验收入）占公立医院医疗收入的比例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较上年提高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公立医院资产负债率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公立医院基本建设、设备购置长期负债占总资产的比例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三级公立医院出院患者手术占比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较上年提高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三级公立医院出院患者四级手术比比例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1、救助对象为符合制度要求的患者比率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　=100%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基金管理部门对医疗机构资金审核拨付时间　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　缩短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……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　公立医院百元医疗收入的医疗支出（均不含药品收入）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较上年降低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基层医疗卫生机构诊疗人次数占医疗卫生机构诊疗总人数的比例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公立医院出院患者平均医药费用增长比例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公立医院每门急诊人次平均收费水平增长比例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三级公立医院门诊人次数与出院人次数比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较上年降低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管理费用占公立医院业务支出的比例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三级公立医院万元收入能耗支出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实现收支平衡的公立医院占比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较上年降低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公立医院职工满意度</w:t>
            </w: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  <w:r>
              <w:rPr>
                <w:rFonts w:hint="default" w:ascii="Arial" w:hAnsi="Arial" w:eastAsia="仿宋_GB2312" w:cs="Arial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82.12分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公立医院门诊患者满意度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Arial" w:hAnsi="Arial" w:eastAsia="仿宋_GB2312" w:cs="Arial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91分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  <w:lang w:eastAsia="zh-CN"/>
              </w:rPr>
              <w:t>住院患者满意度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default" w:ascii="Arial" w:hAnsi="Arial" w:eastAsia="仿宋_GB2312" w:cs="Arial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94分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 联系电话：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2576BF2"/>
    <w:rsid w:val="04F17BA6"/>
    <w:rsid w:val="060A089F"/>
    <w:rsid w:val="081010F8"/>
    <w:rsid w:val="09E9665D"/>
    <w:rsid w:val="12027EDA"/>
    <w:rsid w:val="121B22C7"/>
    <w:rsid w:val="174E3CFD"/>
    <w:rsid w:val="1C797930"/>
    <w:rsid w:val="212861CC"/>
    <w:rsid w:val="212E416E"/>
    <w:rsid w:val="231D58D9"/>
    <w:rsid w:val="23A02185"/>
    <w:rsid w:val="27387C1C"/>
    <w:rsid w:val="2CCF2931"/>
    <w:rsid w:val="2DA26205"/>
    <w:rsid w:val="2E6E0F30"/>
    <w:rsid w:val="3EA030AD"/>
    <w:rsid w:val="3FD73E1F"/>
    <w:rsid w:val="40D24027"/>
    <w:rsid w:val="40F605C2"/>
    <w:rsid w:val="42185F6F"/>
    <w:rsid w:val="47B44D96"/>
    <w:rsid w:val="48527F99"/>
    <w:rsid w:val="48E27732"/>
    <w:rsid w:val="49675750"/>
    <w:rsid w:val="4BEA36AE"/>
    <w:rsid w:val="4CCD555D"/>
    <w:rsid w:val="512663FE"/>
    <w:rsid w:val="592F06CA"/>
    <w:rsid w:val="597E02D0"/>
    <w:rsid w:val="5ADB3304"/>
    <w:rsid w:val="5FF316DD"/>
    <w:rsid w:val="61356570"/>
    <w:rsid w:val="6EEC32DA"/>
    <w:rsid w:val="706354EF"/>
    <w:rsid w:val="73635A83"/>
    <w:rsid w:val="73A05460"/>
    <w:rsid w:val="7467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12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cp:lastPrinted>2021-01-28T00:20:00Z</cp:lastPrinted>
  <dcterms:modified xsi:type="dcterms:W3CDTF">2021-02-01T04:19:29Z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