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600" w:lineRule="exact"/>
        <w:ind w:left="0" w:leftChars="0" w:firstLine="0" w:firstLineChars="0"/>
      </w:pPr>
    </w:p>
    <w:p>
      <w:pPr>
        <w:pStyle w:val="5"/>
        <w:spacing w:line="600" w:lineRule="exact"/>
        <w:ind w:left="540" w:hanging="540"/>
        <w:jc w:val="center"/>
        <w:rPr>
          <w:rFonts w:eastAsia="方正小标宋_GBK;微软雅黑"/>
          <w:spacing w:val="-8"/>
          <w:sz w:val="28"/>
          <w:szCs w:val="28"/>
        </w:rPr>
      </w:pPr>
      <w:r>
        <w:rPr>
          <w:rFonts w:eastAsia="方正小标宋_GBK;微软雅黑"/>
          <w:sz w:val="36"/>
          <w:szCs w:val="36"/>
        </w:rPr>
        <w:t>2020年度部门整体支出</w:t>
      </w:r>
      <w:r>
        <w:rPr>
          <w:rFonts w:eastAsia="方正小标宋_GBK;微软雅黑"/>
          <w:spacing w:val="-8"/>
          <w:sz w:val="36"/>
          <w:szCs w:val="36"/>
        </w:rPr>
        <w:t>绩效评价指标评分表</w:t>
      </w:r>
    </w:p>
    <w:p>
      <w:pPr>
        <w:pStyle w:val="5"/>
        <w:spacing w:line="600" w:lineRule="exact"/>
        <w:ind w:left="396" w:hanging="396"/>
        <w:rPr>
          <w:rFonts w:hint="eastAsia" w:eastAsia="宋体;SimSun"/>
          <w:lang w:eastAsia="zh-CN"/>
        </w:rPr>
      </w:pPr>
      <w:r>
        <w:t>填报单位（盖章）：</w:t>
      </w:r>
      <w:r>
        <w:rPr>
          <w:rFonts w:hint="eastAsia"/>
          <w:lang w:eastAsia="zh-CN"/>
        </w:rPr>
        <w:t>湖南新邵岳坪峰国家森林公园管理处</w:t>
      </w:r>
    </w:p>
    <w:tbl>
      <w:tblPr>
        <w:tblStyle w:val="3"/>
        <w:tblW w:w="14307" w:type="dxa"/>
        <w:jc w:val="center"/>
        <w:tblLayout w:type="fixed"/>
        <w:tblCellMar>
          <w:top w:w="10" w:type="dxa"/>
          <w:left w:w="10" w:type="dxa"/>
          <w:bottom w:w="0" w:type="dxa"/>
          <w:right w:w="10" w:type="dxa"/>
        </w:tblCellMar>
      </w:tblPr>
      <w:tblGrid>
        <w:gridCol w:w="689"/>
        <w:gridCol w:w="704"/>
        <w:gridCol w:w="960"/>
        <w:gridCol w:w="5341"/>
        <w:gridCol w:w="5824"/>
        <w:gridCol w:w="788"/>
      </w:tblGrid>
      <w:tr>
        <w:tblPrEx>
          <w:tblCellMar>
            <w:top w:w="10" w:type="dxa"/>
            <w:left w:w="10" w:type="dxa"/>
            <w:bottom w:w="0" w:type="dxa"/>
            <w:right w:w="10" w:type="dxa"/>
          </w:tblCellMar>
        </w:tblPrEx>
        <w:trPr>
          <w:trHeight w:val="644" w:hRule="atLeast"/>
          <w:tblHeader/>
          <w:jc w:val="center"/>
        </w:trPr>
        <w:tc>
          <w:tcPr>
            <w:tcW w:w="689" w:type="dxa"/>
            <w:tcBorders>
              <w:top w:val="single" w:color="000000" w:sz="4" w:space="0"/>
              <w:left w:val="single" w:color="000000" w:sz="8"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一级</w:t>
            </w:r>
            <w:r>
              <w:rPr>
                <w:rFonts w:ascii="宋体;SimSun" w:hAnsi="宋体;SimSun" w:cs="宋体;SimSun"/>
                <w:color w:val="000000"/>
                <w:sz w:val="21"/>
                <w:szCs w:val="21"/>
              </w:rPr>
              <w:br w:type="textWrapping"/>
            </w:r>
            <w:r>
              <w:rPr>
                <w:rFonts w:ascii="宋体;SimSun" w:hAnsi="宋体;SimSun" w:cs="宋体;SimSun"/>
                <w:color w:val="000000"/>
                <w:sz w:val="21"/>
                <w:szCs w:val="21"/>
              </w:rPr>
              <w:t>指标</w:t>
            </w:r>
          </w:p>
        </w:tc>
        <w:tc>
          <w:tcPr>
            <w:tcW w:w="704" w:type="dxa"/>
            <w:tcBorders>
              <w:top w:val="single" w:color="000000" w:sz="4"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二级指标</w:t>
            </w:r>
          </w:p>
        </w:tc>
        <w:tc>
          <w:tcPr>
            <w:tcW w:w="960" w:type="dxa"/>
            <w:tcBorders>
              <w:top w:val="single" w:color="000000" w:sz="4"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三级指标</w:t>
            </w:r>
          </w:p>
        </w:tc>
        <w:tc>
          <w:tcPr>
            <w:tcW w:w="5341" w:type="dxa"/>
            <w:tcBorders>
              <w:top w:val="single" w:color="000000" w:sz="4"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指标解释</w:t>
            </w:r>
          </w:p>
        </w:tc>
        <w:tc>
          <w:tcPr>
            <w:tcW w:w="5824" w:type="dxa"/>
            <w:tcBorders>
              <w:top w:val="single" w:color="000000" w:sz="4"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指标说明</w:t>
            </w:r>
          </w:p>
        </w:tc>
        <w:tc>
          <w:tcPr>
            <w:tcW w:w="788" w:type="dxa"/>
            <w:tcBorders>
              <w:top w:val="single" w:color="000000" w:sz="4" w:space="0"/>
              <w:bottom w:val="single" w:color="000000" w:sz="8" w:space="0"/>
              <w:right w:val="single" w:color="000000" w:sz="8" w:space="0"/>
            </w:tcBorders>
            <w:tcMar>
              <w:top w:w="0" w:type="dxa"/>
              <w:left w:w="0" w:type="dxa"/>
              <w:right w:w="0" w:type="dxa"/>
            </w:tcMar>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自评分</w:t>
            </w:r>
          </w:p>
        </w:tc>
      </w:tr>
      <w:tr>
        <w:tblPrEx>
          <w:tblCellMar>
            <w:top w:w="10" w:type="dxa"/>
            <w:left w:w="10" w:type="dxa"/>
            <w:bottom w:w="0" w:type="dxa"/>
            <w:right w:w="10" w:type="dxa"/>
          </w:tblCellMar>
        </w:tblPrEx>
        <w:trPr>
          <w:trHeight w:val="1006" w:hRule="atLeast"/>
          <w:jc w:val="center"/>
        </w:trPr>
        <w:tc>
          <w:tcPr>
            <w:tcW w:w="689" w:type="dxa"/>
            <w:vMerge w:val="restart"/>
            <w:tcBorders>
              <w:left w:val="single" w:color="000000" w:sz="8"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投入(20分)</w:t>
            </w: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目标</w:t>
            </w:r>
            <w:r>
              <w:rPr>
                <w:rFonts w:ascii="宋体;SimSun" w:hAnsi="宋体;SimSun" w:cs="宋体;SimSun"/>
                <w:color w:val="000000"/>
                <w:sz w:val="21"/>
                <w:szCs w:val="21"/>
              </w:rPr>
              <w:br w:type="textWrapping"/>
            </w:r>
            <w:r>
              <w:rPr>
                <w:rFonts w:ascii="宋体;SimSun" w:hAnsi="宋体;SimSun" w:cs="宋体;SimSun"/>
                <w:color w:val="000000"/>
                <w:sz w:val="21"/>
                <w:szCs w:val="21"/>
              </w:rPr>
              <w:t>设定</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（5分）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绩效目标合理性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部门所设立的整体绩效目标依据是否充分，是否符合客观实际，用以反映和考核部门整体绩效目标与部门履职、年度工作任务的相符性情况。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①符合国家法律法规、国民经济和社会发展总体规划计1分；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②符合部门“三定”方案确定的职责计0.5分；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③是否符合部门制定的中长期实施规划计0.5分。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2</w:t>
            </w:r>
          </w:p>
        </w:tc>
      </w:tr>
      <w:tr>
        <w:tblPrEx>
          <w:tblCellMar>
            <w:top w:w="10" w:type="dxa"/>
            <w:left w:w="10" w:type="dxa"/>
            <w:bottom w:w="0" w:type="dxa"/>
            <w:right w:w="10" w:type="dxa"/>
          </w:tblCellMar>
        </w:tblPrEx>
        <w:trPr>
          <w:trHeight w:val="1096"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绩效指标明确性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（3分）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部门依据整体绩效目标所设定的绩效指标是否清晰、细化、可衡量，用以反映和考核部门整体绩效目标的明细化情况。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①将部门整体的绩效目标细化分解为具体的工作任务计1分；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②通过清晰、可衡量的指标值予以体现计0.5分；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③与部门年度的任务数或计划数相对应计0.5分；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④与本年度部门预算资金相匹配计1分。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3</w:t>
            </w:r>
          </w:p>
        </w:tc>
      </w:tr>
      <w:tr>
        <w:tblPrEx>
          <w:tblCellMar>
            <w:top w:w="10" w:type="dxa"/>
            <w:left w:w="10" w:type="dxa"/>
            <w:bottom w:w="0" w:type="dxa"/>
            <w:right w:w="10" w:type="dxa"/>
          </w:tblCellMar>
        </w:tblPrEx>
        <w:trPr>
          <w:trHeight w:val="1231"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预算</w:t>
            </w:r>
            <w:r>
              <w:rPr>
                <w:rFonts w:ascii="宋体;SimSun" w:hAnsi="宋体;SimSun" w:cs="宋体;SimSun"/>
                <w:color w:val="000000"/>
                <w:sz w:val="21"/>
                <w:szCs w:val="21"/>
              </w:rPr>
              <w:br w:type="textWrapping"/>
            </w:r>
            <w:r>
              <w:rPr>
                <w:rFonts w:ascii="宋体;SimSun" w:hAnsi="宋体;SimSun" w:cs="宋体;SimSun"/>
                <w:color w:val="000000"/>
                <w:sz w:val="21"/>
                <w:szCs w:val="21"/>
              </w:rPr>
              <w:t>配置（15分）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在职人员控制率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部门本年度实际在职人员数与编制数的比率，用以反映和考核部门对人员成本的控制程度。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1238"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“三公经费”变动率（5分）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部门本年度“三公经费”预算数与上年度“三公经费”预算数的变动比率，用以反映和考核部门对控制重点行政成本的努力程度。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1550"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重点支出安排率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部门本年度预算安排的重点项目支出与部门项目总支出的比率，用以反映和考核部门对履行主要职责或完成重点任务的保障程度。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976" w:hRule="atLeast"/>
          <w:jc w:val="center"/>
        </w:trPr>
        <w:tc>
          <w:tcPr>
            <w:tcW w:w="689" w:type="dxa"/>
            <w:vMerge w:val="restart"/>
            <w:tcBorders>
              <w:left w:val="single" w:color="000000" w:sz="8"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过程</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(40分)</w:t>
            </w: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预算</w:t>
            </w:r>
            <w:r>
              <w:rPr>
                <w:rFonts w:ascii="宋体;SimSun" w:hAnsi="宋体;SimSun" w:cs="宋体;SimSun"/>
                <w:color w:val="000000"/>
                <w:sz w:val="21"/>
                <w:szCs w:val="21"/>
              </w:rPr>
              <w:br w:type="textWrapping"/>
            </w:r>
            <w:r>
              <w:rPr>
                <w:rFonts w:ascii="宋体;SimSun" w:hAnsi="宋体;SimSun" w:cs="宋体;SimSun"/>
                <w:color w:val="000000"/>
                <w:sz w:val="21"/>
                <w:szCs w:val="21"/>
              </w:rPr>
              <w:t>执行</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(23分)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预算</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完成率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（4分）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部门本年度预算完成数与预算数的比率，用以反映和考核部门预算完成程度。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default"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3.5</w:t>
            </w:r>
          </w:p>
        </w:tc>
      </w:tr>
      <w:tr>
        <w:tblPrEx>
          <w:tblCellMar>
            <w:top w:w="10" w:type="dxa"/>
            <w:left w:w="10" w:type="dxa"/>
            <w:bottom w:w="0" w:type="dxa"/>
            <w:right w:w="10" w:type="dxa"/>
          </w:tblCellMar>
        </w:tblPrEx>
        <w:trPr>
          <w:trHeight w:val="1500"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预算</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调整率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部门本年度预算调整数与预算数的比率，用以反映和考核部门预算的调整程度。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2</w:t>
            </w:r>
          </w:p>
        </w:tc>
      </w:tr>
      <w:tr>
        <w:tblPrEx>
          <w:tblCellMar>
            <w:top w:w="10" w:type="dxa"/>
            <w:left w:w="10" w:type="dxa"/>
            <w:bottom w:w="0" w:type="dxa"/>
            <w:right w:w="10" w:type="dxa"/>
          </w:tblCellMar>
        </w:tblPrEx>
        <w:trPr>
          <w:trHeight w:val="1770"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支付</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进度率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部门实际支付进度与既定支付进度的比率，用以反映和考核部门预算执行的及时性和均衡性程度。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default"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1</w:t>
            </w:r>
          </w:p>
        </w:tc>
      </w:tr>
      <w:tr>
        <w:tblPrEx>
          <w:tblCellMar>
            <w:top w:w="10" w:type="dxa"/>
            <w:left w:w="10" w:type="dxa"/>
            <w:bottom w:w="0" w:type="dxa"/>
            <w:right w:w="10" w:type="dxa"/>
          </w:tblCellMar>
        </w:tblPrEx>
        <w:trPr>
          <w:trHeight w:val="1231"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结转结余控制率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（4分）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部门本年度结转结余总额与上年结转结余总额增减比例，用以反映和考核部门对存量资金的实际控制程度。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4</w:t>
            </w:r>
          </w:p>
        </w:tc>
      </w:tr>
      <w:tr>
        <w:tblPrEx>
          <w:tblCellMar>
            <w:top w:w="10" w:type="dxa"/>
            <w:left w:w="10" w:type="dxa"/>
            <w:bottom w:w="0" w:type="dxa"/>
            <w:right w:w="10" w:type="dxa"/>
          </w:tblCellMar>
        </w:tblPrEx>
        <w:trPr>
          <w:trHeight w:val="936"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公用经费</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控制率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（4分）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部门本年度实际支出的公用经费总额与预算安排的公用经费总额的比率，用以反映和考核部门对机构运转成本的实际控制程度。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公用经费控制率=（实际支出公用经费总额/预算安排公用经费总额）×100%。为100%的计4分，每超过1个百分点扣0.1分，扣完为止。</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3</w:t>
            </w:r>
          </w:p>
        </w:tc>
      </w:tr>
      <w:tr>
        <w:tblPrEx>
          <w:tblCellMar>
            <w:top w:w="10" w:type="dxa"/>
            <w:left w:w="10" w:type="dxa"/>
            <w:bottom w:w="0" w:type="dxa"/>
            <w:right w:w="10" w:type="dxa"/>
          </w:tblCellMar>
        </w:tblPrEx>
        <w:trPr>
          <w:trHeight w:val="879"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“三公经费”控制率（3分）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部门本年度“三公经费”实际支出数与预算安排数的比率，用以反映和考核部门对“三公经费”的实际控制程度。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“三公经费”控制率=（“三公经费”实际支出数/“三公经费”预算安排数）×100%。为100%的计3分，每超过1个百分点扣0.5分，扣完为止。</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4</w:t>
            </w:r>
          </w:p>
        </w:tc>
      </w:tr>
      <w:tr>
        <w:tblPrEx>
          <w:tblCellMar>
            <w:top w:w="10" w:type="dxa"/>
            <w:left w:w="10" w:type="dxa"/>
            <w:bottom w:w="0" w:type="dxa"/>
            <w:right w:w="10" w:type="dxa"/>
          </w:tblCellMar>
        </w:tblPrEx>
        <w:trPr>
          <w:trHeight w:val="1283"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政府采购</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执行率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（4分）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部门本年度实际政府采购金额与年初政府采购预算的比率，用以反映和考核部门政府采购预算执行情况。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4</w:t>
            </w:r>
          </w:p>
        </w:tc>
      </w:tr>
      <w:tr>
        <w:tblPrEx>
          <w:tblCellMar>
            <w:top w:w="10" w:type="dxa"/>
            <w:left w:w="10" w:type="dxa"/>
            <w:bottom w:w="0" w:type="dxa"/>
            <w:right w:w="10" w:type="dxa"/>
          </w:tblCellMar>
        </w:tblPrEx>
        <w:trPr>
          <w:trHeight w:val="952"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预算</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管理</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(12分)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管理制度</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健全性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部门为加强预算管理、规范财务行为而制定的管理制度是否健全完整，用以反映和考核部门预算管理制度对完成主要职责或促进事业发展的保障情况。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已制定或具有预算资金管理办法、内部财务管理制度、会计核算制度等管理制度计1分；相关管理制度合法、合规、完整计0.5分；相关管理制度得到有效执行计0.5分。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2</w:t>
            </w:r>
          </w:p>
        </w:tc>
      </w:tr>
      <w:tr>
        <w:tblPrEx>
          <w:tblCellMar>
            <w:top w:w="10" w:type="dxa"/>
            <w:left w:w="10" w:type="dxa"/>
            <w:bottom w:w="0" w:type="dxa"/>
            <w:right w:w="10" w:type="dxa"/>
          </w:tblCellMar>
        </w:tblPrEx>
        <w:trPr>
          <w:trHeight w:val="1605"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资金使用</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合规性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部门使用预算资金是否符合相关的预算财务管理制度的规定，用以反映和考核部门预算资金的规范运行情况。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①符合国家财经法规和财务管理制度规定以及有关专项资金管理办法的规定计1分；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②资金的拨付有完整的审批程序和手续计1分；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③项目的重大开支经过评估论证计1分；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④符合部门预算批复的用途计1分；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⑤不存在截留、挤占、挪用、虚列支出等情况计1分。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1259"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预决算信</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息公开性（2分）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部门是否按照政府信息公开有关规定公开相关预决算信息，用以反映和考核部门预决算管理的公开透明情况。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①按规定内容公开预决算信息计1分；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②按规定时限公开预决算信息计1分。预决算信息是指与部门预算、执行、决算、监督、绩效等管理相关的信息。</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2</w:t>
            </w:r>
          </w:p>
        </w:tc>
      </w:tr>
      <w:tr>
        <w:tblPrEx>
          <w:tblCellMar>
            <w:top w:w="10" w:type="dxa"/>
            <w:left w:w="10" w:type="dxa"/>
            <w:bottom w:w="0" w:type="dxa"/>
            <w:right w:w="10" w:type="dxa"/>
          </w:tblCellMar>
        </w:tblPrEx>
        <w:trPr>
          <w:trHeight w:val="934"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基础信息</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完善性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（3分）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部门基础信息是否完善，用以反映和考核基础信息对预算管理工作的支撑情况。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①基础数据信息和会计信息资料真实计1分；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②基础数据信息和会计信息资料完整计1分；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③基础数据信息和会计信息资料准确计1分。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3</w:t>
            </w:r>
          </w:p>
        </w:tc>
      </w:tr>
      <w:tr>
        <w:tblPrEx>
          <w:tblCellMar>
            <w:top w:w="10" w:type="dxa"/>
            <w:left w:w="10" w:type="dxa"/>
            <w:bottom w:w="0" w:type="dxa"/>
            <w:right w:w="10" w:type="dxa"/>
          </w:tblCellMar>
        </w:tblPrEx>
        <w:trPr>
          <w:trHeight w:val="968"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资产</w:t>
            </w:r>
            <w:r>
              <w:rPr>
                <w:rFonts w:ascii="宋体;SimSun" w:hAnsi="宋体;SimSun" w:cs="宋体;SimSun"/>
                <w:color w:val="000000"/>
                <w:sz w:val="21"/>
                <w:szCs w:val="21"/>
              </w:rPr>
              <w:br w:type="textWrapping"/>
            </w:r>
            <w:r>
              <w:rPr>
                <w:rFonts w:ascii="宋体;SimSun" w:hAnsi="宋体;SimSun" w:cs="宋体;SimSun"/>
                <w:color w:val="000000"/>
                <w:sz w:val="21"/>
                <w:szCs w:val="21"/>
              </w:rPr>
              <w:t>管理</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（5分）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管理制度</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健全性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部门为加强资产管理、规范资产管理行为而制定的管理制度是否健全完整，用以反映和考核部门资产管理制度对完成主要职责或促进社会发展的保障情况。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①制定或具有资产管理制度计1分；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②相关资金管理制度合法、合规、完整计0.5分；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③相关资产管理制度得到有效执行计0.5分。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2</w:t>
            </w:r>
          </w:p>
        </w:tc>
      </w:tr>
      <w:tr>
        <w:tblPrEx>
          <w:tblCellMar>
            <w:top w:w="10" w:type="dxa"/>
            <w:left w:w="10" w:type="dxa"/>
            <w:bottom w:w="0" w:type="dxa"/>
            <w:right w:w="10" w:type="dxa"/>
          </w:tblCellMar>
        </w:tblPrEx>
        <w:trPr>
          <w:trHeight w:val="1566"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资产管理</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安全性</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（2分）</w:t>
            </w:r>
          </w:p>
        </w:tc>
        <w:tc>
          <w:tcPr>
            <w:tcW w:w="5341" w:type="dxa"/>
            <w:tcBorders>
              <w:bottom w:val="single" w:color="000000" w:sz="8" w:space="0"/>
              <w:right w:val="single" w:color="000000" w:sz="8" w:space="0"/>
            </w:tcBorders>
            <w:vAlign w:val="center"/>
          </w:tcPr>
          <w:p>
            <w:pPr>
              <w:pStyle w:val="10"/>
              <w:widowControl w:val="0"/>
              <w:tabs>
                <w:tab w:val="left" w:pos="761"/>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部门的资产是否保存完整、使用合规、配置合理、处置规范、收入及时足额上缴，用以反映和考核部门资产安全运行情况。</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①资产保存完整计0.4分；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②资产配置合理计0.4分；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③资产处置规范计0.4分；</w:t>
            </w:r>
          </w:p>
          <w:p>
            <w:pPr>
              <w:pStyle w:val="10"/>
              <w:widowControl w:val="0"/>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④资产账务管理合规、</w:t>
            </w:r>
            <w:r>
              <w:rPr>
                <w:rFonts w:hint="eastAsia" w:ascii="宋体;SimSun" w:hAnsi="宋体;SimSun" w:cs="宋体;SimSun"/>
                <w:color w:val="000000"/>
                <w:sz w:val="21"/>
                <w:szCs w:val="21"/>
                <w:lang w:val="en-US" w:eastAsia="zh-CN"/>
              </w:rPr>
              <w:t>账</w:t>
            </w:r>
            <w:r>
              <w:rPr>
                <w:rFonts w:ascii="宋体;SimSun" w:hAnsi="宋体;SimSun" w:cs="宋体;SimSun"/>
                <w:color w:val="000000"/>
                <w:sz w:val="21"/>
                <w:szCs w:val="21"/>
              </w:rPr>
              <w:t>实相符计0.4分；</w:t>
            </w:r>
          </w:p>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⑤资产有偿使用及处置收入及时足额上缴计0.4分。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761"/>
                <w:tab w:val="left" w:pos="2604"/>
              </w:tabs>
              <w:snapToGrid w:val="0"/>
              <w:spacing w:before="0" w:after="0" w:line="600" w:lineRule="exact"/>
              <w:ind w:left="0" w:firstLine="0"/>
              <w:jc w:val="center"/>
              <w:rPr>
                <w:rFonts w:hint="default"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1.6</w:t>
            </w:r>
          </w:p>
        </w:tc>
      </w:tr>
      <w:tr>
        <w:tblPrEx>
          <w:tblCellMar>
            <w:top w:w="10" w:type="dxa"/>
            <w:left w:w="10" w:type="dxa"/>
            <w:bottom w:w="0" w:type="dxa"/>
            <w:right w:w="10" w:type="dxa"/>
          </w:tblCellMar>
        </w:tblPrEx>
        <w:trPr>
          <w:trHeight w:val="1059"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固定资产</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利用率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（1分）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部门实际在用固定资产总额与所有固定资产总额的比率，用以反映和考核部门固定资产使用效率程度。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固定资产利用率=（实际在用固定资产总额/所有固定资产总额）×100%。利用率为100%的计1分，每降1个百分点扣0.1分，扣完为止。</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default"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0.9</w:t>
            </w:r>
          </w:p>
        </w:tc>
      </w:tr>
      <w:tr>
        <w:tblPrEx>
          <w:tblCellMar>
            <w:top w:w="10" w:type="dxa"/>
            <w:left w:w="10" w:type="dxa"/>
            <w:bottom w:w="0" w:type="dxa"/>
            <w:right w:w="10" w:type="dxa"/>
          </w:tblCellMar>
        </w:tblPrEx>
        <w:trPr>
          <w:trHeight w:val="894" w:hRule="atLeast"/>
          <w:jc w:val="center"/>
        </w:trPr>
        <w:tc>
          <w:tcPr>
            <w:tcW w:w="689" w:type="dxa"/>
            <w:vMerge w:val="restart"/>
            <w:tcBorders>
              <w:left w:val="single" w:color="000000" w:sz="8"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产出</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(20分)</w:t>
            </w: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职责</w:t>
            </w:r>
            <w:r>
              <w:rPr>
                <w:rFonts w:ascii="宋体;SimSun" w:hAnsi="宋体;SimSun" w:cs="宋体;SimSun"/>
                <w:color w:val="000000"/>
                <w:sz w:val="21"/>
                <w:szCs w:val="21"/>
              </w:rPr>
              <w:br w:type="textWrapping"/>
            </w:r>
            <w:r>
              <w:rPr>
                <w:rFonts w:ascii="宋体;SimSun" w:hAnsi="宋体;SimSun" w:cs="宋体;SimSun"/>
                <w:color w:val="000000"/>
                <w:sz w:val="21"/>
                <w:szCs w:val="21"/>
              </w:rPr>
              <w:t>履行</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实际完成率（5分）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部门履行职责而实际完成工作数与计划工作数的比率，用以反映和考核部门履职工作任务目标的实现程度。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实际完成率得分=完成县委县政府绩效考核得分或上级主管部门考核指标得分/指标分值*5分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864"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完成及时率（4分）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部门在规定时限内及时完成的实际工作数与计划工作数的比率,用以反映和考核部门履职时效目标的实现程度。</w:t>
            </w:r>
          </w:p>
        </w:tc>
        <w:tc>
          <w:tcPr>
            <w:tcW w:w="5824" w:type="dxa"/>
            <w:tcBorders>
              <w:bottom w:val="single" w:color="000000" w:sz="8" w:space="0"/>
              <w:right w:val="single" w:color="000000" w:sz="8" w:space="0"/>
            </w:tcBorders>
            <w:vAlign w:val="center"/>
          </w:tcPr>
          <w:p>
            <w:pPr>
              <w:pStyle w:val="10"/>
              <w:widowControl w:val="0"/>
              <w:spacing w:before="0" w:after="21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完成及时率=（及时完成实际工作数/计划工作数）×100%。1-4季度各得1分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4</w:t>
            </w:r>
          </w:p>
        </w:tc>
      </w:tr>
      <w:tr>
        <w:tblPrEx>
          <w:tblCellMar>
            <w:top w:w="10" w:type="dxa"/>
            <w:left w:w="10" w:type="dxa"/>
            <w:bottom w:w="0" w:type="dxa"/>
            <w:right w:w="10" w:type="dxa"/>
          </w:tblCellMar>
        </w:tblPrEx>
        <w:trPr>
          <w:trHeight w:val="804"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质量达标率（5分）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达到质量标准（绩效标准值）的实际工作数与计划工作数的比率,用以反映和考核部门履职质量目标的实现程度。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质量达标率=（质量达标实际工作数/计划工作数）×100%。实际得分=达标率*5分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1059"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重点工作</w:t>
            </w:r>
          </w:p>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办结率</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（6分）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部门年度重点工作实际完成数与交办或下达数的比率，用以反映部门对重点工作的办理落实程度。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重点工作办结率=（重点工作实际完成数/交办或下达数）×100%。实际得分=办结率*6分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6</w:t>
            </w:r>
          </w:p>
        </w:tc>
      </w:tr>
      <w:tr>
        <w:tblPrEx>
          <w:tblCellMar>
            <w:top w:w="10" w:type="dxa"/>
            <w:left w:w="10" w:type="dxa"/>
            <w:bottom w:w="0" w:type="dxa"/>
            <w:right w:w="10" w:type="dxa"/>
          </w:tblCellMar>
        </w:tblPrEx>
        <w:trPr>
          <w:trHeight w:val="644" w:hRule="atLeast"/>
          <w:jc w:val="center"/>
        </w:trPr>
        <w:tc>
          <w:tcPr>
            <w:tcW w:w="689" w:type="dxa"/>
            <w:vMerge w:val="restart"/>
            <w:tcBorders>
              <w:left w:val="single" w:color="000000" w:sz="8" w:space="0"/>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color w:val="000000"/>
                <w:sz w:val="21"/>
                <w:szCs w:val="21"/>
              </w:rPr>
            </w:pPr>
            <w:r>
              <w:rPr>
                <w:rFonts w:ascii="宋体;SimSun" w:hAnsi="宋体;SimSun" w:cs="宋体;SimSun"/>
                <w:color w:val="000000"/>
                <w:sz w:val="21"/>
                <w:szCs w:val="21"/>
              </w:rPr>
              <w:t>效果</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(20分)</w:t>
            </w:r>
          </w:p>
        </w:tc>
        <w:tc>
          <w:tcPr>
            <w:tcW w:w="704" w:type="dxa"/>
            <w:vMerge w:val="restart"/>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履职</w:t>
            </w:r>
            <w:r>
              <w:rPr>
                <w:rFonts w:ascii="宋体;SimSun" w:hAnsi="宋体;SimSun" w:cs="宋体;SimSun"/>
                <w:color w:val="000000"/>
                <w:sz w:val="21"/>
                <w:szCs w:val="21"/>
              </w:rPr>
              <w:br w:type="textWrapping"/>
            </w:r>
            <w:r>
              <w:rPr>
                <w:rFonts w:ascii="宋体;SimSun" w:hAnsi="宋体;SimSun" w:cs="宋体;SimSun"/>
                <w:color w:val="000000"/>
                <w:sz w:val="21"/>
                <w:szCs w:val="21"/>
              </w:rPr>
              <w:t>效益(20分)</w:t>
            </w: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经济效益（5分）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部门履行职责对经济发展所带来的直接或间接影响。</w:t>
            </w:r>
          </w:p>
        </w:tc>
        <w:tc>
          <w:tcPr>
            <w:tcW w:w="5824" w:type="dxa"/>
            <w:tcBorders>
              <w:bottom w:val="single" w:color="000000" w:sz="4"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按经济效益实现程度计算得分（5分）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4</w:t>
            </w:r>
          </w:p>
        </w:tc>
      </w:tr>
      <w:tr>
        <w:tblPrEx>
          <w:tblCellMar>
            <w:top w:w="10" w:type="dxa"/>
            <w:left w:w="10" w:type="dxa"/>
            <w:bottom w:w="0" w:type="dxa"/>
            <w:right w:w="10" w:type="dxa"/>
          </w:tblCellMar>
        </w:tblPrEx>
        <w:trPr>
          <w:trHeight w:val="644"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社会效益（5分）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部门履行职责对社会发展所带来的直接或间接影响。</w:t>
            </w:r>
          </w:p>
        </w:tc>
        <w:tc>
          <w:tcPr>
            <w:tcW w:w="5824" w:type="dxa"/>
            <w:tcBorders>
              <w:top w:val="single" w:color="000000" w:sz="4" w:space="0"/>
              <w:bottom w:val="single" w:color="000000" w:sz="4" w:space="0"/>
              <w:right w:val="single" w:color="000000" w:sz="8" w:space="0"/>
            </w:tcBorders>
            <w:vAlign w:val="center"/>
          </w:tcPr>
          <w:p>
            <w:pPr>
              <w:pStyle w:val="5"/>
              <w:widowControl w:val="0"/>
              <w:spacing w:line="600" w:lineRule="exact"/>
              <w:ind w:left="315" w:hanging="315"/>
              <w:rPr>
                <w:rFonts w:ascii="宋体;SimSun" w:hAnsi="宋体;SimSun" w:cs="宋体;SimSun"/>
                <w:color w:val="000000"/>
                <w:sz w:val="15"/>
                <w:szCs w:val="15"/>
              </w:rPr>
            </w:pPr>
            <w:r>
              <w:rPr>
                <w:rFonts w:ascii="宋体;SimSun" w:hAnsi="宋体;SimSun" w:cs="宋体;SimSun"/>
                <w:color w:val="000000"/>
                <w:szCs w:val="21"/>
              </w:rPr>
              <w:t>按社会效益实现程度计算得分（5分）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color w:val="000000"/>
                <w:sz w:val="15"/>
                <w:szCs w:val="15"/>
                <w:lang w:val="en-US" w:eastAsia="zh-CN"/>
              </w:rPr>
            </w:pPr>
            <w:r>
              <w:rPr>
                <w:rFonts w:hint="eastAsia" w:ascii="宋体;SimSun" w:hAnsi="宋体;SimSun" w:cs="宋体;SimSun"/>
                <w:color w:val="000000"/>
                <w:sz w:val="15"/>
                <w:szCs w:val="15"/>
                <w:lang w:val="en-US" w:eastAsia="zh-CN"/>
              </w:rPr>
              <w:t>5</w:t>
            </w:r>
          </w:p>
        </w:tc>
      </w:tr>
      <w:tr>
        <w:tblPrEx>
          <w:tblCellMar>
            <w:top w:w="10" w:type="dxa"/>
            <w:left w:w="10" w:type="dxa"/>
            <w:bottom w:w="0" w:type="dxa"/>
            <w:right w:w="10" w:type="dxa"/>
          </w:tblCellMar>
        </w:tblPrEx>
        <w:trPr>
          <w:trHeight w:val="644"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5"/>
              <w:widowControl w:val="0"/>
              <w:spacing w:line="600" w:lineRule="exact"/>
              <w:ind w:left="315" w:hanging="315"/>
              <w:jc w:val="center"/>
              <w:rPr>
                <w:rFonts w:ascii="宋体;SimSun" w:hAnsi="宋体;SimSun" w:cs="宋体;SimSun"/>
                <w:color w:val="000000"/>
                <w:kern w:val="0"/>
                <w:szCs w:val="21"/>
                <w:lang w:bidi="ar"/>
              </w:rPr>
            </w:pPr>
            <w:r>
              <w:rPr>
                <w:rFonts w:ascii="宋体;SimSun" w:hAnsi="宋体;SimSun" w:cs="宋体;SimSun"/>
                <w:color w:val="000000"/>
                <w:kern w:val="0"/>
                <w:szCs w:val="21"/>
                <w:lang w:bidi="ar"/>
              </w:rPr>
              <w:t>生态效益</w:t>
            </w:r>
          </w:p>
          <w:p>
            <w:pPr>
              <w:pStyle w:val="5"/>
              <w:widowControl w:val="0"/>
              <w:spacing w:line="600" w:lineRule="exact"/>
              <w:ind w:left="315" w:hanging="315"/>
              <w:jc w:val="center"/>
              <w:rPr>
                <w:rFonts w:ascii="宋体;SimSun" w:hAnsi="宋体;SimSun" w:cs="宋体;SimSun"/>
                <w:color w:val="000000"/>
                <w:kern w:val="0"/>
                <w:szCs w:val="21"/>
                <w:lang w:bidi="ar"/>
              </w:rPr>
            </w:pPr>
            <w:r>
              <w:rPr>
                <w:rFonts w:ascii="宋体;SimSun" w:hAnsi="宋体;SimSun" w:cs="宋体;SimSun"/>
                <w:color w:val="000000"/>
                <w:kern w:val="0"/>
                <w:szCs w:val="21"/>
                <w:lang w:bidi="ar"/>
              </w:rPr>
              <w:t>（5分）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color w:val="000000"/>
                <w:sz w:val="21"/>
                <w:szCs w:val="21"/>
              </w:rPr>
            </w:pPr>
            <w:r>
              <w:rPr>
                <w:rFonts w:ascii="宋体;SimSun" w:hAnsi="宋体;SimSun" w:cs="宋体;SimSun"/>
                <w:color w:val="000000"/>
                <w:sz w:val="21"/>
                <w:szCs w:val="21"/>
              </w:rPr>
              <w:t>部门履行职责对生态环境所带来的直接或间接影响。</w:t>
            </w:r>
          </w:p>
        </w:tc>
        <w:tc>
          <w:tcPr>
            <w:tcW w:w="5824" w:type="dxa"/>
            <w:tcBorders>
              <w:top w:val="single" w:color="000000" w:sz="4" w:space="0"/>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pPr>
            <w:r>
              <w:rPr>
                <w:rFonts w:ascii="宋体;SimSun" w:hAnsi="宋体;SimSun" w:cs="宋体;SimSun"/>
                <w:color w:val="000000"/>
                <w:sz w:val="21"/>
                <w:szCs w:val="21"/>
              </w:rPr>
              <w:t>对生态环境影响较好的计5分；一般3分；效果不明显0分。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color w:val="000000"/>
                <w:sz w:val="21"/>
                <w:szCs w:val="21"/>
                <w:lang w:val="en-US" w:eastAsia="zh-CN"/>
              </w:rPr>
            </w:pPr>
            <w:r>
              <w:rPr>
                <w:rFonts w:hint="eastAsia" w:ascii="宋体;SimSun" w:hAnsi="宋体;SimSun" w:cs="宋体;SimSun"/>
                <w:color w:val="000000"/>
                <w:sz w:val="21"/>
                <w:szCs w:val="21"/>
                <w:lang w:val="en-US" w:eastAsia="zh-CN"/>
              </w:rPr>
              <w:t>5</w:t>
            </w:r>
          </w:p>
        </w:tc>
      </w:tr>
      <w:tr>
        <w:tblPrEx>
          <w:tblCellMar>
            <w:top w:w="10" w:type="dxa"/>
            <w:left w:w="10" w:type="dxa"/>
            <w:bottom w:w="0" w:type="dxa"/>
            <w:right w:w="10" w:type="dxa"/>
          </w:tblCellMar>
        </w:tblPrEx>
        <w:trPr>
          <w:trHeight w:val="1259" w:hRule="atLeast"/>
          <w:jc w:val="center"/>
        </w:trPr>
        <w:tc>
          <w:tcPr>
            <w:tcW w:w="689" w:type="dxa"/>
            <w:vMerge w:val="continue"/>
            <w:tcBorders>
              <w:left w:val="single" w:color="000000" w:sz="8" w:space="0"/>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704" w:type="dxa"/>
            <w:vMerge w:val="continue"/>
            <w:tcBorders>
              <w:bottom w:val="single" w:color="000000" w:sz="8" w:space="0"/>
              <w:right w:val="single" w:color="000000" w:sz="8" w:space="0"/>
            </w:tcBorders>
            <w:vAlign w:val="center"/>
          </w:tcPr>
          <w:p>
            <w:pPr>
              <w:pStyle w:val="5"/>
              <w:widowControl w:val="0"/>
              <w:snapToGrid w:val="0"/>
              <w:spacing w:line="600" w:lineRule="exact"/>
              <w:ind w:left="225" w:hanging="225"/>
              <w:rPr>
                <w:rFonts w:ascii="宋体;SimSun" w:hAnsi="宋体;SimSun" w:cs="宋体;SimSun"/>
                <w:color w:val="000000"/>
                <w:sz w:val="15"/>
                <w:szCs w:val="15"/>
              </w:rPr>
            </w:pPr>
          </w:p>
        </w:tc>
        <w:tc>
          <w:tcPr>
            <w:tcW w:w="960" w:type="dxa"/>
            <w:tcBorders>
              <w:bottom w:val="single" w:color="000000" w:sz="8" w:space="0"/>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社会公众</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或服务对</w:t>
            </w:r>
          </w:p>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象满意度（5分）</w:t>
            </w:r>
          </w:p>
        </w:tc>
        <w:tc>
          <w:tcPr>
            <w:tcW w:w="5341" w:type="dxa"/>
            <w:tcBorders>
              <w:bottom w:val="single" w:color="000000" w:sz="8" w:space="0"/>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r>
              <w:rPr>
                <w:rFonts w:ascii="宋体;SimSun" w:hAnsi="宋体;SimSun" w:cs="宋体;SimSun"/>
                <w:color w:val="000000"/>
                <w:sz w:val="21"/>
                <w:szCs w:val="21"/>
              </w:rPr>
              <w:t>社会公众或部门的服务对象对部门履职效果的满意程度。</w:t>
            </w:r>
          </w:p>
        </w:tc>
        <w:tc>
          <w:tcPr>
            <w:tcW w:w="5824" w:type="dxa"/>
            <w:tcBorders>
              <w:bottom w:val="single" w:color="000000" w:sz="8" w:space="0"/>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r>
              <w:rPr>
                <w:rFonts w:ascii="宋体;SimSun" w:hAnsi="宋体;SimSun" w:cs="宋体;SimSun"/>
                <w:sz w:val="18"/>
                <w:szCs w:val="18"/>
              </w:rPr>
              <w:t>90%</w:t>
            </w:r>
            <w:r>
              <w:rPr>
                <w:rFonts w:ascii="宋体;SimSun" w:hAnsi="宋体;SimSun" w:cs="宋体;SimSun"/>
                <w:color w:val="000000"/>
                <w:sz w:val="21"/>
                <w:szCs w:val="21"/>
              </w:rPr>
              <w:t>（含）以上计5分；80%（含）-90%，计4分；70%（含）-80%，计3分；60%（含）-70%，计2分；低于60%计0分。</w:t>
            </w: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eastAsia" w:ascii="宋体;SimSun" w:hAnsi="宋体;SimSun" w:eastAsia="宋体;SimSun" w:cs="宋体;SimSun"/>
                <w:sz w:val="21"/>
                <w:szCs w:val="21"/>
                <w:lang w:val="en-US" w:eastAsia="zh-CN"/>
              </w:rPr>
            </w:pPr>
            <w:r>
              <w:rPr>
                <w:rFonts w:hint="eastAsia" w:ascii="宋体;SimSun" w:hAnsi="宋体;SimSun" w:cs="宋体;SimSun"/>
                <w:sz w:val="21"/>
                <w:szCs w:val="21"/>
                <w:lang w:val="en-US" w:eastAsia="zh-CN"/>
              </w:rPr>
              <w:t>5</w:t>
            </w:r>
          </w:p>
        </w:tc>
      </w:tr>
      <w:tr>
        <w:tblPrEx>
          <w:tblCellMar>
            <w:top w:w="10" w:type="dxa"/>
            <w:left w:w="10" w:type="dxa"/>
            <w:bottom w:w="0" w:type="dxa"/>
            <w:right w:w="10" w:type="dxa"/>
          </w:tblCellMar>
        </w:tblPrEx>
        <w:trPr>
          <w:trHeight w:val="608" w:hRule="atLeast"/>
          <w:jc w:val="center"/>
        </w:trPr>
        <w:tc>
          <w:tcPr>
            <w:tcW w:w="689" w:type="dxa"/>
            <w:tcBorders>
              <w:left w:val="single" w:color="000000" w:sz="8" w:space="0"/>
              <w:right w:val="single" w:color="000000" w:sz="8" w:space="0"/>
            </w:tcBorders>
            <w:tcMar>
              <w:top w:w="0" w:type="dxa"/>
              <w:left w:w="0" w:type="dxa"/>
              <w:right w:w="0" w:type="dxa"/>
            </w:tcMar>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总分</w:t>
            </w:r>
          </w:p>
        </w:tc>
        <w:tc>
          <w:tcPr>
            <w:tcW w:w="704" w:type="dxa"/>
            <w:tcBorders>
              <w:right w:val="single" w:color="000000" w:sz="8" w:space="0"/>
            </w:tcBorders>
            <w:tcMar>
              <w:top w:w="0" w:type="dxa"/>
              <w:left w:w="0" w:type="dxa"/>
              <w:right w:w="0" w:type="dxa"/>
            </w:tcMar>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100</w:t>
            </w:r>
          </w:p>
        </w:tc>
        <w:tc>
          <w:tcPr>
            <w:tcW w:w="960" w:type="dxa"/>
            <w:tcBorders>
              <w:right w:val="single" w:color="000000" w:sz="8" w:space="0"/>
            </w:tcBorders>
            <w:vAlign w:val="center"/>
          </w:tcPr>
          <w:p>
            <w:pPr>
              <w:pStyle w:val="10"/>
              <w:widowControl w:val="0"/>
              <w:spacing w:before="0" w:after="0" w:line="600" w:lineRule="exact"/>
              <w:ind w:left="0" w:firstLine="0"/>
              <w:jc w:val="center"/>
              <w:rPr>
                <w:rFonts w:ascii="宋体;SimSun" w:hAnsi="宋体;SimSun" w:cs="宋体;SimSun"/>
                <w:sz w:val="21"/>
                <w:szCs w:val="21"/>
              </w:rPr>
            </w:pPr>
            <w:r>
              <w:rPr>
                <w:rFonts w:ascii="宋体;SimSun" w:hAnsi="宋体;SimSun" w:cs="宋体;SimSun"/>
                <w:color w:val="000000"/>
                <w:sz w:val="21"/>
                <w:szCs w:val="21"/>
              </w:rPr>
              <w:t>100　</w:t>
            </w:r>
          </w:p>
        </w:tc>
        <w:tc>
          <w:tcPr>
            <w:tcW w:w="5341" w:type="dxa"/>
            <w:tcBorders>
              <w:right w:val="single" w:color="000000" w:sz="8" w:space="0"/>
            </w:tcBorders>
            <w:vAlign w:val="center"/>
          </w:tcPr>
          <w:p>
            <w:pPr>
              <w:pStyle w:val="10"/>
              <w:widowControl w:val="0"/>
              <w:tabs>
                <w:tab w:val="left" w:pos="2604"/>
              </w:tabs>
              <w:spacing w:before="0" w:after="0" w:line="600" w:lineRule="exact"/>
              <w:ind w:left="0" w:firstLine="0"/>
              <w:jc w:val="both"/>
              <w:rPr>
                <w:rFonts w:ascii="宋体;SimSun" w:hAnsi="宋体;SimSun" w:cs="宋体;SimSun"/>
                <w:sz w:val="21"/>
                <w:szCs w:val="21"/>
              </w:rPr>
            </w:pPr>
          </w:p>
        </w:tc>
        <w:tc>
          <w:tcPr>
            <w:tcW w:w="5824" w:type="dxa"/>
            <w:tcBorders>
              <w:right w:val="single" w:color="000000" w:sz="8" w:space="0"/>
            </w:tcBorders>
            <w:vAlign w:val="center"/>
          </w:tcPr>
          <w:p>
            <w:pPr>
              <w:pStyle w:val="10"/>
              <w:widowControl w:val="0"/>
              <w:spacing w:before="0" w:after="0" w:line="600" w:lineRule="exact"/>
              <w:ind w:left="0" w:firstLine="0"/>
              <w:jc w:val="both"/>
              <w:rPr>
                <w:rFonts w:ascii="宋体;SimSun" w:hAnsi="宋体;SimSun" w:cs="宋体;SimSun"/>
                <w:sz w:val="21"/>
                <w:szCs w:val="21"/>
              </w:rPr>
            </w:pPr>
          </w:p>
        </w:tc>
        <w:tc>
          <w:tcPr>
            <w:tcW w:w="788" w:type="dxa"/>
            <w:tcBorders>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ascii="宋体;SimSun" w:hAnsi="宋体;SimSun" w:cs="宋体;SimSun"/>
                <w:sz w:val="21"/>
                <w:szCs w:val="21"/>
              </w:rPr>
            </w:pPr>
          </w:p>
        </w:tc>
      </w:tr>
      <w:tr>
        <w:tblPrEx>
          <w:tblCellMar>
            <w:top w:w="10" w:type="dxa"/>
            <w:left w:w="10" w:type="dxa"/>
            <w:bottom w:w="0" w:type="dxa"/>
            <w:right w:w="10" w:type="dxa"/>
          </w:tblCellMar>
        </w:tblPrEx>
        <w:trPr>
          <w:trHeight w:val="608" w:hRule="atLeast"/>
          <w:jc w:val="center"/>
        </w:trPr>
        <w:tc>
          <w:tcPr>
            <w:tcW w:w="689" w:type="dxa"/>
            <w:tcBorders>
              <w:left w:val="single" w:color="000000" w:sz="8" w:space="0"/>
              <w:bottom w:val="single" w:color="000000" w:sz="8" w:space="0"/>
              <w:right w:val="single" w:color="000000" w:sz="8" w:space="0"/>
            </w:tcBorders>
            <w:tcMar>
              <w:top w:w="0" w:type="dxa"/>
              <w:left w:w="0" w:type="dxa"/>
              <w:right w:w="0" w:type="dxa"/>
            </w:tcMar>
            <w:vAlign w:val="center"/>
          </w:tcPr>
          <w:p>
            <w:pPr>
              <w:pStyle w:val="10"/>
              <w:widowControl w:val="0"/>
              <w:snapToGrid w:val="0"/>
              <w:spacing w:before="0" w:after="0" w:line="600" w:lineRule="exact"/>
              <w:ind w:left="0" w:firstLine="0"/>
              <w:rPr>
                <w:rFonts w:ascii="宋体;SimSun" w:hAnsi="宋体;SimSun" w:cs="宋体;SimSun"/>
                <w:color w:val="000000"/>
                <w:sz w:val="21"/>
                <w:szCs w:val="21"/>
              </w:rPr>
            </w:pPr>
          </w:p>
        </w:tc>
        <w:tc>
          <w:tcPr>
            <w:tcW w:w="704" w:type="dxa"/>
            <w:tcBorders>
              <w:bottom w:val="single" w:color="000000" w:sz="8" w:space="0"/>
              <w:right w:val="single" w:color="000000" w:sz="8" w:space="0"/>
            </w:tcBorders>
            <w:tcMar>
              <w:top w:w="0" w:type="dxa"/>
              <w:left w:w="0" w:type="dxa"/>
              <w:right w:w="0" w:type="dxa"/>
            </w:tcMar>
            <w:vAlign w:val="center"/>
          </w:tcPr>
          <w:p>
            <w:pPr>
              <w:pStyle w:val="10"/>
              <w:widowControl w:val="0"/>
              <w:snapToGrid w:val="0"/>
              <w:spacing w:before="0" w:after="0" w:line="600" w:lineRule="exact"/>
              <w:ind w:left="0" w:firstLine="0"/>
              <w:jc w:val="center"/>
              <w:rPr>
                <w:rFonts w:ascii="宋体;SimSun" w:hAnsi="宋体;SimSun" w:cs="宋体;SimSun"/>
                <w:color w:val="000000"/>
                <w:sz w:val="21"/>
                <w:szCs w:val="21"/>
              </w:rPr>
            </w:pPr>
          </w:p>
        </w:tc>
        <w:tc>
          <w:tcPr>
            <w:tcW w:w="960" w:type="dxa"/>
            <w:tcBorders>
              <w:bottom w:val="single" w:color="000000" w:sz="8" w:space="0"/>
              <w:right w:val="single" w:color="000000" w:sz="8" w:space="0"/>
            </w:tcBorders>
            <w:vAlign w:val="center"/>
          </w:tcPr>
          <w:p>
            <w:pPr>
              <w:pStyle w:val="10"/>
              <w:widowControl w:val="0"/>
              <w:snapToGrid w:val="0"/>
              <w:spacing w:before="0" w:after="0" w:line="600" w:lineRule="exact"/>
              <w:ind w:left="0" w:firstLine="0"/>
              <w:jc w:val="center"/>
              <w:rPr>
                <w:rFonts w:ascii="宋体;SimSun" w:hAnsi="宋体;SimSun" w:cs="宋体;SimSun"/>
                <w:color w:val="000000"/>
                <w:sz w:val="21"/>
                <w:szCs w:val="21"/>
              </w:rPr>
            </w:pPr>
          </w:p>
        </w:tc>
        <w:tc>
          <w:tcPr>
            <w:tcW w:w="5341" w:type="dxa"/>
            <w:tcBorders>
              <w:bottom w:val="single" w:color="000000" w:sz="8" w:space="0"/>
              <w:right w:val="single" w:color="000000" w:sz="8" w:space="0"/>
            </w:tcBorders>
            <w:vAlign w:val="center"/>
          </w:tcPr>
          <w:p>
            <w:pPr>
              <w:pStyle w:val="10"/>
              <w:widowControl w:val="0"/>
              <w:tabs>
                <w:tab w:val="left" w:pos="2604"/>
              </w:tabs>
              <w:snapToGrid w:val="0"/>
              <w:spacing w:before="0" w:after="0" w:line="600" w:lineRule="exact"/>
              <w:ind w:left="0" w:firstLine="0"/>
              <w:jc w:val="both"/>
              <w:rPr>
                <w:rFonts w:ascii="宋体;SimSun" w:hAnsi="宋体;SimSun" w:cs="宋体;SimSun"/>
                <w:color w:val="000000"/>
                <w:sz w:val="21"/>
                <w:szCs w:val="21"/>
              </w:rPr>
            </w:pPr>
          </w:p>
        </w:tc>
        <w:tc>
          <w:tcPr>
            <w:tcW w:w="5824" w:type="dxa"/>
            <w:tcBorders>
              <w:bottom w:val="single" w:color="000000" w:sz="8" w:space="0"/>
              <w:right w:val="single" w:color="000000" w:sz="8" w:space="0"/>
            </w:tcBorders>
            <w:vAlign w:val="center"/>
          </w:tcPr>
          <w:p>
            <w:pPr>
              <w:pStyle w:val="10"/>
              <w:widowControl w:val="0"/>
              <w:snapToGrid w:val="0"/>
              <w:spacing w:before="0" w:after="0" w:line="600" w:lineRule="exact"/>
              <w:ind w:left="0" w:firstLine="0"/>
              <w:jc w:val="both"/>
              <w:rPr>
                <w:rFonts w:ascii="宋体;SimSun" w:hAnsi="宋体;SimSun" w:cs="宋体;SimSun"/>
                <w:color w:val="000000"/>
                <w:sz w:val="21"/>
                <w:szCs w:val="21"/>
              </w:rPr>
            </w:pPr>
          </w:p>
        </w:tc>
        <w:tc>
          <w:tcPr>
            <w:tcW w:w="788" w:type="dxa"/>
            <w:tcBorders>
              <w:bottom w:val="single" w:color="000000" w:sz="8" w:space="0"/>
              <w:right w:val="single" w:color="000000" w:sz="8" w:space="0"/>
            </w:tcBorders>
            <w:tcMar>
              <w:top w:w="0" w:type="dxa"/>
              <w:left w:w="0" w:type="dxa"/>
              <w:right w:w="0" w:type="dxa"/>
            </w:tcMar>
            <w:vAlign w:val="center"/>
          </w:tcPr>
          <w:p>
            <w:pPr>
              <w:pStyle w:val="10"/>
              <w:widowControl w:val="0"/>
              <w:tabs>
                <w:tab w:val="left" w:pos="2604"/>
              </w:tabs>
              <w:snapToGrid w:val="0"/>
              <w:spacing w:before="0" w:after="0" w:line="600" w:lineRule="exact"/>
              <w:ind w:left="0" w:firstLine="0"/>
              <w:jc w:val="center"/>
              <w:rPr>
                <w:rFonts w:hint="default" w:ascii="宋体;SimSun" w:hAnsi="宋体;SimSun" w:eastAsia="宋体;SimSun" w:cs="宋体;SimSun"/>
                <w:color w:val="000000"/>
                <w:sz w:val="21"/>
                <w:szCs w:val="21"/>
                <w:lang w:val="en-US" w:eastAsia="zh-CN"/>
              </w:rPr>
            </w:pPr>
            <w:r>
              <w:rPr>
                <w:rFonts w:hint="eastAsia" w:ascii="宋体;SimSun" w:hAnsi="宋体;SimSun" w:cs="宋体;SimSun"/>
                <w:color w:val="000000"/>
                <w:sz w:val="21"/>
                <w:szCs w:val="21"/>
                <w:lang w:val="en-US" w:eastAsia="zh-CN"/>
              </w:rPr>
              <w:t>97</w:t>
            </w:r>
          </w:p>
        </w:tc>
      </w:tr>
    </w:tbl>
    <w:p>
      <w:pPr>
        <w:pStyle w:val="5"/>
        <w:widowControl/>
        <w:spacing w:line="600" w:lineRule="exact"/>
        <w:ind w:left="147" w:hanging="147"/>
        <w:rPr>
          <w:rFonts w:ascii="仿宋" w:hAnsi="仿宋" w:eastAsia="仿宋" w:cs="仿宋"/>
          <w:sz w:val="32"/>
          <w:szCs w:val="32"/>
        </w:rPr>
      </w:pPr>
    </w:p>
    <w:sectPr>
      <w:headerReference r:id="rId3" w:type="default"/>
      <w:footerReference r:id="rId4" w:type="default"/>
      <w:pgSz w:w="16838" w:h="11906" w:orient="landscape"/>
      <w:pgMar w:top="1701" w:right="1440" w:bottom="1701" w:left="1440" w:header="851" w:footer="992"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宋体;SimSun">
    <w:altName w:val="宋体"/>
    <w:panose1 w:val="00000000000000000000"/>
    <w:charset w:val="00"/>
    <w:family w:val="auto"/>
    <w:pitch w:val="default"/>
    <w:sig w:usb0="00000000" w:usb1="00000000" w:usb2="00000000" w:usb3="00000000" w:csb0="00000000" w:csb1="00000000"/>
  </w:font>
  <w:font w:name="方正小标宋_GBK;微软雅黑">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70" w:hanging="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6"/>
      <w:suff w:val="nothing"/>
      <w:lvlText w:val=""/>
      <w:lvlJc w:val="left"/>
      <w:pPr>
        <w:tabs>
          <w:tab w:val="left" w:pos="0"/>
        </w:tabs>
        <w:ind w:left="0" w:firstLine="0"/>
      </w:pPr>
    </w:lvl>
    <w:lvl w:ilvl="1" w:tentative="0">
      <w:start w:val="1"/>
      <w:numFmt w:val="none"/>
      <w:pStyle w:val="7"/>
      <w:suff w:val="nothing"/>
      <w:lvlText w:val=""/>
      <w:lvlJc w:val="left"/>
      <w:pPr>
        <w:tabs>
          <w:tab w:val="left" w:pos="0"/>
        </w:tabs>
        <w:ind w:left="0" w:firstLine="0"/>
      </w:pPr>
    </w:lvl>
    <w:lvl w:ilvl="2" w:tentative="0">
      <w:start w:val="1"/>
      <w:numFmt w:val="none"/>
      <w:pStyle w:val="8"/>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JlZTVlMTc4NTRkNzViNWRiZjVmZWI1OGNmMWUxNTEifQ=="/>
  </w:docVars>
  <w:rsids>
    <w:rsidRoot w:val="00000000"/>
    <w:rsid w:val="00C65DF4"/>
    <w:rsid w:val="01050F70"/>
    <w:rsid w:val="019A2CC6"/>
    <w:rsid w:val="028B2B67"/>
    <w:rsid w:val="16D63A45"/>
    <w:rsid w:val="181632C9"/>
    <w:rsid w:val="1B990655"/>
    <w:rsid w:val="1E3901B0"/>
    <w:rsid w:val="1EDE4A38"/>
    <w:rsid w:val="208C3EE5"/>
    <w:rsid w:val="253C6270"/>
    <w:rsid w:val="274C283B"/>
    <w:rsid w:val="2ADE08E0"/>
    <w:rsid w:val="3CB3720C"/>
    <w:rsid w:val="3F8A7058"/>
    <w:rsid w:val="405E2CB1"/>
    <w:rsid w:val="445C0065"/>
    <w:rsid w:val="45D7153C"/>
    <w:rsid w:val="47A21D78"/>
    <w:rsid w:val="4A2E0B0A"/>
    <w:rsid w:val="4B4969B6"/>
    <w:rsid w:val="4C0702C6"/>
    <w:rsid w:val="510165E7"/>
    <w:rsid w:val="51786412"/>
    <w:rsid w:val="51EA2561"/>
    <w:rsid w:val="5B896981"/>
    <w:rsid w:val="5E1D4AC7"/>
    <w:rsid w:val="63537FB8"/>
    <w:rsid w:val="69A2243F"/>
    <w:rsid w:val="6B157B1F"/>
    <w:rsid w:val="78327331"/>
    <w:rsid w:val="78D162F6"/>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sz w:val="21"/>
      <w:szCs w:val="24"/>
      <w:lang w:val="en-US" w:eastAsia="zh-CN" w:bidi="hi-I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customStyle="1" w:styleId="5">
    <w:name w:val="正文1"/>
    <w:qFormat/>
    <w:uiPriority w:val="0"/>
    <w:pPr>
      <w:widowControl w:val="0"/>
      <w:suppressAutoHyphens w:val="0"/>
      <w:bidi w:val="0"/>
      <w:spacing w:before="0" w:after="0" w:line="320" w:lineRule="exact"/>
      <w:ind w:left="150" w:hanging="150"/>
      <w:jc w:val="both"/>
    </w:pPr>
    <w:rPr>
      <w:rFonts w:ascii="Calibri" w:hAnsi="Calibri" w:eastAsia="宋体;SimSun" w:cs="Times New Roman"/>
      <w:color w:val="auto"/>
      <w:kern w:val="2"/>
      <w:sz w:val="21"/>
      <w:szCs w:val="22"/>
      <w:lang w:val="en-US" w:eastAsia="zh-CN" w:bidi="ar-SA"/>
    </w:rPr>
  </w:style>
  <w:style w:type="paragraph" w:customStyle="1" w:styleId="6">
    <w:name w:val="标题 11"/>
    <w:basedOn w:val="5"/>
    <w:next w:val="5"/>
    <w:qFormat/>
    <w:uiPriority w:val="0"/>
    <w:pPr>
      <w:numPr>
        <w:ilvl w:val="0"/>
        <w:numId w:val="1"/>
      </w:numPr>
      <w:spacing w:before="280" w:after="280" w:line="240" w:lineRule="auto"/>
      <w:ind w:left="0" w:firstLine="0"/>
      <w:jc w:val="left"/>
      <w:outlineLvl w:val="0"/>
    </w:pPr>
    <w:rPr>
      <w:rFonts w:ascii="宋体;SimSun" w:hAnsi="宋体;SimSun" w:cs="宋体;SimSun"/>
      <w:b/>
      <w:kern w:val="2"/>
      <w:sz w:val="48"/>
      <w:szCs w:val="48"/>
    </w:rPr>
  </w:style>
  <w:style w:type="paragraph" w:customStyle="1" w:styleId="7">
    <w:name w:val="标题 21"/>
    <w:basedOn w:val="5"/>
    <w:next w:val="5"/>
    <w:qFormat/>
    <w:uiPriority w:val="0"/>
    <w:pPr>
      <w:numPr>
        <w:ilvl w:val="1"/>
        <w:numId w:val="1"/>
      </w:numPr>
      <w:spacing w:before="280" w:after="280" w:line="240" w:lineRule="auto"/>
      <w:ind w:left="0" w:firstLine="0"/>
      <w:jc w:val="left"/>
      <w:outlineLvl w:val="1"/>
    </w:pPr>
    <w:rPr>
      <w:rFonts w:ascii="宋体;SimSun" w:hAnsi="宋体;SimSun" w:cs="宋体;SimSun"/>
      <w:b/>
      <w:kern w:val="0"/>
      <w:sz w:val="36"/>
      <w:szCs w:val="36"/>
    </w:rPr>
  </w:style>
  <w:style w:type="paragraph" w:customStyle="1" w:styleId="8">
    <w:name w:val="标题 31"/>
    <w:basedOn w:val="5"/>
    <w:next w:val="5"/>
    <w:qFormat/>
    <w:uiPriority w:val="0"/>
    <w:pPr>
      <w:numPr>
        <w:ilvl w:val="2"/>
        <w:numId w:val="1"/>
      </w:numPr>
      <w:spacing w:before="280" w:after="280" w:line="240" w:lineRule="auto"/>
      <w:ind w:left="0" w:firstLine="0"/>
      <w:jc w:val="left"/>
      <w:outlineLvl w:val="2"/>
    </w:pPr>
    <w:rPr>
      <w:rFonts w:ascii="宋体;SimSun" w:hAnsi="宋体;SimSun" w:cs="宋体;SimSun"/>
      <w:b/>
      <w:kern w:val="0"/>
      <w:sz w:val="27"/>
      <w:szCs w:val="27"/>
    </w:rPr>
  </w:style>
  <w:style w:type="paragraph" w:customStyle="1" w:styleId="9">
    <w:name w:val="页脚1"/>
    <w:basedOn w:val="5"/>
    <w:qFormat/>
    <w:uiPriority w:val="0"/>
    <w:pPr>
      <w:tabs>
        <w:tab w:val="center" w:pos="4153"/>
        <w:tab w:val="right" w:pos="8306"/>
      </w:tabs>
      <w:snapToGrid w:val="0"/>
      <w:spacing w:line="240" w:lineRule="atLeast"/>
      <w:jc w:val="left"/>
    </w:pPr>
    <w:rPr>
      <w:sz w:val="18"/>
      <w:szCs w:val="18"/>
    </w:rPr>
  </w:style>
  <w:style w:type="paragraph" w:customStyle="1" w:styleId="10">
    <w:name w:val="普通(网站)1"/>
    <w:basedOn w:val="5"/>
    <w:qFormat/>
    <w:uiPriority w:val="0"/>
    <w:pPr>
      <w:spacing w:before="280" w:after="280" w:line="240" w:lineRule="auto"/>
      <w:ind w:left="0" w:firstLine="0"/>
      <w:jc w:val="left"/>
    </w:pPr>
    <w:rPr>
      <w:rFonts w:ascii="Times New Roman" w:hAnsi="Times New Roman" w:cs="Times New Roman"/>
      <w:kern w:val="0"/>
      <w:sz w:val="24"/>
      <w:szCs w:val="24"/>
    </w:rPr>
  </w:style>
  <w:style w:type="paragraph" w:customStyle="1" w:styleId="11">
    <w:name w:val="页眉1"/>
    <w:basedOn w:val="5"/>
    <w:qFormat/>
    <w:uiPriority w:val="0"/>
    <w:pPr>
      <w:pBdr>
        <w:bottom w:val="single" w:color="000000" w:sz="6" w:space="1"/>
      </w:pBdr>
      <w:tabs>
        <w:tab w:val="center" w:pos="4153"/>
        <w:tab w:val="right" w:pos="8306"/>
      </w:tabs>
      <w:snapToGrid w:val="0"/>
      <w:spacing w:line="240" w:lineRule="atLeast"/>
      <w:jc w:val="center"/>
    </w:pPr>
    <w:rPr>
      <w:sz w:val="18"/>
      <w:szCs w:val="18"/>
    </w:rPr>
  </w:style>
  <w:style w:type="paragraph" w:customStyle="1" w:styleId="12">
    <w:name w:val="p0"/>
    <w:basedOn w:val="5"/>
    <w:qFormat/>
    <w:uiPriority w:val="0"/>
    <w:pPr>
      <w:widowControl/>
      <w:spacing w:line="240" w:lineRule="auto"/>
      <w:ind w:left="0" w:firstLine="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3598</Words>
  <Characters>3743</Characters>
  <Paragraphs>386</Paragraphs>
  <TotalTime>52</TotalTime>
  <ScaleCrop>false</ScaleCrop>
  <LinksUpToDate>false</LinksUpToDate>
  <CharactersWithSpaces>3744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2020-11-04T21:22:00Z</dcterms:created>
  <dc:creator>xbany</dc:creator>
  <cp:keywords>  </cp:keywords>
  <cp:lastModifiedBy>Administrator</cp:lastModifiedBy>
  <cp:lastPrinted>2021-07-27T03:27:00Z</cp:lastPrinted>
  <dcterms:modified xsi:type="dcterms:W3CDTF">2022-10-16T17:48:50Z</dcterms:modified>
  <dc:title>新邵县财政局关于开展县交警大队部门</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D8A61E4E8F3B42679B098AE08EA463F8</vt:lpwstr>
  </property>
</Properties>
</file>