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新邵县第一中学2019年度部门整体支出绩效自评报告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b/>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宋体" w:hAnsi="宋体" w:eastAsia="宋体" w:cs="宋体"/>
          <w:b w:val="0"/>
          <w:i w:val="0"/>
          <w:caps w:val="0"/>
          <w:color w:val="1E1E1E"/>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宋体" w:hAnsi="宋体" w:eastAsia="宋体" w:cs="宋体"/>
          <w:b w:val="0"/>
          <w:i w:val="0"/>
          <w:caps w:val="0"/>
          <w:color w:val="1E1E1E"/>
          <w:spacing w:val="0"/>
          <w:kern w:val="0"/>
          <w:sz w:val="30"/>
          <w:szCs w:val="30"/>
          <w:lang w:val="en-US" w:eastAsia="zh-CN" w:bidi="ar"/>
        </w:rPr>
        <w:t>一、部门概况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pPr>
      <w:r>
        <w:rPr>
          <w:rFonts w:hint="eastAsia" w:ascii="宋体" w:hAnsi="宋体" w:eastAsia="宋体" w:cs="宋体"/>
          <w:b w:val="0"/>
          <w:i w:val="0"/>
          <w:caps w:val="0"/>
          <w:color w:val="1E1E1E"/>
          <w:spacing w:val="0"/>
          <w:sz w:val="30"/>
          <w:szCs w:val="30"/>
          <w:shd w:val="clear" w:fill="FFFFFF"/>
        </w:rPr>
        <w:t>（一）部门基本情况：</w:t>
      </w:r>
      <w:r>
        <w:rPr>
          <w:rFonts w:hint="eastAsia" w:ascii="宋体" w:hAnsi="宋体" w:eastAsia="宋体" w:cs="宋体"/>
          <w:i w:val="0"/>
          <w:caps w:val="0"/>
          <w:color w:val="333333"/>
          <w:spacing w:val="0"/>
          <w:sz w:val="28"/>
          <w:szCs w:val="28"/>
          <w:shd w:val="clear" w:fill="FFFFFF"/>
        </w:rPr>
        <w:t>新邵县第一中学是一所省示范性普通高级中学，创建于</w:t>
      </w:r>
      <w:r>
        <w:rPr>
          <w:rFonts w:ascii="Arial" w:hAnsi="Arial" w:eastAsia="微软雅黑" w:cs="Arial"/>
          <w:i w:val="0"/>
          <w:caps w:val="0"/>
          <w:color w:val="333333"/>
          <w:spacing w:val="0"/>
          <w:sz w:val="28"/>
          <w:szCs w:val="28"/>
          <w:shd w:val="clear" w:fill="FFFFFF"/>
        </w:rPr>
        <w:t>1949</w:t>
      </w:r>
      <w:r>
        <w:rPr>
          <w:rFonts w:hint="eastAsia" w:ascii="宋体" w:hAnsi="宋体" w:eastAsia="宋体" w:cs="宋体"/>
          <w:i w:val="0"/>
          <w:caps w:val="0"/>
          <w:color w:val="333333"/>
          <w:spacing w:val="0"/>
          <w:sz w:val="28"/>
          <w:szCs w:val="28"/>
          <w:shd w:val="clear" w:fill="FFFFFF"/>
        </w:rPr>
        <w:t>年，其前身为私立泰清中学，</w:t>
      </w:r>
      <w:r>
        <w:rPr>
          <w:rFonts w:hint="default" w:ascii="Arial" w:hAnsi="Arial" w:eastAsia="微软雅黑" w:cs="Arial"/>
          <w:i w:val="0"/>
          <w:caps w:val="0"/>
          <w:color w:val="333333"/>
          <w:spacing w:val="0"/>
          <w:sz w:val="28"/>
          <w:szCs w:val="28"/>
          <w:shd w:val="clear" w:fill="FFFFFF"/>
        </w:rPr>
        <w:t>1952</w:t>
      </w:r>
      <w:r>
        <w:rPr>
          <w:rFonts w:hint="eastAsia" w:ascii="宋体" w:hAnsi="宋体" w:eastAsia="宋体" w:cs="宋体"/>
          <w:i w:val="0"/>
          <w:caps w:val="0"/>
          <w:color w:val="000000"/>
          <w:spacing w:val="0"/>
          <w:sz w:val="28"/>
          <w:szCs w:val="28"/>
          <w:shd w:val="clear" w:fill="FFFFFF"/>
        </w:rPr>
        <w:t>年迁至</w:t>
      </w:r>
      <w:r>
        <w:rPr>
          <w:rFonts w:hint="eastAsia" w:ascii="微软雅黑" w:hAnsi="微软雅黑" w:eastAsia="微软雅黑" w:cs="微软雅黑"/>
          <w:i w:val="0"/>
          <w:caps w:val="0"/>
          <w:color w:val="1E1E1E"/>
          <w:spacing w:val="0"/>
          <w:sz w:val="22"/>
          <w:szCs w:val="22"/>
          <w:u w:val="none"/>
          <w:shd w:val="clear" w:fill="FFFFFF"/>
        </w:rPr>
        <w:fldChar w:fldCharType="begin"/>
      </w:r>
      <w:r>
        <w:rPr>
          <w:rFonts w:hint="eastAsia" w:ascii="微软雅黑" w:hAnsi="微软雅黑" w:eastAsia="微软雅黑" w:cs="微软雅黑"/>
          <w:i w:val="0"/>
          <w:caps w:val="0"/>
          <w:color w:val="1E1E1E"/>
          <w:spacing w:val="0"/>
          <w:sz w:val="22"/>
          <w:szCs w:val="22"/>
          <w:u w:val="none"/>
          <w:shd w:val="clear" w:fill="FFFFFF"/>
        </w:rPr>
        <w:instrText xml:space="preserve"> HYPERLINK "https://baike.so.com/doc/5333583-5569019.html" </w:instrText>
      </w:r>
      <w:r>
        <w:rPr>
          <w:rFonts w:hint="eastAsia" w:ascii="微软雅黑" w:hAnsi="微软雅黑" w:eastAsia="微软雅黑" w:cs="微软雅黑"/>
          <w:i w:val="0"/>
          <w:caps w:val="0"/>
          <w:color w:val="1E1E1E"/>
          <w:spacing w:val="0"/>
          <w:sz w:val="22"/>
          <w:szCs w:val="22"/>
          <w:u w:val="none"/>
          <w:shd w:val="clear" w:fill="FFFFFF"/>
        </w:rPr>
        <w:fldChar w:fldCharType="separate"/>
      </w:r>
      <w:r>
        <w:rPr>
          <w:rStyle w:val="8"/>
          <w:rFonts w:hint="eastAsia" w:ascii="宋体" w:hAnsi="宋体" w:eastAsia="宋体" w:cs="宋体"/>
          <w:i w:val="0"/>
          <w:caps w:val="0"/>
          <w:color w:val="000000"/>
          <w:spacing w:val="0"/>
          <w:sz w:val="28"/>
          <w:szCs w:val="28"/>
          <w:u w:val="none"/>
          <w:shd w:val="clear" w:fill="FFFFFF"/>
        </w:rPr>
        <w:t>新邵县</w:t>
      </w:r>
      <w:r>
        <w:rPr>
          <w:rFonts w:hint="eastAsia" w:ascii="微软雅黑" w:hAnsi="微软雅黑" w:eastAsia="微软雅黑" w:cs="微软雅黑"/>
          <w:i w:val="0"/>
          <w:caps w:val="0"/>
          <w:color w:val="1E1E1E"/>
          <w:spacing w:val="0"/>
          <w:sz w:val="22"/>
          <w:szCs w:val="22"/>
          <w:u w:val="none"/>
          <w:shd w:val="clear" w:fill="FFFFFF"/>
        </w:rPr>
        <w:fldChar w:fldCharType="end"/>
      </w:r>
      <w:r>
        <w:rPr>
          <w:rFonts w:hint="eastAsia" w:ascii="宋体" w:hAnsi="宋体" w:eastAsia="宋体" w:cs="宋体"/>
          <w:i w:val="0"/>
          <w:caps w:val="0"/>
          <w:color w:val="000000"/>
          <w:spacing w:val="0"/>
          <w:sz w:val="28"/>
          <w:szCs w:val="28"/>
          <w:shd w:val="clear" w:fill="FFFFFF"/>
        </w:rPr>
        <w:t>酿溪镇，更名为新邵县第一初级中学</w:t>
      </w:r>
      <w:r>
        <w:rPr>
          <w:rFonts w:hint="default" w:ascii="Arial" w:hAnsi="Arial" w:eastAsia="微软雅黑" w:cs="Arial"/>
          <w:i w:val="0"/>
          <w:caps w:val="0"/>
          <w:color w:val="000000"/>
          <w:spacing w:val="0"/>
          <w:sz w:val="28"/>
          <w:szCs w:val="28"/>
          <w:shd w:val="clear" w:fill="FFFFFF"/>
        </w:rPr>
        <w:t>;1958</w:t>
      </w:r>
      <w:r>
        <w:rPr>
          <w:rFonts w:hint="eastAsia" w:ascii="宋体" w:hAnsi="宋体" w:eastAsia="宋体" w:cs="宋体"/>
          <w:i w:val="0"/>
          <w:caps w:val="0"/>
          <w:color w:val="000000"/>
          <w:spacing w:val="0"/>
          <w:sz w:val="28"/>
          <w:szCs w:val="28"/>
          <w:shd w:val="clear" w:fill="FFFFFF"/>
        </w:rPr>
        <w:t>年创办高中部</w:t>
      </w:r>
      <w:r>
        <w:rPr>
          <w:rFonts w:hint="eastAsia" w:ascii="宋体" w:hAnsi="宋体" w:eastAsia="宋体" w:cs="宋体"/>
          <w:i w:val="0"/>
          <w:caps w:val="0"/>
          <w:color w:val="333333"/>
          <w:spacing w:val="0"/>
          <w:sz w:val="28"/>
          <w:szCs w:val="28"/>
          <w:shd w:val="clear" w:fill="FFFFFF"/>
        </w:rPr>
        <w:t>，发展成完全中学。</w:t>
      </w:r>
      <w:r>
        <w:rPr>
          <w:rFonts w:hint="default" w:ascii="Arial" w:hAnsi="Arial" w:eastAsia="微软雅黑" w:cs="Arial"/>
          <w:i w:val="0"/>
          <w:caps w:val="0"/>
          <w:color w:val="333333"/>
          <w:spacing w:val="0"/>
          <w:sz w:val="28"/>
          <w:szCs w:val="28"/>
          <w:shd w:val="clear" w:fill="FFFFFF"/>
        </w:rPr>
        <w:t> 1959</w:t>
      </w:r>
      <w:r>
        <w:rPr>
          <w:rFonts w:hint="eastAsia" w:ascii="宋体" w:hAnsi="宋体" w:eastAsia="宋体" w:cs="宋体"/>
          <w:i w:val="0"/>
          <w:caps w:val="0"/>
          <w:color w:val="333333"/>
          <w:spacing w:val="0"/>
          <w:sz w:val="28"/>
          <w:szCs w:val="28"/>
          <w:shd w:val="clear" w:fill="FFFFFF"/>
        </w:rPr>
        <w:t>年更名为新邵县第一中学。</w:t>
      </w:r>
      <w:r>
        <w:rPr>
          <w:rFonts w:hint="default" w:ascii="Arial" w:hAnsi="Arial" w:eastAsia="微软雅黑" w:cs="Arial"/>
          <w:i w:val="0"/>
          <w:caps w:val="0"/>
          <w:color w:val="333333"/>
          <w:spacing w:val="0"/>
          <w:sz w:val="28"/>
          <w:szCs w:val="28"/>
          <w:shd w:val="clear" w:fill="FFFFFF"/>
        </w:rPr>
        <w:t>1992</w:t>
      </w:r>
      <w:r>
        <w:rPr>
          <w:rFonts w:hint="eastAsia" w:ascii="宋体" w:hAnsi="宋体" w:eastAsia="宋体" w:cs="宋体"/>
          <w:i w:val="0"/>
          <w:caps w:val="0"/>
          <w:color w:val="333333"/>
          <w:spacing w:val="0"/>
          <w:sz w:val="28"/>
          <w:szCs w:val="28"/>
          <w:shd w:val="clear" w:fill="FFFFFF"/>
        </w:rPr>
        <w:t>年，撤销初中部，成为一所独立的普通高级中学。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pPr>
      <w:r>
        <w:rPr>
          <w:rFonts w:hint="eastAsia" w:ascii="宋体" w:hAnsi="宋体" w:eastAsia="宋体" w:cs="宋体"/>
          <w:i w:val="0"/>
          <w:caps w:val="0"/>
          <w:color w:val="333333"/>
          <w:spacing w:val="0"/>
          <w:sz w:val="28"/>
          <w:szCs w:val="28"/>
          <w:shd w:val="clear" w:fill="FFFFFF"/>
        </w:rPr>
        <w:t>现学校占地106720平方米，建筑面积62348平方米。学校有57个教学班，3200余名学生。学校设有</w:t>
      </w:r>
      <w:r>
        <w:rPr>
          <w:rFonts w:hint="eastAsia" w:ascii="宋体" w:hAnsi="宋体" w:eastAsia="宋体" w:cs="宋体"/>
          <w:b w:val="0"/>
          <w:i w:val="0"/>
          <w:caps w:val="0"/>
          <w:color w:val="555555"/>
          <w:spacing w:val="0"/>
          <w:sz w:val="28"/>
          <w:szCs w:val="28"/>
          <w:shd w:val="clear" w:fill="FFFFFF"/>
        </w:rPr>
        <w:t>办公室、教务处、教研</w:t>
      </w:r>
      <w:r>
        <w:rPr>
          <w:rFonts w:hint="eastAsia" w:ascii="宋体" w:hAnsi="宋体" w:eastAsia="宋体" w:cs="宋体"/>
          <w:b w:val="0"/>
          <w:i w:val="0"/>
          <w:caps w:val="0"/>
          <w:color w:val="555555"/>
          <w:spacing w:val="0"/>
          <w:sz w:val="30"/>
          <w:szCs w:val="30"/>
          <w:shd w:val="clear" w:fill="FFFFFF"/>
        </w:rPr>
        <w:t>处、德育处、总务处、体艺处、</w:t>
      </w:r>
      <w:r>
        <w:rPr>
          <w:rFonts w:hint="eastAsia" w:ascii="宋体" w:hAnsi="宋体" w:eastAsia="宋体" w:cs="宋体"/>
          <w:b w:val="0"/>
          <w:i w:val="0"/>
          <w:caps w:val="0"/>
          <w:color w:val="555555"/>
          <w:spacing w:val="0"/>
          <w:sz w:val="28"/>
          <w:szCs w:val="28"/>
          <w:shd w:val="clear" w:fill="FFFFFF"/>
        </w:rPr>
        <w:t>工会、团委</w:t>
      </w:r>
      <w:r>
        <w:rPr>
          <w:rFonts w:hint="eastAsia" w:ascii="宋体" w:hAnsi="宋体" w:eastAsia="宋体" w:cs="宋体"/>
          <w:b w:val="0"/>
          <w:i w:val="0"/>
          <w:caps w:val="0"/>
          <w:color w:val="555555"/>
          <w:spacing w:val="0"/>
          <w:sz w:val="30"/>
          <w:szCs w:val="30"/>
          <w:shd w:val="clear" w:fill="FFFFFF"/>
        </w:rPr>
        <w:t>等机构。单位编制为280人（其中在职人员264人，</w:t>
      </w:r>
      <w:r>
        <w:rPr>
          <w:rFonts w:hint="eastAsia" w:ascii="宋体" w:hAnsi="宋体" w:eastAsia="宋体" w:cs="宋体"/>
          <w:b w:val="0"/>
          <w:i w:val="0"/>
          <w:caps w:val="0"/>
          <w:color w:val="1E1E1E"/>
          <w:spacing w:val="0"/>
          <w:sz w:val="30"/>
          <w:szCs w:val="30"/>
          <w:shd w:val="clear" w:fill="FFFFFF"/>
        </w:rPr>
        <w:t>退休人员83人，编制外聘用人员6人</w:t>
      </w:r>
      <w:r>
        <w:rPr>
          <w:rFonts w:hint="eastAsia" w:ascii="宋体" w:hAnsi="宋体" w:eastAsia="宋体" w:cs="宋体"/>
          <w:b w:val="0"/>
          <w:i w:val="0"/>
          <w:caps w:val="0"/>
          <w:color w:val="555555"/>
          <w:spacing w:val="0"/>
          <w:sz w:val="30"/>
          <w:szCs w:val="30"/>
          <w:shd w:val="clear" w:fill="FFFFFF"/>
        </w:rPr>
        <w:t>）。我校没有下属机构，就是本级。本决算数据不包含下属二级单位或机构的决算数据。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宋体" w:hAnsi="宋体" w:eastAsia="宋体" w:cs="宋体"/>
          <w:b w:val="0"/>
          <w:i w:val="0"/>
          <w:caps w:val="0"/>
          <w:color w:val="1E1E1E"/>
          <w:spacing w:val="0"/>
          <w:kern w:val="0"/>
          <w:sz w:val="28"/>
          <w:szCs w:val="28"/>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1、遵守法律、法规；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0"/>
        <w:jc w:val="left"/>
      </w:pPr>
      <w:r>
        <w:rPr>
          <w:rFonts w:hint="eastAsia" w:ascii="宋体" w:hAnsi="宋体" w:eastAsia="宋体" w:cs="宋体"/>
          <w:b w:val="0"/>
          <w:i w:val="0"/>
          <w:caps w:val="0"/>
          <w:color w:val="1E1E1E"/>
          <w:spacing w:val="0"/>
          <w:kern w:val="0"/>
          <w:sz w:val="28"/>
          <w:szCs w:val="28"/>
          <w:lang w:val="en-US" w:eastAsia="zh-CN" w:bidi="ar"/>
        </w:rPr>
        <w:t>2、贯彻国家的教育方针，执行国家教育教学标准，保证教育教学质量；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3、维护受教育者、教师及其他职工的合法权益；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00"/>
        <w:jc w:val="left"/>
      </w:pPr>
      <w:r>
        <w:rPr>
          <w:rFonts w:hint="eastAsia" w:ascii="宋体" w:hAnsi="宋体" w:eastAsia="宋体" w:cs="宋体"/>
          <w:b w:val="0"/>
          <w:i w:val="0"/>
          <w:caps w:val="0"/>
          <w:color w:val="1E1E1E"/>
          <w:spacing w:val="0"/>
          <w:kern w:val="0"/>
          <w:sz w:val="28"/>
          <w:szCs w:val="28"/>
          <w:lang w:val="en-US" w:eastAsia="zh-CN" w:bidi="ar"/>
        </w:rPr>
        <w:t>4、以适当方式为受教育者及其监护人了解受教育者的学业成及其他有关情况提供便利；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5、遵照国家有关规定收取费用并公开收费项目；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6、依法接受监督；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7、按照章程自主管理；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8、组织实施教育教学活动；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9、招收学生或者其他受教育者；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10、对受教育者进行学籍管理，实施奖励或者处分；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11、对受教育者颁发相应的学业证书；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12、聘任教师及其他职工，实施奖励或者处分；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13、管理、使用本单位的设施和经费；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14、拒绝任何组织和个人对教育教学活动的非法干涉。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60" w:right="0" w:firstLine="140"/>
        <w:jc w:val="left"/>
      </w:pPr>
      <w:r>
        <w:rPr>
          <w:rFonts w:hint="eastAsia" w:ascii="宋体" w:hAnsi="宋体" w:eastAsia="宋体" w:cs="宋体"/>
          <w:b w:val="0"/>
          <w:i w:val="0"/>
          <w:caps w:val="0"/>
          <w:color w:val="1E1E1E"/>
          <w:spacing w:val="0"/>
          <w:kern w:val="0"/>
          <w:sz w:val="28"/>
          <w:szCs w:val="28"/>
          <w:lang w:val="en-US" w:eastAsia="zh-CN" w:bidi="ar"/>
        </w:rPr>
        <w:t>15、县教育局交办的其他事项。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宋体" w:hAnsi="宋体" w:eastAsia="宋体" w:cs="宋体"/>
          <w:b w:val="0"/>
          <w:i w:val="0"/>
          <w:caps w:val="0"/>
          <w:color w:val="1E1E1E"/>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（三）2019年度工作计划。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薪火相传育人路，风正海阔好扬帆。2019年，为在追梦中发展，在引领中提升，办好人民满意教育，我校根据2019年县</w:t>
      </w:r>
      <w:bookmarkStart w:id="2" w:name="_GoBack"/>
      <w:bookmarkEnd w:id="2"/>
      <w:r>
        <w:rPr>
          <w:rFonts w:hint="eastAsia" w:ascii="宋体" w:hAnsi="宋体" w:eastAsia="宋体" w:cs="宋体"/>
          <w:b w:val="0"/>
          <w:i w:val="0"/>
          <w:caps w:val="0"/>
          <w:color w:val="1E1E1E"/>
          <w:spacing w:val="0"/>
          <w:kern w:val="0"/>
          <w:sz w:val="28"/>
          <w:szCs w:val="28"/>
          <w:lang w:val="en-US" w:eastAsia="zh-CN" w:bidi="ar"/>
        </w:rPr>
        <w:t>教育工作要点，特拟年度工作计划如下：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以党的教育方针为指导，以素质教育为旗帜，以学生发展核心素养为主题，以课改创新能力为重点，以新高考研究为抓手，以完善条件和高水平队伍建设为支撑，以立德树人为任务，以提升教育质量、办人民满意教育为使命，书写教育奋进更加精彩的答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二、工作目标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1、办学水平：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①高考：本一上线300人以上、本二上线650人以上，600分以上高分60人，夺取全县文理科第一名，县前十名中占绝对优势，力争清华北大录取1人以上，超额完成教育局下达的高考预测目标。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②学考：正考合格率95%以上，进入邵阳市省级示范校前7名内；优秀率进入前5名内。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③学科竞赛：力争2019年有更多学生在学科竞赛中获国家级奖励，为学生自主招生创造更好条件。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④艺体竞赛：打造省内一流皮划艇专业队，力争省级以上比赛3枚以上金牌，国家级比赛1人以上获奖；抓好篮球队建设，夺取市篮球比赛第一名；抓好校园足球教学，建设好一支较高水平女子足球队，力争市内比赛前三名；抓好啦啦操、健美操队伍建设，继续保持省级比赛一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2、综合改革：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①课堂模式：构建高效课堂教学模式。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②培优方式：完善清华、北大培训班教育教学模式。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③组织好与新高考相适应的教学改革：加强新高考教学研究，组织好教师、学生、家长培训，建立新高考选课走班管理系统暨生涯规划管理系统，建设好与新高考所需要的硬件设施，实行选课全科走班教学。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④绩效工资：完善教学质量奖励方案。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⑤教育督导：创编《常规教学工作督查简报》。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3、办学条件：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①完善好体艺馆设备设施，充分发挥体艺馆作用。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②利用好空调系统为学生提供一流条件。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③启动智慧校园建设，建设新高考管理平台和大数据平台。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④做好老校门口原预制场征地工作及老校门改建工作。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⑤力争建设一栋30间以上教室，以满足与新高考相适应的选课走班的需要。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⑥力争改造教学楼门窗和家属楼的木质门窗。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⑦力争皮划艇基地建设市县立项，解决好经费。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3、其它工作：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①抓好创卫、创文工作，创建省级文明校园。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②抓好脱贫攻坚工作，圆满完成县里下达的各项工作。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③抓好学生食堂，规范食堂经营行为。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④严格按上级要求征订教材教辅，杜绝私自征订现象。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⑤积极创建省级平安校园和市级综治先进单位。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三、工作措施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（一）加强队伍建设　增强内在活力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1、加强党群组织建设。</w:t>
      </w:r>
      <w:r>
        <w:rPr>
          <w:rFonts w:hint="eastAsia" w:ascii="宋体" w:hAnsi="宋体" w:eastAsia="宋体" w:cs="宋体"/>
          <w:b w:val="0"/>
          <w:i w:val="0"/>
          <w:caps w:val="0"/>
          <w:color w:val="1E1E1E"/>
          <w:spacing w:val="0"/>
          <w:kern w:val="0"/>
          <w:sz w:val="28"/>
          <w:szCs w:val="28"/>
          <w:lang w:val="en-US" w:eastAsia="zh-CN" w:bidi="ar"/>
        </w:rPr>
        <w:t>坚持全面从严治党，探寻学校“党建＋”的有效载体，不断提高党建水平，让党旗飘起来，党员站出来，阵地亮起来，作用强起来，为教育改革发展取得新突破、实现新跨越提供坚强的组织保证，确保学校党建工作、行政工作同向发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2、加强管理队伍建设。加强顶层设计，加强层级管理，一级带着一级干，一级做给一级看，既传导压力，又激发动力，克服“为官不为”和“手电筒只照别人不照自己”的问题，形成良好的“头雁效应”。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3、加强班主任队伍建设。</w:t>
      </w:r>
      <w:r>
        <w:rPr>
          <w:rFonts w:hint="eastAsia" w:ascii="宋体" w:hAnsi="宋体" w:eastAsia="宋体" w:cs="宋体"/>
          <w:b w:val="0"/>
          <w:i w:val="0"/>
          <w:caps w:val="0"/>
          <w:color w:val="1E1E1E"/>
          <w:spacing w:val="0"/>
          <w:kern w:val="0"/>
          <w:sz w:val="28"/>
          <w:szCs w:val="28"/>
          <w:lang w:val="en-US" w:eastAsia="zh-CN" w:bidi="ar"/>
        </w:rPr>
        <w:t>通过“外引内培”的办法，既组织班主任外出学习和培训，又邀请专家到校传经送宝，努力使班主任成为我校立德树人、质量强校的中流砥柱；评选一批优秀班主任。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4、加强师德师风建设。以师德师风建设为“压舱石”，出台一批治根本、管长远的师德师风建设制度，使之与《中小学教师职业道德规范》和《中小学教师违反职业道德行为处理办法》珠</w:t>
      </w:r>
      <w:r>
        <w:rPr>
          <w:rFonts w:hint="eastAsia" w:ascii="宋体" w:hAnsi="宋体" w:eastAsia="宋体" w:cs="宋体"/>
          <w:b w:val="0"/>
          <w:i w:val="0"/>
          <w:caps w:val="0"/>
          <w:color w:val="1E1E1E"/>
          <w:spacing w:val="0"/>
          <w:kern w:val="0"/>
          <w:sz w:val="28"/>
          <w:szCs w:val="28"/>
          <w:lang w:val="en-US" w:eastAsia="zh-CN" w:bidi="ar"/>
        </w:rPr>
        <w:t>联璧合，成为教师的</w:t>
      </w:r>
      <w:r>
        <w:rPr>
          <w:rFonts w:hint="eastAsia" w:ascii="宋体" w:hAnsi="宋体" w:eastAsia="宋体" w:cs="宋体"/>
          <w:b w:val="0"/>
          <w:i w:val="0"/>
          <w:caps w:val="0"/>
          <w:color w:val="000000"/>
          <w:spacing w:val="0"/>
          <w:kern w:val="0"/>
          <w:sz w:val="28"/>
          <w:szCs w:val="28"/>
          <w:lang w:val="en-US" w:eastAsia="zh-CN" w:bidi="ar"/>
        </w:rPr>
        <w:t>价值自觉、行动自觉，引引领广大教师争做“四有”好老师，努力成为“四个引路人”，自觉实现“四个相统一”。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5、健全专业成长机制。明确推进“人才强校”战略的时间表和路线图，继续实行教师与学生同考机制，大力启动“教师读书工程”，持续实施“名师工程”、“青蓝工程”、“青春焕发工程”，重点建立2－3个名师工作室，落实“一师一优课，一课一名师”活动，为教师专业成长创造条件和机会，使之成为更具胜任力教师，让新生代教学力量升腾而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（二）深化内部管理　促进内涵发展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6、理顺管理体制，提升管理效能。管理智慧托底，正风肃纪托举，充分发挥“校长负责制”、“年级主任负责制”、“班主任负责制”“三驾马车”的作用，积极构建以“三线监控”（德育线、教学线、年级线）、“三评促教”（学生评教、家长评教、委托第三方专业机构或同行评教）为主体的教育教学质量保证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7、建设现代学校制度，优化人力资源配置。完成依法办学、自主管理、民主监督、社会参与的现代学校制度的新设计，以“更加现代化”的学校治理，为新常态下的一中发展提供驱动力；完善岗位职责，做实绩效考评，创新绩效工资发放方式和高考、学考奖金发放方案；同时，建立一套科学规范的考核评估体系，在教师聘用、职称评审、评优评先、日常考核、干部选任中，严把政治关、师德关、业绩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8、完善安全防范机制，深化平安学校建设。源头严防，过程严管，后果严惩。重点突出五项工作。一是加大经费投入，确保安全设施设备建设；二是加强预警机制，排查化解影响安全稳定的矛盾纠纷和突出问题；三是加强应急处置，做好敏感期、保障期等关键时间节点的安全稳定工作，开展对突发事件、重大影响、和谐稳定问题的应急处置；四是加强基础建设，制定校园技防、校园交通和安全保卫工作建设的工作意见；五是校园防欺凌，制度“硬”起来，建立秒级响应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（三）优化德育工作　促进校风建设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9、打造特色德育，促进学生成长。一是成立生涯规划指导中心，让生涯规划教育成为学生成长的“发动机”，二是实施学生成长导师制，让学生成长导师制点燃学生成长的“核动力”。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10、突出校风建设，强化养成教育。完善《新邵一中校风建设条例》，以主题班会搭建育人载体，培养学生自我教育能力，分年级、分阶段、分重点抓训练促养成，</w:t>
      </w:r>
      <w:r>
        <w:rPr>
          <w:rFonts w:hint="eastAsia" w:ascii="宋体" w:hAnsi="宋体" w:eastAsia="宋体" w:cs="宋体"/>
          <w:b w:val="0"/>
          <w:i w:val="0"/>
          <w:caps w:val="0"/>
          <w:color w:val="1E1E1E"/>
          <w:spacing w:val="0"/>
          <w:kern w:val="0"/>
          <w:sz w:val="28"/>
          <w:szCs w:val="28"/>
          <w:lang w:val="en-US" w:eastAsia="zh-CN" w:bidi="ar"/>
        </w:rPr>
        <w:t>让学生学会秩序、规则、纪律与谦让；抓好最美学生评选活动。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11、拓展德育空间，激发教育能量。以立德树人为主线，以德育实践活动课程为亮点，以学生社团活动为展台，德育管理无缝隙，德育链条无阻碍，学生道德素质与主体人格的发展无空白。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12、助力家庭建设，涵养教育生态。以学校、家庭、社会“三结合”的德育网络为依托，让家长了解办学理念，焕发家校合作生机，推动家校通力合作，形成家校共管互赢的局面，让学生在家校连通中和谐发展。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（四）加强教学管理，优化教风学风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13、改进工作作风，促进教风建设。抓实做优常规工作，解决工作常规“不落地”问题。一是加强教学常规检查，查处违纪毫不手软，严肃问责敢动真格，力促教师“凡讲必案，凡练必改，凡考必评”；二是开展教学开放周、课堂教学评优和“三评促教”等系列活动；三是打好考勤“组合拳”，继续实行学校领导对教师、教工代表对领导的抽查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14、营造学习氛围，优化学风建设。为增强“缜思、励学、爱国、爱人”学风建设的穿透力，一是开展学风建设专项治理，抓好学生学习常规教育，使纪律和规矩挺在前沿；二是开展优秀传统文化传承暨“书香筑梦”读书活动，营造书香校园氛围；三是创新培优模式，满足学有余力的学生发展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15、启动教研创新计划，着力改变课堂生态。一是完善集体备课模式：备学情、备考纲、备导学案，相互交流，资源共享，让集体备课成为高效课堂的“助推剂”；二是启动选课走班课堂模型创建，努力构建高效课堂，让新高考成为引领教育新一轮发展的新支点和重头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16、丰富师生艺体生活，促进校园艺体文化。抓好大课间活动，发挥体育俱乐部的作用，创建各种社团和兴趣班，展示艺体教学成果，铸就艺体文化之魂，助推学校素质教育发展。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17、加强高考学考管理，提高高考学考质量。建立健全高考、学考质量保障机制，抓责任、抓标准、抓评估、抓激励，直面短板，精准施策，全面、全程、全员关注高考学考、研究高考学考、服务高考学考；</w:t>
      </w:r>
      <w:r>
        <w:rPr>
          <w:rFonts w:hint="eastAsia" w:ascii="宋体" w:hAnsi="宋体" w:eastAsia="宋体" w:cs="宋体"/>
          <w:b w:val="0"/>
          <w:i w:val="0"/>
          <w:caps w:val="0"/>
          <w:color w:val="1E1E1E"/>
          <w:spacing w:val="0"/>
          <w:kern w:val="0"/>
          <w:sz w:val="28"/>
          <w:szCs w:val="28"/>
          <w:lang w:val="en-US" w:eastAsia="zh-CN" w:bidi="ar"/>
        </w:rPr>
        <w:t>全力补缺夯基础，</w:t>
      </w:r>
      <w:r>
        <w:rPr>
          <w:rFonts w:hint="eastAsia" w:ascii="宋体" w:hAnsi="宋体" w:eastAsia="宋体" w:cs="宋体"/>
          <w:b w:val="0"/>
          <w:i w:val="0"/>
          <w:caps w:val="0"/>
          <w:color w:val="000000"/>
          <w:spacing w:val="0"/>
          <w:kern w:val="0"/>
          <w:sz w:val="28"/>
          <w:szCs w:val="28"/>
          <w:lang w:val="en-US" w:eastAsia="zh-CN" w:bidi="ar"/>
        </w:rPr>
        <w:t>培优促发展；认真组织高三、高二的教学质量分析，及时进行教学反馈和调控，打造高考学考增长极值，让教学质量迈上新台阶。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（五）增强后勤管理　优化服务功能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18、增强服务意识，优化服务质量。加强后勤工作人员“后勤不后，创先争优”的服务意识，建立“安全、健康、优质、高效”的后勤服务体系，开展后勤“精细化管理、规范化运作、主动性服务、有效性执行”优质服务竞赛，优化后勤服务运行流程，用“流程”“减法”换服务“加法”，零距离服务，零障碍办事；规范财务管理，推动阳光财务，规范工作补助，严控“三公”经费，拒绝水电浪费，把住舌尖上的安全，让师生有实实在在的“以人为本”的安全感、获得感、幸福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19、加快省示范性学校标准化建设。争取上级支持，积极推动我校教育信息化和理化生实验室转段升级；积极推动我校适应新高考需求的各项硬件建设按下快进键，驶入快车道。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（六）坚持统筹兼顾　实现协调发展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20、做大做强教育促进会。积极研究、发掘、宣传、拓展新邵一中教育促进会的工作，让一中更多校友携起手来、抱起团来，共谱教育前锋壮歌。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pPr>
      <w:r>
        <w:rPr>
          <w:rFonts w:hint="eastAsia" w:ascii="宋体" w:hAnsi="宋体" w:eastAsia="宋体" w:cs="宋体"/>
          <w:b w:val="0"/>
          <w:i w:val="0"/>
          <w:caps w:val="0"/>
          <w:color w:val="000000"/>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宋体" w:hAnsi="宋体" w:eastAsia="宋体" w:cs="宋体"/>
          <w:b w:val="0"/>
          <w:i w:val="0"/>
          <w:caps w:val="0"/>
          <w:color w:val="1E1E1E"/>
          <w:spacing w:val="0"/>
          <w:kern w:val="0"/>
          <w:sz w:val="28"/>
          <w:szCs w:val="28"/>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left"/>
      </w:pPr>
      <w:r>
        <w:rPr>
          <w:rFonts w:hint="eastAsia" w:ascii="宋体" w:hAnsi="宋体" w:eastAsia="宋体" w:cs="宋体"/>
          <w:b w:val="0"/>
          <w:i w:val="0"/>
          <w:caps w:val="0"/>
          <w:color w:val="1E1E1E"/>
          <w:spacing w:val="0"/>
          <w:kern w:val="0"/>
          <w:sz w:val="28"/>
          <w:szCs w:val="28"/>
          <w:lang w:val="en-US" w:eastAsia="zh-CN" w:bidi="ar"/>
        </w:rPr>
        <w:t>以下所有表格可根据实际情况进行相应调整（金额：万元）。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宋体" w:hAnsi="宋体" w:eastAsia="宋体" w:cs="宋体"/>
          <w:b w:val="0"/>
          <w:i w:val="0"/>
          <w:caps w:val="0"/>
          <w:color w:val="1E1E1E"/>
          <w:spacing w:val="0"/>
          <w:kern w:val="0"/>
          <w:sz w:val="28"/>
          <w:szCs w:val="28"/>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宋体" w:hAnsi="宋体" w:eastAsia="宋体" w:cs="宋体"/>
          <w:b w:val="0"/>
          <w:i w:val="0"/>
          <w:caps w:val="0"/>
          <w:color w:val="1E1E1E"/>
          <w:spacing w:val="0"/>
          <w:kern w:val="0"/>
          <w:sz w:val="28"/>
          <w:szCs w:val="28"/>
          <w:lang w:val="en-US" w:eastAsia="zh-CN" w:bidi="ar"/>
        </w:rPr>
        <w:t>1.年初预算收支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宋体" w:hAnsi="宋体" w:eastAsia="宋体" w:cs="宋体"/>
          <w:b w:val="0"/>
          <w:i w:val="0"/>
          <w:caps w:val="0"/>
          <w:color w:val="1E1E1E"/>
          <w:spacing w:val="0"/>
          <w:kern w:val="0"/>
          <w:sz w:val="28"/>
          <w:szCs w:val="28"/>
          <w:lang w:val="en-US" w:eastAsia="zh-CN" w:bidi="ar"/>
        </w:rPr>
        <w:t> </w:t>
      </w:r>
    </w:p>
    <w:tbl>
      <w:tblPr>
        <w:tblStyle w:val="6"/>
        <w:tblW w:w="8680" w:type="dxa"/>
        <w:jc w:val="center"/>
        <w:shd w:val="clear" w:color="auto" w:fill="auto"/>
        <w:tblLayout w:type="autofit"/>
        <w:tblCellMar>
          <w:top w:w="0" w:type="dxa"/>
          <w:left w:w="0" w:type="dxa"/>
          <w:bottom w:w="0" w:type="dxa"/>
          <w:right w:w="0" w:type="dxa"/>
        </w:tblCellMar>
      </w:tblPr>
      <w:tblGrid>
        <w:gridCol w:w="2135"/>
        <w:gridCol w:w="1736"/>
        <w:gridCol w:w="1624"/>
        <w:gridCol w:w="1344"/>
        <w:gridCol w:w="1841"/>
      </w:tblGrid>
      <w:tr>
        <w:tblPrEx>
          <w:shd w:val="clear" w:color="auto" w:fill="auto"/>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较上年增减变化</w:t>
            </w:r>
          </w:p>
        </w:tc>
      </w:tr>
      <w:tr>
        <w:tblPrEx>
          <w:shd w:val="clear" w:color="auto" w:fill="auto"/>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color w:val="000000"/>
                <w:kern w:val="0"/>
                <w:sz w:val="21"/>
                <w:szCs w:val="21"/>
                <w:lang w:val="en-US" w:eastAsia="zh-CN" w:bidi="ar"/>
              </w:rPr>
              <w:t>比例</w:t>
            </w:r>
          </w:p>
        </w:tc>
      </w:tr>
      <w:tr>
        <w:tblPrEx>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kern w:val="0"/>
                <w:sz w:val="21"/>
                <w:szCs w:val="21"/>
                <w:lang w:val="en-US" w:eastAsia="zh-CN" w:bidi="ar"/>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4343</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3871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472</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12.19%</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kern w:val="0"/>
                <w:sz w:val="21"/>
                <w:szCs w:val="21"/>
                <w:lang w:val="en-US" w:eastAsia="zh-CN" w:bidi="ar"/>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3170</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2076</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1094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52.70%</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kern w:val="0"/>
                <w:sz w:val="21"/>
                <w:szCs w:val="21"/>
                <w:lang w:val="en-US" w:eastAsia="zh-CN" w:bidi="ar"/>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4343</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3871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472</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12.19%</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kern w:val="0"/>
                <w:sz w:val="21"/>
                <w:szCs w:val="21"/>
                <w:lang w:val="en-US" w:eastAsia="zh-CN" w:bidi="ar"/>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4343</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3871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472</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12.19%</w:t>
            </w:r>
          </w:p>
        </w:tc>
      </w:tr>
      <w:tr>
        <w:tblPrEx>
          <w:shd w:val="clear" w:color="auto" w:fill="auto"/>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kern w:val="0"/>
                <w:sz w:val="21"/>
                <w:szCs w:val="21"/>
                <w:lang w:val="en-US" w:eastAsia="zh-CN" w:bidi="ar"/>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 </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 </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right"/>
            </w:pPr>
            <w:r>
              <w:rPr>
                <w:rFonts w:hint="eastAsia" w:ascii="仿宋" w:hAnsi="仿宋" w:eastAsia="仿宋" w:cs="仿宋"/>
                <w:kern w:val="0"/>
                <w:sz w:val="21"/>
                <w:szCs w:val="21"/>
                <w:lang w:val="en-US" w:eastAsia="zh-CN" w:bidi="ar"/>
              </w:rPr>
              <w:t> </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b/>
          <w:i w:val="0"/>
          <w:caps w:val="0"/>
          <w:color w:val="1E1E1E"/>
          <w:spacing w:val="0"/>
          <w:kern w:val="0"/>
          <w:sz w:val="32"/>
          <w:szCs w:val="32"/>
          <w:lang w:val="en-US" w:eastAsia="zh-CN" w:bidi="ar"/>
        </w:rPr>
        <w:t>根据年初预算批复，与上年比较，1、人数的增加引起人员工资经费的增加；2学数人数及上拨经费的标准的增加引起经费的增加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2.财政预算整体支出使用范围、方向和内容</w:t>
      </w:r>
    </w:p>
    <w:tbl>
      <w:tblPr>
        <w:tblStyle w:val="6"/>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2477</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2477</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1552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1552</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314</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314</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4343</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4343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1.年度收入决算</w:t>
      </w:r>
    </w:p>
    <w:tbl>
      <w:tblPr>
        <w:tblStyle w:val="6"/>
        <w:tblW w:w="0" w:type="auto"/>
        <w:jc w:val="center"/>
        <w:shd w:val="clear" w:color="auto" w:fill="auto"/>
        <w:tblLayout w:type="autofit"/>
        <w:tblCellMar>
          <w:top w:w="0" w:type="dxa"/>
          <w:left w:w="0" w:type="dxa"/>
          <w:bottom w:w="0" w:type="dxa"/>
          <w:right w:w="0" w:type="dxa"/>
        </w:tblCellMar>
      </w:tblPr>
      <w:tblGrid>
        <w:gridCol w:w="2052"/>
        <w:gridCol w:w="1766"/>
        <w:gridCol w:w="1898"/>
        <w:gridCol w:w="2362"/>
      </w:tblGrid>
      <w:tr>
        <w:tblPrEx>
          <w:tblCellMar>
            <w:top w:w="0" w:type="dxa"/>
            <w:left w:w="0" w:type="dxa"/>
            <w:bottom w:w="0" w:type="dxa"/>
            <w:right w:w="0" w:type="dxa"/>
          </w:tblCellMar>
        </w:tblPrEx>
        <w:trPr>
          <w:trHeight w:val="644" w:hRule="atLeast"/>
          <w:jc w:val="center"/>
        </w:trPr>
        <w:tc>
          <w:tcPr>
            <w:tcW w:w="205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收入来源</w:t>
            </w:r>
          </w:p>
        </w:tc>
        <w:tc>
          <w:tcPr>
            <w:tcW w:w="17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8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362"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差额</w:t>
            </w:r>
          </w:p>
        </w:tc>
      </w:tr>
      <w:tr>
        <w:tblPrEx>
          <w:shd w:val="clear" w:color="auto" w:fill="auto"/>
          <w:tblCellMar>
            <w:top w:w="0" w:type="dxa"/>
            <w:left w:w="0" w:type="dxa"/>
            <w:bottom w:w="0" w:type="dxa"/>
            <w:right w:w="0" w:type="dxa"/>
          </w:tblCellMar>
        </w:tblPrEx>
        <w:trPr>
          <w:trHeight w:val="644" w:hRule="atLeast"/>
          <w:jc w:val="center"/>
        </w:trPr>
        <w:tc>
          <w:tcPr>
            <w:tcW w:w="20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财政拨款收入</w:t>
            </w:r>
          </w:p>
        </w:tc>
        <w:tc>
          <w:tcPr>
            <w:tcW w:w="17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3170</w:t>
            </w:r>
          </w:p>
        </w:tc>
        <w:tc>
          <w:tcPr>
            <w:tcW w:w="189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4246</w:t>
            </w:r>
          </w:p>
        </w:tc>
        <w:tc>
          <w:tcPr>
            <w:tcW w:w="236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1076</w:t>
            </w:r>
          </w:p>
        </w:tc>
      </w:tr>
      <w:tr>
        <w:tblPrEx>
          <w:tblCellMar>
            <w:top w:w="0" w:type="dxa"/>
            <w:left w:w="0" w:type="dxa"/>
            <w:bottom w:w="0" w:type="dxa"/>
            <w:right w:w="0" w:type="dxa"/>
          </w:tblCellMar>
        </w:tblPrEx>
        <w:trPr>
          <w:trHeight w:val="665" w:hRule="atLeast"/>
          <w:jc w:val="center"/>
        </w:trPr>
        <w:tc>
          <w:tcPr>
            <w:tcW w:w="20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纳入专户管理的非税收入拨款</w:t>
            </w:r>
          </w:p>
        </w:tc>
        <w:tc>
          <w:tcPr>
            <w:tcW w:w="17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1173</w:t>
            </w:r>
          </w:p>
        </w:tc>
        <w:tc>
          <w:tcPr>
            <w:tcW w:w="18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863</w:t>
            </w:r>
          </w:p>
        </w:tc>
        <w:tc>
          <w:tcPr>
            <w:tcW w:w="236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-310</w:t>
            </w:r>
          </w:p>
        </w:tc>
      </w:tr>
      <w:tr>
        <w:tblPrEx>
          <w:shd w:val="clear" w:color="auto" w:fill="auto"/>
          <w:tblCellMar>
            <w:top w:w="0" w:type="dxa"/>
            <w:left w:w="0" w:type="dxa"/>
            <w:bottom w:w="0" w:type="dxa"/>
            <w:right w:w="0" w:type="dxa"/>
          </w:tblCellMar>
        </w:tblPrEx>
        <w:trPr>
          <w:trHeight w:val="665" w:hRule="atLeast"/>
          <w:jc w:val="center"/>
        </w:trPr>
        <w:tc>
          <w:tcPr>
            <w:tcW w:w="20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合计</w:t>
            </w:r>
          </w:p>
        </w:tc>
        <w:tc>
          <w:tcPr>
            <w:tcW w:w="17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4343</w:t>
            </w:r>
          </w:p>
        </w:tc>
        <w:tc>
          <w:tcPr>
            <w:tcW w:w="189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5109</w:t>
            </w:r>
          </w:p>
        </w:tc>
        <w:tc>
          <w:tcPr>
            <w:tcW w:w="2362"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766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i w:val="0"/>
          <w:caps w:val="0"/>
          <w:color w:val="1E1E1E"/>
          <w:spacing w:val="0"/>
          <w:kern w:val="0"/>
          <w:sz w:val="32"/>
          <w:szCs w:val="32"/>
          <w:lang w:val="en-US" w:eastAsia="zh-CN" w:bidi="ar"/>
        </w:rPr>
        <w:t>财政拨款收入决算数与预算数差额是1、财政直接付给银行的高中债务置换的债务利息及本金。2、本年新进人员的工资。纳入专户管理的非税收入拨款差额是2019年下学期的学生教材款列往来帐。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2. 年度预算支出决算及结余</w:t>
      </w:r>
    </w:p>
    <w:tbl>
      <w:tblPr>
        <w:tblStyle w:val="6"/>
        <w:tblW w:w="7953" w:type="dxa"/>
        <w:tblInd w:w="0" w:type="dxa"/>
        <w:shd w:val="clear" w:color="auto" w:fill="auto"/>
        <w:tblLayout w:type="autofit"/>
        <w:tblCellMar>
          <w:top w:w="0" w:type="dxa"/>
          <w:left w:w="0" w:type="dxa"/>
          <w:bottom w:w="0" w:type="dxa"/>
          <w:right w:w="0" w:type="dxa"/>
        </w:tblCellMar>
      </w:tblPr>
      <w:tblGrid>
        <w:gridCol w:w="1739"/>
        <w:gridCol w:w="2268"/>
        <w:gridCol w:w="1984"/>
        <w:gridCol w:w="1962"/>
      </w:tblGrid>
      <w:tr>
        <w:tblPrEx>
          <w:shd w:val="clear" w:color="auto" w:fill="auto"/>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预算支出类别</w:t>
            </w:r>
          </w:p>
        </w:tc>
        <w:tc>
          <w:tcPr>
            <w:tcW w:w="226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增减金额</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基本支出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4343</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4293</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-50</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项目支出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0</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1382</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1382</w:t>
            </w:r>
          </w:p>
        </w:tc>
      </w:tr>
      <w:tr>
        <w:tblPrEx>
          <w:shd w:val="clear" w:color="auto" w:fill="auto"/>
          <w:tblCellMar>
            <w:top w:w="0" w:type="dxa"/>
            <w:left w:w="0" w:type="dxa"/>
            <w:bottom w:w="0" w:type="dxa"/>
            <w:right w:w="0" w:type="dxa"/>
          </w:tblCellMar>
        </w:tblPrEx>
        <w:trPr>
          <w:trHeight w:val="400" w:hRule="atLeast"/>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小计</w:t>
            </w:r>
          </w:p>
        </w:tc>
        <w:tc>
          <w:tcPr>
            <w:tcW w:w="226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4343</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5675</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1332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i w:val="0"/>
          <w:caps w:val="0"/>
          <w:color w:val="1E1E1E"/>
          <w:spacing w:val="0"/>
          <w:kern w:val="0"/>
          <w:sz w:val="32"/>
          <w:szCs w:val="32"/>
          <w:lang w:val="en-US" w:eastAsia="zh-CN" w:bidi="ar"/>
        </w:rPr>
        <w:t>说明增减原因。项目支出1382是2018年结转的，是2017年的项目。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bookmarkStart w:id="0" w:name="_Toc419142208"/>
      <w:bookmarkEnd w:id="0"/>
      <w:r>
        <w:rPr>
          <w:rFonts w:hint="eastAsia" w:ascii="仿宋" w:hAnsi="仿宋" w:eastAsia="仿宋" w:cs="仿宋"/>
          <w:b w:val="0"/>
          <w:i w:val="0"/>
          <w:caps w:val="0"/>
          <w:color w:val="1E1E1E"/>
          <w:spacing w:val="0"/>
          <w:sz w:val="32"/>
          <w:szCs w:val="32"/>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b w:val="0"/>
          <w:i w:val="0"/>
          <w:caps w:val="0"/>
          <w:color w:val="1E1E1E"/>
          <w:spacing w:val="0"/>
          <w:sz w:val="32"/>
          <w:szCs w:val="32"/>
        </w:rPr>
        <w:t>1、基本支出总额使用和管理</w:t>
      </w:r>
    </w:p>
    <w:tbl>
      <w:tblPr>
        <w:tblStyle w:val="6"/>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2477</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2991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514</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1552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847</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-705</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314</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181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-133</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35</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35</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债务利息及费用支出</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0</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239</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239</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4343</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4293</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（1）工资福利支出</w:t>
      </w:r>
    </w:p>
    <w:tbl>
      <w:tblPr>
        <w:tblStyle w:val="6"/>
        <w:tblW w:w="0" w:type="auto"/>
        <w:jc w:val="center"/>
        <w:shd w:val="clear" w:color="auto" w:fill="auto"/>
        <w:tblLayout w:type="autofit"/>
        <w:tblCellMar>
          <w:top w:w="0" w:type="dxa"/>
          <w:left w:w="0" w:type="dxa"/>
          <w:bottom w:w="0" w:type="dxa"/>
          <w:right w:w="0" w:type="dxa"/>
        </w:tblCellMar>
      </w:tblPr>
      <w:tblGrid>
        <w:gridCol w:w="2431"/>
        <w:gridCol w:w="1134"/>
        <w:gridCol w:w="1134"/>
        <w:gridCol w:w="1417"/>
        <w:gridCol w:w="1664"/>
      </w:tblGrid>
      <w:tr>
        <w:tblPrEx>
          <w:shd w:val="clear" w:color="auto" w:fill="auto"/>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费用项目</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预算金额</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节约/超支金额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节约/超支率</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1133</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1541</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both"/>
            </w:pPr>
            <w:r>
              <w:rPr>
                <w:rFonts w:hint="eastAsia" w:ascii="仿宋" w:hAnsi="仿宋" w:eastAsia="仿宋" w:cs="仿宋"/>
                <w:kern w:val="0"/>
                <w:sz w:val="21"/>
                <w:szCs w:val="21"/>
                <w:lang w:val="en-US" w:eastAsia="zh-CN" w:bidi="ar"/>
              </w:rPr>
              <w:t>    408</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36%</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津贴补贴</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奖金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378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284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302%</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伙食补助费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绩效工资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551</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598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47</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8.3%</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机关事业单位基本养老保险缴费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337</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-337</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tblCellMar>
            <w:top w:w="0" w:type="dxa"/>
            <w:left w:w="0" w:type="dxa"/>
            <w:bottom w:w="0" w:type="dxa"/>
            <w:right w:w="0" w:type="dxa"/>
          </w:tblCellMar>
        </w:tblPrEx>
        <w:trPr>
          <w:trHeight w:val="90"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职业年金缴费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职工基本医疗保险缴费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公务员医疗补助缴费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其他社会保障缴费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住房公积金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214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-214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医疗费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其他工资福利支出</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450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450</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2477</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2991</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514</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i w:val="0"/>
          <w:caps w:val="0"/>
          <w:color w:val="1E1E1E"/>
          <w:spacing w:val="0"/>
          <w:kern w:val="0"/>
          <w:sz w:val="32"/>
          <w:szCs w:val="32"/>
          <w:lang w:val="en-US" w:eastAsia="zh-CN" w:bidi="ar"/>
        </w:rPr>
        <w:t>工资福利支出是否控制在预算内，是。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（2）商品和服务支出</w:t>
      </w:r>
    </w:p>
    <w:tbl>
      <w:tblPr>
        <w:tblStyle w:val="6"/>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47</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-53%</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-45%</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168%</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250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-73%</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-126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-96%</w:t>
            </w:r>
          </w:p>
        </w:tc>
      </w:tr>
      <w:tr>
        <w:tblPrEx>
          <w:shd w:val="clear" w:color="auto" w:fill="auto"/>
          <w:tblCellMar>
            <w:top w:w="0" w:type="dxa"/>
            <w:left w:w="0" w:type="dxa"/>
            <w:bottom w:w="0" w:type="dxa"/>
            <w:right w:w="0" w:type="dxa"/>
          </w:tblCellMar>
        </w:tblPrEx>
        <w:trPr>
          <w:trHeight w:val="90"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-45%</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267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-38%</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-61%</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-88%</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-77%</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235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218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w:t>
            </w:r>
          </w:p>
        </w:tc>
      </w:tr>
      <w:tr>
        <w:tblPrEx>
          <w:shd w:val="clear" w:color="auto" w:fill="auto"/>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1551</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847</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-705</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b/>
          <w:i w:val="0"/>
          <w:caps w:val="0"/>
          <w:color w:val="1E1E1E"/>
          <w:spacing w:val="0"/>
          <w:kern w:val="0"/>
          <w:sz w:val="32"/>
          <w:szCs w:val="32"/>
          <w:lang w:val="en-US" w:eastAsia="zh-CN" w:bidi="ar"/>
        </w:rPr>
        <w:t>物业管理有些项目转给了物业公司减少了临时工导到物业管理费大增。另一原因是原预算做的与实际不符导致决算数与预算数变化较大。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（3）对个人和家庭的补助</w:t>
      </w:r>
    </w:p>
    <w:tbl>
      <w:tblPr>
        <w:tblStyle w:val="6"/>
        <w:tblW w:w="8364" w:type="dxa"/>
        <w:tblInd w:w="0" w:type="dxa"/>
        <w:shd w:val="clear" w:color="auto" w:fill="auto"/>
        <w:tblLayout w:type="autofit"/>
        <w:tblCellMar>
          <w:top w:w="0" w:type="dxa"/>
          <w:left w:w="0" w:type="dxa"/>
          <w:bottom w:w="0" w:type="dxa"/>
          <w:right w:w="0" w:type="dxa"/>
        </w:tblCellMar>
      </w:tblPr>
      <w:tblGrid>
        <w:gridCol w:w="1816"/>
        <w:gridCol w:w="1538"/>
        <w:gridCol w:w="1560"/>
        <w:gridCol w:w="1875"/>
        <w:gridCol w:w="1575"/>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支出项目</w:t>
            </w:r>
          </w:p>
        </w:tc>
        <w:tc>
          <w:tcPr>
            <w:tcW w:w="153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预算金额</w:t>
            </w:r>
          </w:p>
        </w:tc>
        <w:tc>
          <w:tcPr>
            <w:tcW w:w="156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决算金额</w:t>
            </w:r>
          </w:p>
        </w:tc>
        <w:tc>
          <w:tcPr>
            <w:tcW w:w="18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结余/超支金额</w:t>
            </w:r>
          </w:p>
        </w:tc>
        <w:tc>
          <w:tcPr>
            <w:tcW w:w="15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离休费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退休费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166</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-166</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退职（役）费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抚恤金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生活补助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-60%</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救济费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医疗费补助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助学金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142</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168</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26</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奖励金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个人农业生产补贴</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其他对个人和家庭的补助支出</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51" w:hRule="atLeast"/>
        </w:trPr>
        <w:tc>
          <w:tcPr>
            <w:tcW w:w="1816"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53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314</w:t>
            </w:r>
          </w:p>
        </w:tc>
        <w:tc>
          <w:tcPr>
            <w:tcW w:w="156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181</w:t>
            </w:r>
          </w:p>
        </w:tc>
        <w:tc>
          <w:tcPr>
            <w:tcW w:w="18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-133</w:t>
            </w:r>
          </w:p>
        </w:tc>
        <w:tc>
          <w:tcPr>
            <w:tcW w:w="15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b/>
          <w:i w:val="0"/>
          <w:caps w:val="0"/>
          <w:color w:val="1E1E1E"/>
          <w:spacing w:val="0"/>
          <w:kern w:val="0"/>
          <w:sz w:val="32"/>
          <w:szCs w:val="32"/>
          <w:lang w:val="en-US" w:eastAsia="zh-CN" w:bidi="ar"/>
        </w:rPr>
        <w:t>退休费不在单位发放不需做预算，遗属生活补助在2020年1月发放的。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bookmarkStart w:id="1" w:name="_Toc419142213"/>
      <w:bookmarkEnd w:id="1"/>
      <w:r>
        <w:rPr>
          <w:rFonts w:hint="eastAsia" w:ascii="仿宋" w:hAnsi="仿宋" w:eastAsia="仿宋" w:cs="仿宋"/>
          <w:i w:val="0"/>
          <w:caps w:val="0"/>
          <w:color w:val="1E1E1E"/>
          <w:spacing w:val="0"/>
          <w:kern w:val="0"/>
          <w:sz w:val="32"/>
          <w:szCs w:val="32"/>
          <w:lang w:val="en-US" w:eastAsia="zh-CN" w:bidi="ar"/>
        </w:rPr>
        <w:t>1、“三公经费”预算执行</w:t>
      </w:r>
    </w:p>
    <w:tbl>
      <w:tblPr>
        <w:tblStyle w:val="6"/>
        <w:tblW w:w="8436" w:type="dxa"/>
        <w:jc w:val="center"/>
        <w:shd w:val="clear" w:color="auto" w:fill="auto"/>
        <w:tblLayout w:type="autofit"/>
        <w:tblCellMar>
          <w:top w:w="0" w:type="dxa"/>
          <w:left w:w="0" w:type="dxa"/>
          <w:bottom w:w="0" w:type="dxa"/>
          <w:right w:w="0" w:type="dxa"/>
        </w:tblCellMar>
      </w:tblPr>
      <w:tblGrid>
        <w:gridCol w:w="1632"/>
        <w:gridCol w:w="1065"/>
        <w:gridCol w:w="1125"/>
        <w:gridCol w:w="1005"/>
        <w:gridCol w:w="1170"/>
        <w:gridCol w:w="1149"/>
        <w:gridCol w:w="1290"/>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费用项目</w:t>
            </w:r>
          </w:p>
        </w:tc>
        <w:tc>
          <w:tcPr>
            <w:tcW w:w="2190"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本年预算</w:t>
            </w:r>
          </w:p>
        </w:tc>
        <w:tc>
          <w:tcPr>
            <w:tcW w:w="217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本年决算</w:t>
            </w:r>
          </w:p>
        </w:tc>
        <w:tc>
          <w:tcPr>
            <w:tcW w:w="2439"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结余/超支</w:t>
            </w:r>
          </w:p>
        </w:tc>
      </w:tr>
      <w:tr>
        <w:tblPrEx>
          <w:shd w:val="clear" w:color="auto" w:fill="auto"/>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基本支出</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项目支出</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基本支出</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项目支出</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基本支出</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项目支出</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公务接待费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公车运行维护费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3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公务车购置费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因公出国费用</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06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b/>
          <w:i w:val="0"/>
          <w:caps w:val="0"/>
          <w:color w:val="1E1E1E"/>
          <w:spacing w:val="0"/>
          <w:kern w:val="0"/>
          <w:sz w:val="32"/>
          <w:szCs w:val="32"/>
          <w:lang w:val="en-US" w:eastAsia="zh-CN" w:bidi="ar"/>
        </w:rPr>
        <w:t>公务接待费本年有挂账的本年未有结算。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2、“三公经费”与上年度比较</w:t>
      </w:r>
    </w:p>
    <w:tbl>
      <w:tblPr>
        <w:tblStyle w:val="6"/>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公务接待费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6.4</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0.4</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公车运行维护费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公务车辆购置费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因公出国(境)费用</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6.4</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0.4</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b/>
          <w:i w:val="0"/>
          <w:caps w:val="0"/>
          <w:color w:val="1E1E1E"/>
          <w:spacing w:val="0"/>
          <w:kern w:val="0"/>
          <w:sz w:val="32"/>
          <w:szCs w:val="32"/>
          <w:lang w:val="en-US" w:eastAsia="zh-CN" w:bidi="ar"/>
        </w:rPr>
        <w:t>公务接待费本年有部分挂账的本年未有结算。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left"/>
      </w:pPr>
      <w:r>
        <w:rPr>
          <w:rFonts w:hint="eastAsia" w:ascii="仿宋" w:hAnsi="仿宋" w:eastAsia="仿宋" w:cs="仿宋"/>
          <w:i w:val="0"/>
          <w:caps w:val="0"/>
          <w:color w:val="1E1E1E"/>
          <w:spacing w:val="0"/>
          <w:kern w:val="0"/>
          <w:sz w:val="32"/>
          <w:szCs w:val="32"/>
          <w:lang w:val="en-US" w:eastAsia="zh-CN" w:bidi="ar"/>
        </w:rPr>
        <w:t>专项资金预算执行</w:t>
      </w:r>
    </w:p>
    <w:tbl>
      <w:tblPr>
        <w:tblStyle w:val="6"/>
        <w:tblW w:w="8960" w:type="dxa"/>
        <w:tblInd w:w="0" w:type="dxa"/>
        <w:shd w:val="clear" w:color="auto" w:fill="auto"/>
        <w:tblLayout w:type="autofit"/>
        <w:tblCellMar>
          <w:top w:w="0" w:type="dxa"/>
          <w:left w:w="0" w:type="dxa"/>
          <w:bottom w:w="0" w:type="dxa"/>
          <w:right w:w="0" w:type="dxa"/>
        </w:tblCellMar>
      </w:tblPr>
      <w:tblGrid>
        <w:gridCol w:w="2697"/>
        <w:gridCol w:w="634"/>
        <w:gridCol w:w="555"/>
        <w:gridCol w:w="575"/>
        <w:gridCol w:w="670"/>
        <w:gridCol w:w="725"/>
        <w:gridCol w:w="1087"/>
        <w:gridCol w:w="2017"/>
      </w:tblGrid>
      <w:tr>
        <w:tblPrEx>
          <w:shd w:val="clear" w:color="auto" w:fill="auto"/>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专项子目名称</w:t>
            </w:r>
          </w:p>
        </w:tc>
        <w:tc>
          <w:tcPr>
            <w:tcW w:w="2421" w:type="dxa"/>
            <w:gridSpan w:val="4"/>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本年预算可用指标</w:t>
            </w:r>
          </w:p>
        </w:tc>
        <w:tc>
          <w:tcPr>
            <w:tcW w:w="725"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本年实际支出</w:t>
            </w:r>
          </w:p>
        </w:tc>
        <w:tc>
          <w:tcPr>
            <w:tcW w:w="1089"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本年结余</w:t>
            </w:r>
          </w:p>
        </w:tc>
        <w:tc>
          <w:tcPr>
            <w:tcW w:w="2021" w:type="dxa"/>
            <w:vMerge w:val="restart"/>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投入进度</w:t>
            </w:r>
          </w:p>
        </w:tc>
      </w:tr>
      <w:tr>
        <w:tblPrEx>
          <w:shd w:val="clear" w:color="auto" w:fill="auto"/>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w:t>
            </w:r>
          </w:p>
        </w:tc>
        <w:tc>
          <w:tcPr>
            <w:tcW w:w="5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w:t>
            </w:r>
          </w:p>
        </w:tc>
        <w:tc>
          <w:tcPr>
            <w:tcW w:w="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追加</w:t>
            </w:r>
          </w:p>
        </w:tc>
        <w:tc>
          <w:tcPr>
            <w:tcW w:w="6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725"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89"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021" w:type="dxa"/>
            <w:vMerge w:val="continue"/>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体艺中心工程建设</w:t>
            </w: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1382</w:t>
            </w:r>
          </w:p>
        </w:tc>
        <w:tc>
          <w:tcPr>
            <w:tcW w:w="5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1382</w:t>
            </w:r>
          </w:p>
        </w:tc>
        <w:tc>
          <w:tcPr>
            <w:tcW w:w="72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1382</w:t>
            </w:r>
          </w:p>
        </w:tc>
        <w:tc>
          <w:tcPr>
            <w:tcW w:w="108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2021"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72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8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021"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72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8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021"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40" w:hRule="atLeast"/>
        </w:trPr>
        <w:tc>
          <w:tcPr>
            <w:tcW w:w="2704" w:type="dxa"/>
            <w:tcBorders>
              <w:top w:val="nil"/>
              <w:left w:val="single" w:color="auto" w:sz="12" w:space="0"/>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合 计</w:t>
            </w:r>
          </w:p>
        </w:tc>
        <w:tc>
          <w:tcPr>
            <w:tcW w:w="634"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1382</w:t>
            </w:r>
          </w:p>
        </w:tc>
        <w:tc>
          <w:tcPr>
            <w:tcW w:w="542"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7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7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1382</w:t>
            </w:r>
          </w:p>
        </w:tc>
        <w:tc>
          <w:tcPr>
            <w:tcW w:w="72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1382</w:t>
            </w:r>
          </w:p>
        </w:tc>
        <w:tc>
          <w:tcPr>
            <w:tcW w:w="1089"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2021" w:type="dxa"/>
            <w:tcBorders>
              <w:top w:val="nil"/>
              <w:left w:val="nil"/>
              <w:bottom w:val="single" w:color="auto" w:sz="12"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体艺中心工程已完工，进入审计结算程序。              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四、部门整体支出绩效评价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我校2019年度工作总体自我评价：2019年，在县委的领导下，在县教育局的精心指导下，我校紧紧围绕工作大局，充分发挥自身优势，履职尽责，攻坚克难，各项工作取得了明显成效，部门整体支出绩效自评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五、存在的主要问题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1、预算编制工作有待细化。预算编制不够明确和细化，预算编制的合理性需要提高，预算执行力度还要进一步加强。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2、公用经费和三公经费控制有一定难度，基本为刚性支出。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3、学校整体绩效支出符合规定，完成绩效目标年初预算绩效目标不太明确，绩效指标有待细化建议细化预算指标，提高预算科学性。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六、改进意见及建议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针对上述存在的问题及对外整体支出管理工作的需要，拟实施的改进措施如下：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1、细化预算编制工作，认真做好预算的编制。进一步加强单位内部机构各处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坚持先有预算、后有支出，没有预算不得支出的支出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color w:val="F29F05"/>
          <w:sz w:val="225"/>
          <w:szCs w:val="225"/>
        </w:rPr>
      </w:pPr>
      <w:r>
        <w:rPr>
          <w:rFonts w:hint="eastAsia" w:ascii="仿宋" w:hAnsi="仿宋" w:eastAsia="仿宋" w:cs="仿宋"/>
          <w:b w:val="0"/>
          <w:i w:val="0"/>
          <w:caps w:val="0"/>
          <w:color w:val="F29F05"/>
          <w:spacing w:val="0"/>
          <w:sz w:val="32"/>
          <w:szCs w:val="32"/>
        </w:rPr>
        <w:t>4、对相关人员加强培训，特别是针对《预算法》《行政事业单位会计制度》等学习培训，规范部门预算收支核算，切实提高部门预算收支管理水平。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color w:val="F29F05"/>
          <w:sz w:val="225"/>
          <w:szCs w:val="225"/>
        </w:rPr>
      </w:pPr>
      <w:r>
        <w:rPr>
          <w:rFonts w:hint="eastAsia" w:ascii="仿宋" w:hAnsi="仿宋" w:eastAsia="仿宋" w:cs="仿宋"/>
          <w:b w:val="0"/>
          <w:i w:val="0"/>
          <w:caps w:val="0"/>
          <w:color w:val="F29F05"/>
          <w:spacing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pPr>
      <w:r>
        <w:rPr>
          <w:rFonts w:hint="eastAsia" w:ascii="仿宋" w:hAnsi="仿宋" w:eastAsia="仿宋" w:cs="仿宋"/>
          <w:b/>
          <w:i w:val="0"/>
          <w:caps w:val="0"/>
          <w:color w:val="1E1E1E"/>
          <w:spacing w:val="0"/>
          <w:kern w:val="0"/>
          <w:sz w:val="32"/>
          <w:szCs w:val="32"/>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pPr>
      <w:r>
        <w:rPr>
          <w:rFonts w:hint="eastAsia" w:ascii="仿宋" w:hAnsi="仿宋" w:eastAsia="仿宋" w:cs="仿宋"/>
          <w:b/>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b/>
          <w:i w:val="0"/>
          <w:caps w:val="0"/>
          <w:color w:val="1E1E1E"/>
          <w:spacing w:val="0"/>
          <w:kern w:val="0"/>
          <w:sz w:val="32"/>
          <w:szCs w:val="32"/>
          <w:lang w:val="en-US" w:eastAsia="zh-CN" w:bidi="ar"/>
        </w:rPr>
        <w:t>本年本单位无项目。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ascii="黑体" w:hAnsi="宋体" w:eastAsia="黑体" w:cs="黑体"/>
          <w:i w:val="0"/>
          <w:caps w:val="0"/>
          <w:color w:val="1E1E1E"/>
          <w:spacing w:val="0"/>
          <w:kern w:val="0"/>
          <w:sz w:val="32"/>
          <w:szCs w:val="32"/>
          <w:lang w:val="en-US" w:eastAsia="zh-CN" w:bidi="ar"/>
        </w:rPr>
        <w:t>附件</w:t>
      </w:r>
      <w:r>
        <w:rPr>
          <w:rFonts w:hint="eastAsia" w:ascii="黑体" w:hAnsi="宋体" w:eastAsia="黑体" w:cs="黑体"/>
          <w:i w:val="0"/>
          <w:caps w:val="0"/>
          <w:color w:val="1E1E1E"/>
          <w:spacing w:val="0"/>
          <w:kern w:val="0"/>
          <w:sz w:val="32"/>
          <w:szCs w:val="32"/>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Times New Roman" w:hAnsi="Times New Roman" w:eastAsia="微软雅黑" w:cs="Times New Roman"/>
          <w:i w:val="0"/>
          <w:caps w:val="0"/>
          <w:color w:val="1E1E1E"/>
          <w:spacing w:val="0"/>
          <w:kern w:val="0"/>
          <w:sz w:val="36"/>
          <w:szCs w:val="36"/>
          <w:lang w:val="en-US" w:eastAsia="zh-CN" w:bidi="ar"/>
        </w:rPr>
        <w:t>201</w:t>
      </w:r>
      <w:r>
        <w:rPr>
          <w:rFonts w:ascii="方正小标宋_GBK" w:hAnsi="方正小标宋_GBK" w:eastAsia="方正小标宋_GBK" w:cs="方正小标宋_GBK"/>
          <w:i w:val="0"/>
          <w:caps w:val="0"/>
          <w:color w:val="1E1E1E"/>
          <w:spacing w:val="0"/>
          <w:kern w:val="0"/>
          <w:sz w:val="36"/>
          <w:szCs w:val="36"/>
          <w:lang w:val="en-US" w:eastAsia="zh-CN" w:bidi="ar"/>
        </w:rPr>
        <w:t>9</w:t>
      </w:r>
      <w:r>
        <w:rPr>
          <w:rFonts w:hint="default" w:ascii="方正小标宋_GBK" w:hAnsi="方正小标宋_GBK" w:eastAsia="方正小标宋_GBK" w:cs="方正小标宋_GBK"/>
          <w:i w:val="0"/>
          <w:caps w:val="0"/>
          <w:color w:val="1E1E1E"/>
          <w:spacing w:val="0"/>
          <w:kern w:val="0"/>
          <w:sz w:val="36"/>
          <w:szCs w:val="36"/>
          <w:lang w:val="en-US" w:eastAsia="zh-CN" w:bidi="ar"/>
        </w:rPr>
        <w:t>年度部门整体支出</w:t>
      </w:r>
      <w:r>
        <w:rPr>
          <w:rFonts w:hint="default" w:ascii="方正小标宋_GBK" w:hAnsi="方正小标宋_GBK" w:eastAsia="方正小标宋_GBK" w:cs="方正小标宋_GBK"/>
          <w:i w:val="0"/>
          <w:caps w:val="0"/>
          <w:color w:val="1E1E1E"/>
          <w:spacing w:val="-8"/>
          <w:kern w:val="0"/>
          <w:sz w:val="36"/>
          <w:szCs w:val="36"/>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ascii="楷体_GB2312" w:hAnsi="微软雅黑" w:eastAsia="楷体_GB2312" w:cs="楷体_GB2312"/>
          <w:i w:val="0"/>
          <w:caps w:val="0"/>
          <w:color w:val="1E1E1E"/>
          <w:spacing w:val="-8"/>
          <w:kern w:val="0"/>
          <w:sz w:val="28"/>
          <w:szCs w:val="28"/>
          <w:lang w:val="en-US" w:eastAsia="zh-CN" w:bidi="ar"/>
        </w:rPr>
        <w:t>填报单位（盖章）：</w:t>
      </w:r>
    </w:p>
    <w:tbl>
      <w:tblPr>
        <w:tblStyle w:val="6"/>
        <w:tblW w:w="14287" w:type="dxa"/>
        <w:jc w:val="center"/>
        <w:shd w:val="clear" w:color="auto" w:fill="auto"/>
        <w:tblLayout w:type="autofit"/>
        <w:tblCellMar>
          <w:top w:w="0" w:type="dxa"/>
          <w:left w:w="0" w:type="dxa"/>
          <w:bottom w:w="0" w:type="dxa"/>
          <w:right w:w="0" w:type="dxa"/>
        </w:tblCellMar>
      </w:tblPr>
      <w:tblGrid>
        <w:gridCol w:w="690"/>
        <w:gridCol w:w="704"/>
        <w:gridCol w:w="960"/>
        <w:gridCol w:w="5340"/>
        <w:gridCol w:w="5825"/>
        <w:gridCol w:w="768"/>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一级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目标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绩效目标合理性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①符合国家法律法规、国民经济和社会发展总体规划计1分；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②符合部门“三定”方案确定的职责计0.5分；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绩效指标明确性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①将部门整体的绩效目标细化分解为具体的工作任务计1分；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②通过清晰、可衡量的指标值予以体现计0.5分；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③与部门年度的任务数或计划数相对应计0.5分；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在职人员控制率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重点支出安排率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调整率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进度率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结转结余控制率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执行率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合规性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①符合国家财经法规和财务管理制度规定以及有关专项资金管理办法的规定计1分；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②资金的拨付有完整的审批程序和手续计1分；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③项目的重大开支经过评估论证计1分；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④符合部门预算批复的用途计1分；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预决算信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①按规定内容公开预决算信息计1分；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基础信息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①基础数据信息和会计信息资料真实计1分；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②基础数据信息和会计信息资料完整计1分；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①制定或具有资产管理制度计1分；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②相关资金管理制度合法、合规、完整计0.5分；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安全性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①资产保存完整计0.4分；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②资产配置合理计0.4分；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③资产处置规范计0.4分；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eastAsia="zh-CN"/>
              </w:rPr>
              <w:t>账实相符</w:t>
            </w:r>
            <w:r>
              <w:rPr>
                <w:rFonts w:hint="eastAsia" w:ascii="宋体" w:hAnsi="宋体" w:eastAsia="宋体" w:cs="宋体"/>
                <w:color w:val="000000"/>
                <w:sz w:val="21"/>
                <w:szCs w:val="21"/>
              </w:rPr>
              <w:t>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利用率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0.5</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产出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职责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pPr>
            <w:r>
              <w:rPr>
                <w:rFonts w:hint="eastAsia" w:ascii="宋体" w:hAnsi="宋体" w:eastAsia="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办结率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履职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宋体" w:hAnsi="宋体" w:eastAsia="宋体" w:cs="宋体"/>
                <w:color w:val="000000"/>
                <w:kern w:val="0"/>
                <w:sz w:val="21"/>
                <w:szCs w:val="21"/>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社会公众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或服务对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总分</w:t>
            </w:r>
          </w:p>
        </w:tc>
        <w:tc>
          <w:tcPr>
            <w:tcW w:w="704"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768"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92</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color w:val="000000"/>
                <w:sz w:val="21"/>
                <w:szCs w:val="21"/>
              </w:rPr>
              <w:t> </w:t>
            </w:r>
          </w:p>
        </w:tc>
        <w:tc>
          <w:tcPr>
            <w:tcW w:w="70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sz w:val="24"/>
                <w:szCs w:val="24"/>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left"/>
      </w:pPr>
      <w:r>
        <w:rPr>
          <w:rFonts w:hint="eastAsia" w:ascii="仿宋" w:hAnsi="仿宋" w:eastAsia="仿宋" w:cs="仿宋"/>
          <w:i w:val="0"/>
          <w:caps w:val="0"/>
          <w:color w:val="1E1E1E"/>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YzYzVjMTkxMTE2MGJlOTUwODEyMzY5OTM1MDUifQ=="/>
  </w:docVars>
  <w:rsids>
    <w:rsidRoot w:val="00000000"/>
    <w:rsid w:val="00186DD0"/>
    <w:rsid w:val="2B9F7ACF"/>
    <w:rsid w:val="4BF5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10271</Words>
  <Characters>10949</Characters>
  <Lines>0</Lines>
  <Paragraphs>0</Paragraphs>
  <TotalTime>1</TotalTime>
  <ScaleCrop>false</ScaleCrop>
  <LinksUpToDate>false</LinksUpToDate>
  <CharactersWithSpaces>10960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2021-06-06T03:57:00Z</dcterms:created>
  <dc:creator>Administrator</dc:creator>
  <cp:lastModifiedBy>Administrator</cp:lastModifiedBy>
  <dcterms:modified xsi:type="dcterms:W3CDTF">2022-10-10T05:16:27Z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8B4C5123123C40B7A09075C094410409</vt:lpwstr>
  </property>
</Properties>
</file>