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B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新邵县新田铺超限检测站2019年度部门整体支出绩效自评报告</w:t>
      </w:r>
    </w:p>
    <w:p w14:paraId="552E6B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i w:val="0"/>
          <w:caps w:val="0"/>
          <w:color w:val="1E1E1E"/>
          <w:spacing w:val="0"/>
          <w:sz w:val="32"/>
          <w:szCs w:val="32"/>
        </w:rPr>
        <w:t>根据《新邵县财政局关于编制</w:t>
      </w:r>
      <w:r>
        <w:rPr>
          <w:rFonts w:hint="eastAsia" w:ascii="仿宋" w:hAnsi="仿宋" w:eastAsia="仿宋" w:cs="仿宋"/>
          <w:i w:val="0"/>
          <w:caps w:val="0"/>
          <w:color w:val="1E1E1E"/>
          <w:spacing w:val="0"/>
          <w:sz w:val="32"/>
          <w:szCs w:val="32"/>
        </w:rPr>
        <w:t>2019年部门整体支出绩效目标的通知》等文件的要求，秉着独立、客观、公正的原则，根据设定的绩效目标，运用科学、合理的绩效评价指标、评价标准和评价方法，对整体支出的绩效目标完成情况、产出与效果、预算管理水平等进行绩效评价。现将绩效评价结果报告如下：</w:t>
      </w:r>
    </w:p>
    <w:p w14:paraId="45D8BB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157"/>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一、部门概况</w:t>
      </w:r>
    </w:p>
    <w:p w14:paraId="5942DA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0" w:firstLine="723"/>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新邵县新田铺公路超限检测站</w:t>
      </w:r>
    </w:p>
    <w:p w14:paraId="6B82DF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0" w:firstLine="643"/>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一、主要职责和机构设置</w:t>
      </w:r>
    </w:p>
    <w:p w14:paraId="6BAEE5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555555"/>
          <w:spacing w:val="0"/>
          <w:sz w:val="32"/>
          <w:szCs w:val="32"/>
        </w:rPr>
        <w:t>（</w:t>
      </w:r>
      <w:r>
        <w:rPr>
          <w:rFonts w:hint="eastAsia" w:ascii="仿宋" w:hAnsi="仿宋" w:eastAsia="仿宋" w:cs="仿宋"/>
          <w:b/>
          <w:i w:val="0"/>
          <w:caps w:val="0"/>
          <w:color w:val="555555"/>
          <w:spacing w:val="0"/>
          <w:sz w:val="32"/>
          <w:szCs w:val="32"/>
        </w:rPr>
        <w:t>一）主要职责和机构设置：负责宣传、贯彻、执行国家有关超限治理的法律、法规、规章和政策；依法对县公路管理局所管养公路上行驶的车辆进行超限检测，认定、查处和纠正违法行为；监督当事人对超限运输车辆采取卸载、分装等消除违法状态的改正措施；收集整理、上报有关检测、执法等数据和动态信息；建设、管理、维护公路超限检测站的设施、设备和信息系统；行驶法律、法规规定的其他职责。</w:t>
      </w:r>
    </w:p>
    <w:p w14:paraId="346214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20" w:firstLine="643"/>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二、单位基本情况</w:t>
      </w:r>
    </w:p>
    <w:p w14:paraId="1B97B6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413"/>
        <w:jc w:val="both"/>
        <w:rPr>
          <w:rFonts w:hint="default" w:ascii="Times New Roman" w:hAnsi="Times New Roman" w:cs="Times New Roman"/>
          <w:sz w:val="21"/>
          <w:szCs w:val="21"/>
        </w:rPr>
      </w:pPr>
      <w:r>
        <w:rPr>
          <w:rFonts w:hint="eastAsia" w:ascii="仿宋" w:hAnsi="仿宋" w:eastAsia="仿宋" w:cs="仿宋"/>
          <w:b/>
          <w:i w:val="0"/>
          <w:caps w:val="0"/>
          <w:color w:val="555555"/>
          <w:spacing w:val="0"/>
          <w:sz w:val="32"/>
          <w:szCs w:val="32"/>
        </w:rPr>
        <w:t>我所属全额拨款事业单位（批准文号：新编发[2016]2号）。内设办公室、法规安全股、财务审计股、流动稽查执法股、G207线执法股、S217线执法股、X029渔龙线执法股和X035酿烂线执法股8个股室，核定事业编制28名，其中站长1人，副站长3人，股室长8人。2018年末，我单位共有编制28人。其中在职人员28人。</w:t>
      </w:r>
    </w:p>
    <w:p w14:paraId="56E860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（三）2019年度工作总结</w:t>
      </w:r>
    </w:p>
    <w:p w14:paraId="175DFF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2019年我站在新邵县委、县政府及县交通局的正确领导下，以党的十九大精神为指导，严格按照省、市治超工作部署坚持依法治超、联合治超、科学治超，紧紧围绕2019年工作目标和任务。通过全站人员的共同努力，今年我站共检测车辆61194台次，其中站点查处超限车辆153台次，非现场执法系统查处超限车辆402台，卸载超限货物1930吨，干线公路超限率控制在1%以下；道路交通运输环境得到了大大改善，主要干线道路破损率大大降低，因超限引发的一般性交通事故大大减少，没有发生一起重特大交通事故，为群众出行提供了良好的路域环境</w:t>
      </w:r>
      <w:r>
        <w:rPr>
          <w:rFonts w:hint="eastAsia" w:ascii="仿宋" w:hAnsi="仿宋" w:eastAsia="仿宋" w:cs="仿宋"/>
          <w:i w:val="0"/>
          <w:caps w:val="0"/>
          <w:color w:val="1E1E1E"/>
          <w:spacing w:val="0"/>
          <w:sz w:val="32"/>
          <w:szCs w:val="32"/>
        </w:rPr>
        <w:t>；</w:t>
      </w:r>
      <w:r>
        <w:rPr>
          <w:rFonts w:hint="eastAsia" w:ascii="仿宋" w:hAnsi="仿宋" w:eastAsia="仿宋" w:cs="仿宋"/>
          <w:i w:val="0"/>
          <w:caps w:val="0"/>
          <w:color w:val="000000"/>
          <w:spacing w:val="0"/>
          <w:sz w:val="32"/>
          <w:szCs w:val="32"/>
        </w:rPr>
        <w:t>省、市治超办也多次到我站进行治超工作督查，对我站的治超工作作出了充分肯定</w:t>
      </w:r>
      <w:r>
        <w:rPr>
          <w:rFonts w:hint="eastAsia" w:ascii="宋体" w:hAnsi="宋体" w:eastAsia="宋体" w:cs="宋体"/>
          <w:i w:val="0"/>
          <w:caps w:val="0"/>
          <w:color w:val="000000"/>
          <w:spacing w:val="0"/>
          <w:sz w:val="32"/>
          <w:szCs w:val="32"/>
        </w:rPr>
        <w:t>。</w:t>
      </w:r>
      <w:r>
        <w:rPr>
          <w:rFonts w:hint="eastAsia" w:ascii="仿宋" w:hAnsi="仿宋" w:eastAsia="仿宋" w:cs="仿宋"/>
          <w:i w:val="0"/>
          <w:caps w:val="0"/>
          <w:color w:val="000000"/>
          <w:spacing w:val="0"/>
          <w:sz w:val="32"/>
          <w:szCs w:val="32"/>
          <w:shd w:val="clear" w:fill="FFFFFF"/>
        </w:rPr>
        <w:t>现将今年的具体工作情况总结如下：</w:t>
      </w:r>
    </w:p>
    <w:p w14:paraId="5C7B97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both"/>
        <w:rPr>
          <w:rFonts w:hint="default" w:ascii="Times New Roman" w:hAnsi="Times New Roman" w:cs="Times New Roman"/>
          <w:sz w:val="21"/>
          <w:szCs w:val="21"/>
        </w:rPr>
      </w:pPr>
      <w:r>
        <w:rPr>
          <w:rFonts w:hint="eastAsia" w:ascii="仿宋" w:hAnsi="仿宋" w:eastAsia="仿宋" w:cs="仿宋"/>
          <w:b/>
          <w:i w:val="0"/>
          <w:caps w:val="0"/>
          <w:color w:val="000000"/>
          <w:spacing w:val="0"/>
          <w:sz w:val="32"/>
          <w:szCs w:val="32"/>
        </w:rPr>
        <w:t>一、规范管理，严格执法</w:t>
      </w:r>
    </w:p>
    <w:p w14:paraId="7D81DA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一）加强业务培训，为不断提高站内执法人员的业务水平，今年共组织2次业务知识培训；各执法股室每月召开一次工作会议，总结分析治超工作情况，开展政治理论学习和业务培训，加强安全教育和廉政教育，交流工作学习心得，在业务知识培训中组织执法人员学习《公路法》、《公路安全</w:t>
      </w:r>
      <w:r>
        <w:rPr>
          <w:rFonts w:hint="eastAsia" w:ascii="仿宋" w:hAnsi="仿宋" w:eastAsia="仿宋" w:cs="仿宋"/>
          <w:i w:val="0"/>
          <w:caps w:val="0"/>
          <w:color w:val="000000"/>
          <w:spacing w:val="0"/>
          <w:sz w:val="32"/>
          <w:szCs w:val="32"/>
          <w:lang w:eastAsia="zh-CN"/>
        </w:rPr>
        <w:t>保护条例</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shd w:val="clear" w:fill="FFFFFF"/>
        </w:rPr>
        <w:t>《行政强制法》、《</w:t>
      </w:r>
      <w:r>
        <w:rPr>
          <w:rFonts w:hint="eastAsia" w:ascii="仿宋" w:hAnsi="仿宋" w:eastAsia="仿宋" w:cs="仿宋"/>
          <w:i w:val="0"/>
          <w:caps w:val="0"/>
          <w:color w:val="1E1E1E"/>
          <w:spacing w:val="0"/>
          <w:sz w:val="32"/>
          <w:szCs w:val="32"/>
        </w:rPr>
        <w:t>超限运输车辆行驶公路管理规定</w:t>
      </w:r>
      <w:r>
        <w:rPr>
          <w:rFonts w:hint="eastAsia" w:ascii="宋体" w:hAnsi="宋体" w:eastAsia="宋体" w:cs="宋体"/>
          <w:i w:val="0"/>
          <w:caps w:val="0"/>
          <w:color w:val="1E1E1E"/>
          <w:spacing w:val="0"/>
          <w:sz w:val="32"/>
          <w:szCs w:val="32"/>
        </w:rPr>
        <w:t>》、</w:t>
      </w:r>
      <w:r>
        <w:rPr>
          <w:rFonts w:hint="eastAsia" w:ascii="仿宋" w:hAnsi="仿宋" w:eastAsia="仿宋" w:cs="仿宋"/>
          <w:i w:val="0"/>
          <w:caps w:val="0"/>
          <w:color w:val="000000"/>
          <w:spacing w:val="0"/>
          <w:sz w:val="32"/>
          <w:szCs w:val="32"/>
          <w:shd w:val="clear" w:fill="FFFFFF"/>
        </w:rPr>
        <w:t>《行政处罚法》等有关法律法规。</w:t>
      </w:r>
      <w:r>
        <w:rPr>
          <w:rFonts w:hint="eastAsia" w:ascii="仿宋" w:hAnsi="仿宋" w:eastAsia="仿宋" w:cs="仿宋"/>
          <w:i w:val="0"/>
          <w:caps w:val="0"/>
          <w:color w:val="000000"/>
          <w:spacing w:val="0"/>
          <w:sz w:val="32"/>
          <w:szCs w:val="32"/>
        </w:rPr>
        <w:t>达到人人知法，学法，懂法，用法的目的。</w:t>
      </w:r>
    </w:p>
    <w:p w14:paraId="2A37AB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（二）严格执行各项管理制度，严肃廉政纪律。我站严格执行并完善各项管理制度，实行半军事化管理，</w:t>
      </w:r>
      <w:r>
        <w:rPr>
          <w:rFonts w:hint="eastAsia" w:ascii="仿宋" w:hAnsi="仿宋" w:eastAsia="仿宋" w:cs="仿宋"/>
          <w:i w:val="0"/>
          <w:caps w:val="0"/>
          <w:color w:val="000000"/>
          <w:spacing w:val="0"/>
          <w:sz w:val="32"/>
          <w:szCs w:val="32"/>
          <w:shd w:val="clear" w:fill="FFFFFF"/>
        </w:rPr>
        <w:t>以严格的制度规范行为，用制度管理人、事。定期组织廉政会议及学习，根据中央八项规定和省市的约法三章等文件精神，严防“索、拿、卡、要”及“公路三乱”行为发生。站领导严格按照各项管理制度对执法人员日常执法进行不定期督查，及时发现和纠正违法行为，并自觉接受社会各种的监督，</w:t>
      </w:r>
      <w:r>
        <w:rPr>
          <w:rFonts w:hint="eastAsia" w:ascii="仿宋" w:hAnsi="仿宋" w:eastAsia="仿宋" w:cs="仿宋"/>
          <w:i w:val="0"/>
          <w:caps w:val="0"/>
          <w:color w:val="000000"/>
          <w:spacing w:val="0"/>
          <w:sz w:val="32"/>
          <w:szCs w:val="32"/>
          <w:shd w:val="clear" w:fill="FFFFFF"/>
          <w:lang w:eastAsia="zh-CN"/>
        </w:rPr>
        <w:t>杜绝</w:t>
      </w:r>
      <w:r>
        <w:rPr>
          <w:rFonts w:hint="eastAsia" w:ascii="仿宋" w:hAnsi="仿宋" w:eastAsia="仿宋" w:cs="仿宋"/>
          <w:i w:val="0"/>
          <w:caps w:val="0"/>
          <w:color w:val="000000"/>
          <w:spacing w:val="0"/>
          <w:sz w:val="32"/>
          <w:szCs w:val="32"/>
          <w:shd w:val="clear" w:fill="FFFFFF"/>
        </w:rPr>
        <w:t>违法乱纪行为，树立良好的队伍形象。</w:t>
      </w:r>
    </w:p>
    <w:p w14:paraId="029CBE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shd w:val="clear" w:fill="FFFFFF"/>
        </w:rPr>
        <w:t>（三）在日常的查处违章车辆的执法过程中严格要求治超执法人员自觉遵守</w:t>
      </w:r>
      <w:r>
        <w:rPr>
          <w:rFonts w:hint="eastAsia" w:ascii="仿宋" w:hAnsi="仿宋" w:eastAsia="仿宋" w:cs="仿宋"/>
          <w:i w:val="0"/>
          <w:caps w:val="0"/>
          <w:color w:val="000000"/>
          <w:spacing w:val="0"/>
          <w:sz w:val="32"/>
          <w:szCs w:val="32"/>
          <w:shd w:val="clear" w:fill="FFFFFF"/>
          <w:lang w:eastAsia="zh-CN"/>
        </w:rPr>
        <w:t>交通运输部</w:t>
      </w:r>
      <w:r>
        <w:rPr>
          <w:rFonts w:hint="eastAsia" w:ascii="仿宋" w:hAnsi="仿宋" w:eastAsia="仿宋" w:cs="仿宋"/>
          <w:i w:val="0"/>
          <w:caps w:val="0"/>
          <w:color w:val="000000"/>
          <w:spacing w:val="0"/>
          <w:sz w:val="32"/>
          <w:szCs w:val="32"/>
          <w:shd w:val="clear" w:fill="FFFFFF"/>
        </w:rPr>
        <w:t>有关于治超工作的“五个不准”、“十条禁令”，严格按程序执法，科学检测，卸货纠正放行，杜绝以罚代管，规范案卷制作，处理违法车辆做到一案一卷，车辆违章及处理信息详细登录在册，按时向市治超办报送相关数据。</w:t>
      </w:r>
    </w:p>
    <w:p w14:paraId="482DFF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w:t>
      </w:r>
      <w:r>
        <w:rPr>
          <w:rFonts w:hint="eastAsia" w:ascii="仿宋" w:hAnsi="仿宋" w:eastAsia="仿宋" w:cs="仿宋"/>
          <w:b/>
          <w:i w:val="0"/>
          <w:caps w:val="0"/>
          <w:color w:val="000000"/>
          <w:spacing w:val="0"/>
          <w:sz w:val="32"/>
          <w:szCs w:val="32"/>
        </w:rPr>
        <w:t>二、</w:t>
      </w:r>
      <w:r>
        <w:rPr>
          <w:rFonts w:hint="eastAsia" w:ascii="仿宋" w:hAnsi="仿宋" w:eastAsia="仿宋" w:cs="仿宋"/>
          <w:b/>
          <w:i w:val="0"/>
          <w:caps w:val="0"/>
          <w:color w:val="000000"/>
          <w:spacing w:val="0"/>
          <w:sz w:val="32"/>
          <w:szCs w:val="32"/>
          <w:shd w:val="clear" w:fill="FFFFFF"/>
        </w:rPr>
        <w:t>大力宣传，营造氛围。</w:t>
      </w:r>
    </w:p>
    <w:p w14:paraId="772898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0"/>
        <w:rPr>
          <w:rFonts w:hint="eastAsia" w:ascii="宋体" w:hAnsi="宋体" w:eastAsia="宋体" w:cs="宋体"/>
          <w:sz w:val="24"/>
          <w:szCs w:val="24"/>
        </w:rPr>
      </w:pPr>
      <w:r>
        <w:rPr>
          <w:rFonts w:hint="eastAsia" w:ascii="仿宋" w:hAnsi="仿宋" w:eastAsia="仿宋" w:cs="仿宋"/>
          <w:i w:val="0"/>
          <w:caps w:val="0"/>
          <w:color w:val="000000"/>
          <w:spacing w:val="0"/>
          <w:sz w:val="32"/>
          <w:szCs w:val="32"/>
          <w:shd w:val="clear" w:fill="FFFFFF"/>
        </w:rPr>
        <w:t>我站始终把宣传工作贯穿到治超工作中，紧紧围绕超限运输的危害性和治理超限运输的必要性，广泛深入开展治超宣传工作，通过在当代商报、邵阳日报、邵阳新闻网、新邵电视台、新邵信息、新邵新闻网、新邵手机报等信息平台对我县治超工作及集中整治行动进行宣传报道。到目前为止，在邵阳日报、新邵信息、新邵新闻网、新邵手机报等主流媒体发出新闻报道10余篇。在国、省道主要干线醒目地段悬挂宣传横幅10幅、大型固定宣传牌8余块，并在人员相对集中的场所设立固定宣传点2个，派发传单5000份、利用户外液晶显示屏滚动播放60天，出动流动宣传车150台次。</w:t>
      </w:r>
    </w:p>
    <w:p w14:paraId="25CF0D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三、加强路面执法力度，坚持联合执法常态化。</w:t>
      </w:r>
    </w:p>
    <w:p w14:paraId="08508F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left"/>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一是健全各项管理制度。</w:t>
      </w:r>
      <w:r>
        <w:rPr>
          <w:rFonts w:hint="eastAsia" w:ascii="仿宋" w:hAnsi="仿宋" w:eastAsia="仿宋" w:cs="仿宋"/>
          <w:i w:val="0"/>
          <w:caps w:val="0"/>
          <w:color w:val="1E1E1E"/>
          <w:spacing w:val="0"/>
          <w:sz w:val="32"/>
          <w:szCs w:val="32"/>
        </w:rPr>
        <w:t>为切实加强治超队伍建设，规范执法行为，提高执法水平，确保依法行政，制定了完善的值班、学习培训、货物保管制度和绩效考评制度，对执法人员的日常行为进行规范。</w:t>
      </w:r>
      <w:r>
        <w:rPr>
          <w:rFonts w:hint="eastAsia" w:ascii="仿宋" w:hAnsi="仿宋" w:eastAsia="仿宋" w:cs="仿宋"/>
          <w:b/>
          <w:i w:val="0"/>
          <w:caps w:val="0"/>
          <w:color w:val="1E1E1E"/>
          <w:spacing w:val="0"/>
          <w:sz w:val="32"/>
          <w:szCs w:val="32"/>
        </w:rPr>
        <w:t>二是灵活机动执法。</w:t>
      </w:r>
      <w:r>
        <w:rPr>
          <w:rFonts w:hint="eastAsia" w:ascii="仿宋" w:hAnsi="仿宋" w:eastAsia="仿宋" w:cs="仿宋"/>
          <w:i w:val="0"/>
          <w:caps w:val="0"/>
          <w:color w:val="1E1E1E"/>
          <w:spacing w:val="0"/>
          <w:sz w:val="32"/>
          <w:szCs w:val="32"/>
        </w:rPr>
        <w:t>根据新邵县的路网特点和交通量等情况，从交警、公管等单位抽调了一支精干力量成立路面联合执法组。以新田铺公路超限检测查为依托在S217和G207两条主干线及县城城区、雀塘、陈家坊等地段设置临时治超点开展流动稽查。形成境内路面执法整体联动，全线铺开、机动灵活的工作机制。今年9月份开始，在塘口针对超限车辆开展了专项整治行动，取得了较好的成效。</w:t>
      </w:r>
      <w:r>
        <w:rPr>
          <w:rFonts w:hint="eastAsia" w:ascii="仿宋" w:hAnsi="仿宋" w:eastAsia="仿宋" w:cs="仿宋"/>
          <w:b/>
          <w:i w:val="0"/>
          <w:caps w:val="0"/>
          <w:color w:val="000000"/>
          <w:spacing w:val="0"/>
          <w:sz w:val="32"/>
          <w:szCs w:val="32"/>
        </w:rPr>
        <w:t>三是</w:t>
      </w:r>
      <w:r>
        <w:rPr>
          <w:rFonts w:hint="eastAsia" w:ascii="仿宋" w:hAnsi="仿宋" w:eastAsia="仿宋" w:cs="仿宋"/>
          <w:b/>
          <w:i w:val="0"/>
          <w:caps w:val="0"/>
          <w:color w:val="1E1E1E"/>
          <w:spacing w:val="0"/>
          <w:sz w:val="32"/>
          <w:szCs w:val="32"/>
        </w:rPr>
        <w:t>严格落实“一超四究”制度。</w:t>
      </w:r>
      <w:r>
        <w:rPr>
          <w:rFonts w:hint="eastAsia" w:ascii="仿宋" w:hAnsi="仿宋" w:eastAsia="仿宋" w:cs="仿宋"/>
          <w:i w:val="0"/>
          <w:caps w:val="0"/>
          <w:color w:val="1E1E1E"/>
          <w:spacing w:val="0"/>
          <w:sz w:val="32"/>
          <w:szCs w:val="32"/>
        </w:rPr>
        <w:t>今年以来，通过“一超四究”制度，抄送违法超限车辆到市治超办、交警、运管、乡镇，并按照《公路安全</w:t>
      </w:r>
      <w:r>
        <w:rPr>
          <w:rFonts w:hint="eastAsia" w:ascii="仿宋" w:hAnsi="仿宋" w:eastAsia="仿宋" w:cs="仿宋"/>
          <w:i w:val="0"/>
          <w:caps w:val="0"/>
          <w:color w:val="1E1E1E"/>
          <w:spacing w:val="0"/>
          <w:sz w:val="32"/>
          <w:szCs w:val="32"/>
          <w:lang w:eastAsia="zh-CN"/>
        </w:rPr>
        <w:t>保护条例</w:t>
      </w:r>
      <w:r>
        <w:rPr>
          <w:rFonts w:hint="eastAsia" w:ascii="仿宋" w:hAnsi="仿宋" w:eastAsia="仿宋" w:cs="仿宋"/>
          <w:i w:val="0"/>
          <w:caps w:val="0"/>
          <w:color w:val="1E1E1E"/>
          <w:spacing w:val="0"/>
          <w:sz w:val="32"/>
          <w:szCs w:val="32"/>
        </w:rPr>
        <w:t>》第六十六条规定对违法超限运输企业、货运车辆、车辆驾驶人实施处罚，将违法行为纳入道路运输企业质量信誉考核和驾驶人诚信考核。</w:t>
      </w:r>
    </w:p>
    <w:p w14:paraId="1DE8E9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20" w:right="0" w:firstLine="321"/>
        <w:jc w:val="left"/>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四、加大科技治超力度</w:t>
      </w:r>
      <w:r>
        <w:rPr>
          <w:rFonts w:hint="eastAsia" w:ascii="仿宋" w:hAnsi="仿宋" w:eastAsia="仿宋" w:cs="仿宋"/>
          <w:i w:val="0"/>
          <w:caps w:val="0"/>
          <w:color w:val="1E1E1E"/>
          <w:spacing w:val="0"/>
          <w:sz w:val="32"/>
          <w:szCs w:val="32"/>
        </w:rPr>
        <w:t>。</w:t>
      </w:r>
    </w:p>
    <w:p w14:paraId="794BE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今年非现场执法系统共查处超限车辆402台，已处理到位50台；其他违法车辆已交由法院处理,结案34起。</w:t>
      </w:r>
    </w:p>
    <w:p w14:paraId="64737E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3"/>
        <w:rPr>
          <w:rFonts w:hint="eastAsia" w:ascii="宋体" w:hAnsi="宋体" w:eastAsia="宋体" w:cs="宋体"/>
          <w:sz w:val="24"/>
          <w:szCs w:val="24"/>
        </w:rPr>
      </w:pPr>
      <w:r>
        <w:rPr>
          <w:rFonts w:hint="eastAsia" w:ascii="仿宋" w:hAnsi="仿宋" w:eastAsia="仿宋" w:cs="仿宋"/>
          <w:b/>
          <w:i w:val="0"/>
          <w:caps w:val="0"/>
          <w:color w:val="000000"/>
          <w:spacing w:val="0"/>
          <w:sz w:val="32"/>
          <w:szCs w:val="32"/>
          <w:shd w:val="clear" w:fill="FFFFFF"/>
        </w:rPr>
        <w:t>五、重视党建，增强凝聚力</w:t>
      </w:r>
    </w:p>
    <w:p w14:paraId="22C35F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(一)抓党的建设，提高班子执行力。</w:t>
      </w:r>
    </w:p>
    <w:p w14:paraId="577932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站党支部高度重视党建工作，以抓好党的建设为抓手提高班子的执行力，把党建工作和其它业务工作一起部署、一起安排，做到党建、业务两不误、两促进。</w:t>
      </w:r>
    </w:p>
    <w:p w14:paraId="252A12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(二)抓班子党风廉政建设，增强凝聚力</w:t>
      </w:r>
    </w:p>
    <w:p w14:paraId="6E43E3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按照“党要管党、从严治党”和“建好班子，带好队伍”的要求，加强领导班子自身建设。贯彻民主集中制原则，完善集体领导和分工负责制。在站支部书记、站长负总责的前提下，将党建工作、廉政建设和工作目标逐级分解落实到各分管领导。班子成员顾全大局，增进团结，保持了奋发有为的精神状态，提高了执行党的路线方针政策的水平和解决自身问题的能力。</w:t>
      </w:r>
    </w:p>
    <w:p w14:paraId="56C1E5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（三)抓组织建设，以党建促脱贫攻坚。</w:t>
      </w:r>
    </w:p>
    <w:p w14:paraId="6FD933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站党支部高度重视组织建设，按照“班子健全坚强，制度完备规范，党员作用明显，保证监督有力，作风扎实不虚”的要求，充分发挥党支部的战斗堡垒作用。认真落实“三会一课”制度，全年站党支部召开12次会议，召开党员大会（支部主题党日）12次，组织生活会2次。</w:t>
      </w:r>
    </w:p>
    <w:p w14:paraId="4CDF55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(四)抓学习教育，提高党员政治素质</w:t>
      </w:r>
    </w:p>
    <w:p w14:paraId="35A624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加强党员学习教育，提高党员自身素质，是全面加强党员队伍建设的一项重要举措。我站认真落实新邵县委工作安排，开展了“两学一做”、“不忘初心、牢记使命：主题教育及党员干部德政教育等专题学习教育讨论，由党支部书记讲了专题党课，全面开展“纠四风、治陋习”、“ 雁过拔毛”、落实“八项规定”等主题实践活动。同时重点组织党员深入学习</w:t>
      </w:r>
      <w:r>
        <w:rPr>
          <w:rFonts w:hint="eastAsia" w:ascii="仿宋" w:hAnsi="仿宋" w:eastAsia="仿宋" w:cs="仿宋"/>
          <w:i w:val="0"/>
          <w:caps w:val="0"/>
          <w:color w:val="000000"/>
          <w:spacing w:val="0"/>
          <w:sz w:val="32"/>
          <w:szCs w:val="32"/>
          <w:lang w:val="en-US" w:eastAsia="zh-CN"/>
        </w:rPr>
        <w:t>贯彻</w:t>
      </w:r>
      <w:r>
        <w:rPr>
          <w:rFonts w:hint="eastAsia" w:ascii="仿宋" w:hAnsi="仿宋" w:eastAsia="仿宋" w:cs="仿宋"/>
          <w:i w:val="0"/>
          <w:caps w:val="0"/>
          <w:color w:val="000000"/>
          <w:spacing w:val="0"/>
          <w:sz w:val="32"/>
          <w:szCs w:val="32"/>
        </w:rPr>
        <w:t>党的十九大精神，习近平主席系列重要讲话精神要求;同时强化《中国共产党党员领导干部廉洁廉洁自律准则》和《中国</w:t>
      </w:r>
      <w:bookmarkStart w:id="0" w:name="_GoBack"/>
      <w:bookmarkEnd w:id="0"/>
      <w:r>
        <w:rPr>
          <w:rFonts w:hint="eastAsia" w:ascii="仿宋" w:hAnsi="仿宋" w:eastAsia="仿宋" w:cs="仿宋"/>
          <w:i w:val="0"/>
          <w:caps w:val="0"/>
          <w:color w:val="000000"/>
          <w:spacing w:val="0"/>
          <w:sz w:val="32"/>
          <w:szCs w:val="32"/>
        </w:rPr>
        <w:t>共产党纪律处分条例》学习。通过学习教育，党员干部思想政治素质有了一定提高。</w:t>
      </w:r>
    </w:p>
    <w:p w14:paraId="243094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left"/>
        <w:rPr>
          <w:rFonts w:hint="default" w:ascii="Times New Roman" w:hAnsi="Times New Roman" w:cs="Times New Roman"/>
          <w:sz w:val="21"/>
          <w:szCs w:val="21"/>
        </w:rPr>
      </w:pPr>
      <w:r>
        <w:rPr>
          <w:rFonts w:hint="eastAsia" w:ascii="仿宋" w:hAnsi="仿宋" w:eastAsia="仿宋" w:cs="仿宋"/>
          <w:b/>
          <w:i w:val="0"/>
          <w:caps w:val="0"/>
          <w:color w:val="000000"/>
          <w:spacing w:val="0"/>
          <w:sz w:val="32"/>
          <w:szCs w:val="32"/>
        </w:rPr>
        <w:t>六、抓实抓牢脱贫攻坚工作</w:t>
      </w:r>
    </w:p>
    <w:p w14:paraId="604E66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按照县委组织部要求，以抓党建促脱贫为契机，2019年支部书记亲自对新田铺镇大路村扶贫工作进行督导；由副站长任领队并安排3名党员的扶贫工作队到新田铺镇毛力冲村、严村负责扶贫工作；全体干部职工每月到联点村对扶贫对象进行入户走访，与贫困户同吃同住同劳动，扎实开展扶贫工作。</w:t>
      </w:r>
    </w:p>
    <w:p w14:paraId="648E66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both"/>
        <w:rPr>
          <w:rFonts w:hint="default" w:ascii="Times New Roman" w:hAnsi="Times New Roman" w:cs="Times New Roman"/>
          <w:sz w:val="21"/>
          <w:szCs w:val="21"/>
        </w:rPr>
      </w:pPr>
      <w:r>
        <w:rPr>
          <w:rFonts w:hint="eastAsia" w:ascii="仿宋" w:hAnsi="仿宋" w:eastAsia="仿宋" w:cs="仿宋"/>
          <w:b/>
          <w:i w:val="0"/>
          <w:caps w:val="0"/>
          <w:color w:val="000000"/>
          <w:spacing w:val="0"/>
          <w:sz w:val="32"/>
          <w:szCs w:val="32"/>
        </w:rPr>
        <w:t>七、狠抓安全，推动发展。</w:t>
      </w:r>
    </w:p>
    <w:p w14:paraId="48AFA1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 “安全第一、预防为主、综合治理”始终是我站保持的安全生产的方针，严格按照“党政同责、一岗双责、齐抓共管”的安全生产工作责任体系，不断强化“红线意识”，认真落实安全生产管理。首先是加强安全教育培训，每月组织全站职工学习安全生产知识，观看安全视频影像资料，进一步提升对安全生产重要性与必须性的认识，牢固树立安全第一的思想。其次是认真落实安全责任，深入开展安全隐患排查治理活动，全面做到安全排查“全覆盖、零容忍、严执法、重实效”。再次是继续加强应急体系建设，成立了安全领导小组，并与各部门负责人签订了安全责任状，严格落实应急值班和信息报送制度。并制定了切实可行的应急处置预案，开展了应急与安全实战演练。由此，在全站上下形成了安全生产合力，为治超工作起到了保驾护航的作用。</w:t>
      </w:r>
    </w:p>
    <w:p w14:paraId="4D8789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both"/>
        <w:rPr>
          <w:rFonts w:hint="default" w:ascii="Times New Roman" w:hAnsi="Times New Roman" w:cs="Times New Roman"/>
          <w:sz w:val="21"/>
          <w:szCs w:val="21"/>
        </w:rPr>
      </w:pPr>
      <w:r>
        <w:rPr>
          <w:rFonts w:hint="eastAsia" w:ascii="仿宋" w:hAnsi="仿宋" w:eastAsia="仿宋" w:cs="仿宋"/>
          <w:b/>
          <w:i w:val="0"/>
          <w:caps w:val="0"/>
          <w:color w:val="000000"/>
          <w:spacing w:val="0"/>
          <w:sz w:val="32"/>
          <w:szCs w:val="32"/>
        </w:rPr>
        <w:t>八、加强工会组织建设，提高职工向心力。</w:t>
      </w:r>
    </w:p>
    <w:p w14:paraId="02C87F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32"/>
          <w:szCs w:val="32"/>
        </w:rPr>
        <w:t> </w:t>
      </w:r>
      <w:r>
        <w:rPr>
          <w:rFonts w:hint="eastAsia" w:ascii="仿宋" w:hAnsi="仿宋" w:eastAsia="仿宋" w:cs="仿宋"/>
          <w:i w:val="0"/>
          <w:caps w:val="0"/>
          <w:color w:val="000000"/>
          <w:spacing w:val="0"/>
          <w:sz w:val="32"/>
          <w:szCs w:val="32"/>
        </w:rPr>
        <w:t>（一）、丰富职工文化生活，站工会组织了登山比赛等活动，融洽了站属各部门关系，增强了同志们凝聚力。丰富了职工业余生活，展示我站干部职工积极向上的精神风貌，激励全站职工以更加饱满的热情，更加团结协作的精神，投身到治超工作去。</w:t>
      </w:r>
    </w:p>
    <w:p w14:paraId="07E0C8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二）、重视职工福利，积极想方设法完善职工的国家规定的七个节假日的慰问。关心职工的疾苦，做到“三必访”即是婚丧嫁娶必访，职工生病住院必访，家庭出现矛盾纠纷必访，使职工切实赶到集体的关怀和温暖，增强工会的凝聚力。全年共探望职工8人次，累计金额8000多元。</w:t>
      </w:r>
    </w:p>
    <w:p w14:paraId="6EBB0A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3"/>
        <w:jc w:val="both"/>
        <w:rPr>
          <w:rFonts w:hint="default" w:ascii="Times New Roman" w:hAnsi="Times New Roman" w:cs="Times New Roman"/>
          <w:sz w:val="21"/>
          <w:szCs w:val="21"/>
        </w:rPr>
      </w:pPr>
      <w:r>
        <w:rPr>
          <w:rFonts w:hint="eastAsia" w:ascii="仿宋" w:hAnsi="仿宋" w:eastAsia="仿宋" w:cs="仿宋"/>
          <w:b/>
          <w:i w:val="0"/>
          <w:caps w:val="0"/>
          <w:color w:val="000000"/>
          <w:spacing w:val="0"/>
          <w:sz w:val="32"/>
          <w:szCs w:val="32"/>
        </w:rPr>
        <w:t>九、</w:t>
      </w:r>
      <w:r>
        <w:rPr>
          <w:rFonts w:hint="eastAsia" w:ascii="仿宋" w:hAnsi="仿宋" w:eastAsia="仿宋" w:cs="仿宋"/>
          <w:b/>
          <w:i w:val="0"/>
          <w:caps w:val="0"/>
          <w:color w:val="000000"/>
          <w:spacing w:val="0"/>
          <w:sz w:val="32"/>
          <w:szCs w:val="32"/>
          <w:shd w:val="clear" w:fill="FFFFFF"/>
        </w:rPr>
        <w:t>严格财务管理。</w:t>
      </w:r>
    </w:p>
    <w:p w14:paraId="7F98D8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32"/>
          <w:szCs w:val="32"/>
        </w:rPr>
        <w:t>严格遵从财务管理制度、会计法律法规，保证会计凭证的真实性与合法性，认真执行财务预算，规范管理各项收入，严格执行“收支两条线”标准。财务部门严格监管财务收支计划和预算的执行情况，监督各项资金合理使用，监督财务支出、资产使用情况，严格财务支出的审核，监督入账核销，设置会计科目，监督账务处理，掌握资金流量。</w:t>
      </w:r>
    </w:p>
    <w:p w14:paraId="42F5DA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二、部门整体支出规模、使用方向和内容</w:t>
      </w:r>
      <w:r>
        <w:rPr>
          <w:rFonts w:hint="eastAsia" w:ascii="仿宋" w:hAnsi="仿宋" w:eastAsia="仿宋" w:cs="仿宋"/>
          <w:b/>
          <w:i w:val="0"/>
          <w:caps w:val="0"/>
          <w:color w:val="1E1E1E"/>
          <w:spacing w:val="0"/>
          <w:sz w:val="32"/>
          <w:szCs w:val="32"/>
        </w:rPr>
        <w:t>（金额：万元）。</w:t>
      </w:r>
    </w:p>
    <w:p w14:paraId="201C5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（一）年度预算收支情况</w:t>
      </w:r>
    </w:p>
    <w:p w14:paraId="21ED39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1.年初预算收支</w:t>
      </w:r>
    </w:p>
    <w:tbl>
      <w:tblPr>
        <w:tblStyle w:val="6"/>
        <w:tblpPr w:vertAnchor="text" w:tblpXSpec="left"/>
        <w:tblW w:w="10440" w:type="dxa"/>
        <w:tblInd w:w="0" w:type="dxa"/>
        <w:shd w:val="clear" w:color="auto" w:fill="auto"/>
        <w:tblLayout w:type="autofit"/>
        <w:tblCellMar>
          <w:top w:w="0" w:type="dxa"/>
          <w:left w:w="0" w:type="dxa"/>
          <w:bottom w:w="0" w:type="dxa"/>
          <w:right w:w="0" w:type="dxa"/>
        </w:tblCellMar>
      </w:tblPr>
      <w:tblGrid>
        <w:gridCol w:w="2568"/>
        <w:gridCol w:w="2088"/>
        <w:gridCol w:w="1953"/>
        <w:gridCol w:w="1617"/>
        <w:gridCol w:w="2214"/>
      </w:tblGrid>
      <w:tr w14:paraId="787C54DB">
        <w:tblPrEx>
          <w:tblCellMar>
            <w:top w:w="0" w:type="dxa"/>
            <w:left w:w="0" w:type="dxa"/>
            <w:bottom w:w="0" w:type="dxa"/>
            <w:right w:w="0" w:type="dxa"/>
          </w:tblCellMar>
        </w:tblPrEx>
        <w:trPr>
          <w:trHeight w:val="582" w:hRule="atLeast"/>
        </w:trPr>
        <w:tc>
          <w:tcPr>
            <w:tcW w:w="2568"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7E43A4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预算项目</w:t>
            </w:r>
          </w:p>
        </w:tc>
        <w:tc>
          <w:tcPr>
            <w:tcW w:w="404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0BA20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预算金额</w:t>
            </w:r>
          </w:p>
        </w:tc>
        <w:tc>
          <w:tcPr>
            <w:tcW w:w="383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1DF435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较上年增加金额</w:t>
            </w:r>
          </w:p>
        </w:tc>
      </w:tr>
      <w:tr w14:paraId="1C74D888">
        <w:tblPrEx>
          <w:tblCellMar>
            <w:top w:w="0" w:type="dxa"/>
            <w:left w:w="0" w:type="dxa"/>
            <w:bottom w:w="0" w:type="dxa"/>
            <w:right w:w="0" w:type="dxa"/>
          </w:tblCellMar>
        </w:tblPrEx>
        <w:trPr>
          <w:trHeight w:val="582" w:hRule="atLeast"/>
        </w:trPr>
        <w:tc>
          <w:tcPr>
            <w:tcW w:w="2568"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1E100FC2">
            <w:pPr>
              <w:rPr>
                <w:rFonts w:hint="eastAsia" w:ascii="宋体"/>
                <w:sz w:val="24"/>
                <w:szCs w:val="24"/>
              </w:rPr>
            </w:pPr>
          </w:p>
        </w:tc>
        <w:tc>
          <w:tcPr>
            <w:tcW w:w="2088" w:type="dxa"/>
            <w:tcBorders>
              <w:top w:val="nil"/>
              <w:left w:val="nil"/>
              <w:bottom w:val="single" w:color="auto" w:sz="8" w:space="0"/>
              <w:right w:val="single" w:color="auto" w:sz="8" w:space="0"/>
            </w:tcBorders>
            <w:shd w:val="clear" w:color="auto" w:fill="D9D9D9"/>
            <w:tcMar>
              <w:left w:w="108" w:type="dxa"/>
              <w:right w:w="108" w:type="dxa"/>
            </w:tcMar>
            <w:vAlign w:val="center"/>
          </w:tcPr>
          <w:p w14:paraId="550282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2019年</w:t>
            </w:r>
          </w:p>
        </w:tc>
        <w:tc>
          <w:tcPr>
            <w:tcW w:w="1953" w:type="dxa"/>
            <w:tcBorders>
              <w:top w:val="nil"/>
              <w:left w:val="nil"/>
              <w:bottom w:val="single" w:color="auto" w:sz="8" w:space="0"/>
              <w:right w:val="single" w:color="auto" w:sz="8" w:space="0"/>
            </w:tcBorders>
            <w:shd w:val="clear" w:color="auto" w:fill="D9D9D9"/>
            <w:tcMar>
              <w:left w:w="108" w:type="dxa"/>
              <w:right w:w="108" w:type="dxa"/>
            </w:tcMar>
            <w:vAlign w:val="center"/>
          </w:tcPr>
          <w:p w14:paraId="30E2D7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2018年</w:t>
            </w:r>
          </w:p>
        </w:tc>
        <w:tc>
          <w:tcPr>
            <w:tcW w:w="1617" w:type="dxa"/>
            <w:tcBorders>
              <w:top w:val="nil"/>
              <w:left w:val="nil"/>
              <w:bottom w:val="single" w:color="auto" w:sz="8" w:space="0"/>
              <w:right w:val="single" w:color="auto" w:sz="8" w:space="0"/>
            </w:tcBorders>
            <w:shd w:val="clear" w:color="auto" w:fill="D9D9D9"/>
            <w:tcMar>
              <w:left w:w="108" w:type="dxa"/>
              <w:right w:w="108" w:type="dxa"/>
            </w:tcMar>
            <w:vAlign w:val="center"/>
          </w:tcPr>
          <w:p w14:paraId="7560E8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金额</w:t>
            </w:r>
          </w:p>
        </w:tc>
        <w:tc>
          <w:tcPr>
            <w:tcW w:w="2214" w:type="dxa"/>
            <w:tcBorders>
              <w:top w:val="nil"/>
              <w:left w:val="nil"/>
              <w:bottom w:val="single" w:color="auto" w:sz="8" w:space="0"/>
              <w:right w:val="single" w:color="auto" w:sz="8" w:space="0"/>
            </w:tcBorders>
            <w:shd w:val="clear" w:color="auto" w:fill="D9D9D9"/>
            <w:tcMar>
              <w:left w:w="108" w:type="dxa"/>
              <w:right w:w="108" w:type="dxa"/>
            </w:tcMar>
            <w:vAlign w:val="center"/>
          </w:tcPr>
          <w:p w14:paraId="4EDF34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rPr>
                <w:rFonts w:hint="default" w:ascii="Times New Roman" w:hAnsi="Times New Roman" w:cs="Times New Roman"/>
                <w:sz w:val="21"/>
                <w:szCs w:val="21"/>
              </w:rPr>
            </w:pPr>
            <w:r>
              <w:rPr>
                <w:rFonts w:hint="eastAsia" w:ascii="仿宋" w:hAnsi="仿宋" w:eastAsia="仿宋" w:cs="仿宋"/>
                <w:b/>
                <w:color w:val="000000"/>
                <w:sz w:val="32"/>
                <w:szCs w:val="32"/>
              </w:rPr>
              <w:t>比例</w:t>
            </w:r>
          </w:p>
        </w:tc>
      </w:tr>
      <w:tr w14:paraId="470E5EE0">
        <w:tblPrEx>
          <w:tblCellMar>
            <w:top w:w="0" w:type="dxa"/>
            <w:left w:w="0" w:type="dxa"/>
            <w:bottom w:w="0" w:type="dxa"/>
            <w:right w:w="0" w:type="dxa"/>
          </w:tblCellMar>
        </w:tblPrEx>
        <w:trPr>
          <w:trHeight w:val="582" w:hRule="atLeast"/>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E76A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rPr>
                <w:rFonts w:hint="default" w:ascii="Times New Roman" w:hAnsi="Times New Roman" w:cs="Times New Roman"/>
                <w:sz w:val="21"/>
                <w:szCs w:val="21"/>
              </w:rPr>
            </w:pPr>
            <w:r>
              <w:rPr>
                <w:rFonts w:hint="eastAsia" w:ascii="仿宋" w:hAnsi="仿宋" w:eastAsia="仿宋" w:cs="仿宋"/>
                <w:b/>
                <w:color w:val="010101"/>
                <w:sz w:val="32"/>
                <w:szCs w:val="32"/>
              </w:rPr>
              <w:t>收入预算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14:paraId="1069EB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378.7</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14:paraId="394144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343.2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14:paraId="73CC0A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35.5</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14:paraId="0204B3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rPr>
                <w:rFonts w:hint="default" w:ascii="Times New Roman" w:hAnsi="Times New Roman" w:cs="Times New Roman"/>
                <w:sz w:val="21"/>
                <w:szCs w:val="21"/>
              </w:rPr>
            </w:pPr>
            <w:r>
              <w:rPr>
                <w:rFonts w:hint="eastAsia" w:ascii="仿宋" w:hAnsi="仿宋" w:eastAsia="仿宋" w:cs="仿宋"/>
                <w:color w:val="010101"/>
                <w:sz w:val="32"/>
                <w:szCs w:val="32"/>
              </w:rPr>
              <w:t>10%</w:t>
            </w:r>
          </w:p>
        </w:tc>
      </w:tr>
      <w:tr w14:paraId="0F0D29CC">
        <w:tblPrEx>
          <w:tblCellMar>
            <w:top w:w="0" w:type="dxa"/>
            <w:left w:w="0" w:type="dxa"/>
            <w:bottom w:w="0" w:type="dxa"/>
            <w:right w:w="0" w:type="dxa"/>
          </w:tblCellMar>
        </w:tblPrEx>
        <w:trPr>
          <w:trHeight w:val="1145" w:hRule="atLeast"/>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BED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rPr>
                <w:rFonts w:hint="default" w:ascii="Times New Roman" w:hAnsi="Times New Roman" w:cs="Times New Roman"/>
                <w:sz w:val="21"/>
                <w:szCs w:val="21"/>
              </w:rPr>
            </w:pPr>
            <w:r>
              <w:rPr>
                <w:rFonts w:hint="eastAsia" w:ascii="仿宋" w:hAnsi="仿宋" w:eastAsia="仿宋" w:cs="仿宋"/>
                <w:color w:val="010101"/>
                <w:sz w:val="32"/>
                <w:szCs w:val="32"/>
              </w:rPr>
              <w:t>其中：财政经费拨款</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14:paraId="691D75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378.7</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14:paraId="07A81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343.2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14:paraId="60AE7A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35.5</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14:paraId="459177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rPr>
                <w:rFonts w:hint="default" w:ascii="Times New Roman" w:hAnsi="Times New Roman" w:cs="Times New Roman"/>
                <w:sz w:val="21"/>
                <w:szCs w:val="21"/>
              </w:rPr>
            </w:pPr>
            <w:r>
              <w:rPr>
                <w:rFonts w:hint="eastAsia" w:ascii="仿宋" w:hAnsi="仿宋" w:eastAsia="仿宋" w:cs="仿宋"/>
                <w:color w:val="010101"/>
                <w:sz w:val="32"/>
                <w:szCs w:val="32"/>
              </w:rPr>
              <w:t>10%</w:t>
            </w:r>
          </w:p>
        </w:tc>
      </w:tr>
      <w:tr w14:paraId="4EF28E95">
        <w:tblPrEx>
          <w:tblCellMar>
            <w:top w:w="0" w:type="dxa"/>
            <w:left w:w="0" w:type="dxa"/>
            <w:bottom w:w="0" w:type="dxa"/>
            <w:right w:w="0" w:type="dxa"/>
          </w:tblCellMar>
        </w:tblPrEx>
        <w:trPr>
          <w:trHeight w:val="582" w:hRule="atLeast"/>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BE6A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rPr>
                <w:rFonts w:hint="default" w:ascii="Times New Roman" w:hAnsi="Times New Roman" w:cs="Times New Roman"/>
                <w:sz w:val="21"/>
                <w:szCs w:val="21"/>
              </w:rPr>
            </w:pPr>
            <w:r>
              <w:rPr>
                <w:rFonts w:hint="eastAsia" w:ascii="仿宋" w:hAnsi="仿宋" w:eastAsia="仿宋" w:cs="仿宋"/>
                <w:b/>
                <w:color w:val="010101"/>
                <w:sz w:val="32"/>
                <w:szCs w:val="32"/>
              </w:rPr>
              <w:t>支出预算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14:paraId="2E9542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378.7</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14:paraId="47FB92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343.2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14:paraId="3241E2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35.5</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14:paraId="1A63D8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rPr>
                <w:rFonts w:hint="default" w:ascii="Times New Roman" w:hAnsi="Times New Roman" w:cs="Times New Roman"/>
                <w:sz w:val="21"/>
                <w:szCs w:val="21"/>
              </w:rPr>
            </w:pPr>
            <w:r>
              <w:rPr>
                <w:rFonts w:hint="eastAsia" w:ascii="仿宋" w:hAnsi="仿宋" w:eastAsia="仿宋" w:cs="仿宋"/>
                <w:color w:val="010101"/>
                <w:sz w:val="32"/>
                <w:szCs w:val="32"/>
              </w:rPr>
              <w:t>10%</w:t>
            </w:r>
          </w:p>
        </w:tc>
      </w:tr>
      <w:tr w14:paraId="31D744CC">
        <w:tblPrEx>
          <w:tblCellMar>
            <w:top w:w="0" w:type="dxa"/>
            <w:left w:w="0" w:type="dxa"/>
            <w:bottom w:w="0" w:type="dxa"/>
            <w:right w:w="0" w:type="dxa"/>
          </w:tblCellMar>
        </w:tblPrEx>
        <w:trPr>
          <w:trHeight w:val="622" w:hRule="atLeast"/>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10F8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rPr>
                <w:rFonts w:hint="default" w:ascii="Times New Roman" w:hAnsi="Times New Roman" w:cs="Times New Roman"/>
                <w:sz w:val="21"/>
                <w:szCs w:val="21"/>
              </w:rPr>
            </w:pPr>
            <w:r>
              <w:rPr>
                <w:rFonts w:hint="eastAsia" w:ascii="仿宋" w:hAnsi="仿宋" w:eastAsia="仿宋" w:cs="仿宋"/>
                <w:color w:val="010101"/>
                <w:sz w:val="32"/>
                <w:szCs w:val="32"/>
              </w:rPr>
              <w:t>其中：基本支出</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14:paraId="10359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378.7</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14:paraId="2FF03C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343.2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14:paraId="63B8C3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rPr>
                <w:rFonts w:hint="default" w:ascii="Times New Roman" w:hAnsi="Times New Roman" w:cs="Times New Roman"/>
                <w:sz w:val="21"/>
                <w:szCs w:val="21"/>
              </w:rPr>
            </w:pPr>
            <w:r>
              <w:rPr>
                <w:rFonts w:hint="eastAsia" w:ascii="仿宋" w:hAnsi="仿宋" w:eastAsia="仿宋" w:cs="仿宋"/>
                <w:color w:val="010101"/>
                <w:sz w:val="32"/>
                <w:szCs w:val="32"/>
              </w:rPr>
              <w:t>35.5</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14:paraId="66017C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rPr>
                <w:rFonts w:hint="default" w:ascii="Times New Roman" w:hAnsi="Times New Roman" w:cs="Times New Roman"/>
                <w:sz w:val="21"/>
                <w:szCs w:val="21"/>
              </w:rPr>
            </w:pPr>
            <w:r>
              <w:rPr>
                <w:rFonts w:hint="eastAsia" w:ascii="仿宋" w:hAnsi="仿宋" w:eastAsia="仿宋" w:cs="仿宋"/>
                <w:color w:val="010101"/>
                <w:sz w:val="32"/>
                <w:szCs w:val="32"/>
              </w:rPr>
              <w:t>10%</w:t>
            </w:r>
          </w:p>
        </w:tc>
      </w:tr>
    </w:tbl>
    <w:p w14:paraId="4E9E54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707D31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39800E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2FA9EE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6C7FB8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2B2F60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156594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6835BD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08359A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6597CB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根据年初预算批复，与上年比较，较上年增加35.5万元，是工资普调等原因。</w:t>
      </w:r>
    </w:p>
    <w:p w14:paraId="7C1788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2.财政预算整体支出使用范围、方向和内容</w:t>
      </w:r>
    </w:p>
    <w:p w14:paraId="46A225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我站基本支出的范围和主要用途包括人员经费和日常公用经费及基本业务工作支出。具体包括：工资福利支出、对个人和家族的补助、商品和服务支出、其他资本性支出。</w:t>
      </w:r>
    </w:p>
    <w:p w14:paraId="7A415E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480"/>
        <w:jc w:val="left"/>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根据年初预算及预算调整后，我站2019年度一般公共预算支出情况：（金额：万元）</w:t>
      </w:r>
    </w:p>
    <w:p w14:paraId="5C3D6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14:paraId="0F641B06">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074CFC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4A05FC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1F59A6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44D94F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r>
      <w:tr w14:paraId="316BA347">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C920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14:paraId="6006FD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223.1</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14:paraId="48D2A9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14:paraId="21F2F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223.1</w:t>
            </w:r>
          </w:p>
        </w:tc>
      </w:tr>
      <w:tr w14:paraId="04EACF2C">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0ED8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14:paraId="23F338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171.97</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14:paraId="17B26A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14:paraId="004AC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171.97</w:t>
            </w:r>
          </w:p>
        </w:tc>
      </w:tr>
      <w:tr w14:paraId="68F09F33">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91C6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其他资本性支出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14:paraId="3F0513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203</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14:paraId="650C19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14:paraId="78DD0D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203</w:t>
            </w:r>
          </w:p>
        </w:tc>
      </w:tr>
      <w:tr w14:paraId="2A87292D">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14:paraId="5864E7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w:t>
            </w:r>
            <w:r>
              <w:rPr>
                <w:rFonts w:hint="eastAsia" w:ascii="宋体" w:hAnsi="宋体" w:eastAsia="宋体" w:cs="宋体"/>
                <w:color w:val="000000"/>
                <w:sz w:val="21"/>
                <w:szCs w:val="21"/>
              </w:rPr>
              <w:t> </w:t>
            </w:r>
            <w:r>
              <w:rPr>
                <w:rFonts w:hint="eastAsia" w:ascii="仿宋" w:hAnsi="仿宋" w:eastAsia="仿宋" w:cs="仿宋"/>
                <w:color w:val="000000"/>
                <w:sz w:val="21"/>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14:paraId="3BEE9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14:paraId="55C15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14:paraId="3D314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r>
    </w:tbl>
    <w:p w14:paraId="5AA6AC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（二）年度收支决算情况</w:t>
      </w:r>
    </w:p>
    <w:p w14:paraId="132697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1.年度收入决算</w:t>
      </w:r>
    </w:p>
    <w:p w14:paraId="574A9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14:paraId="372E065C">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174CFB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0CDAFB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56116C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4170B1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差额</w:t>
            </w:r>
          </w:p>
        </w:tc>
      </w:tr>
      <w:tr w14:paraId="16C92987">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11CA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14:paraId="446EF0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378.7</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14:paraId="294F2C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14:paraId="50BEE4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219.37</w:t>
            </w:r>
          </w:p>
        </w:tc>
      </w:tr>
    </w:tbl>
    <w:p w14:paraId="3C952B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年初预算金额与决算金额相差219.37万元，是因为</w:t>
      </w:r>
      <w:r>
        <w:rPr>
          <w:rFonts w:hint="eastAsia" w:ascii="仿宋" w:hAnsi="仿宋" w:eastAsia="仿宋" w:cs="仿宋"/>
          <w:i w:val="0"/>
          <w:caps w:val="0"/>
          <w:color w:val="1E1E1E"/>
          <w:spacing w:val="0"/>
          <w:sz w:val="30"/>
          <w:szCs w:val="30"/>
        </w:rPr>
        <w:t>预算调整增加了资金</w:t>
      </w:r>
      <w:r>
        <w:rPr>
          <w:rFonts w:hint="eastAsia" w:ascii="仿宋" w:hAnsi="仿宋" w:eastAsia="仿宋" w:cs="仿宋"/>
          <w:i w:val="0"/>
          <w:caps w:val="0"/>
          <w:color w:val="1E1E1E"/>
          <w:spacing w:val="0"/>
          <w:sz w:val="32"/>
          <w:szCs w:val="32"/>
        </w:rPr>
        <w:t>。</w:t>
      </w:r>
    </w:p>
    <w:p w14:paraId="746823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w:t>
      </w:r>
      <w:r>
        <w:rPr>
          <w:rFonts w:ascii="Times New Roman" w:hAnsi="Times New Roman" w:eastAsia="仿宋" w:cs="Times New Roman"/>
          <w:i w:val="0"/>
          <w:caps w:val="0"/>
          <w:color w:val="1E1E1E"/>
          <w:spacing w:val="0"/>
          <w:sz w:val="14"/>
          <w:szCs w:val="14"/>
        </w:rPr>
        <w:t>   </w:t>
      </w:r>
      <w:r>
        <w:rPr>
          <w:rFonts w:hint="default" w:ascii="Times New Roman" w:hAnsi="Times New Roman" w:eastAsia="仿宋" w:cs="Times New Roman"/>
          <w:i w:val="0"/>
          <w:caps w:val="0"/>
          <w:color w:val="1E1E1E"/>
          <w:spacing w:val="0"/>
          <w:sz w:val="14"/>
          <w:szCs w:val="14"/>
        </w:rPr>
        <w:t> </w:t>
      </w:r>
      <w:r>
        <w:rPr>
          <w:rFonts w:hint="eastAsia" w:ascii="仿宋" w:hAnsi="仿宋" w:eastAsia="仿宋" w:cs="仿宋"/>
          <w:i w:val="0"/>
          <w:caps w:val="0"/>
          <w:color w:val="1E1E1E"/>
          <w:spacing w:val="0"/>
          <w:sz w:val="32"/>
          <w:szCs w:val="32"/>
        </w:rPr>
        <w:t>年度预算支出决算及结余，年初预算安排的项目经费，实际执行中用项目经费弥补基本经费支出不足。</w:t>
      </w:r>
    </w:p>
    <w:tbl>
      <w:tblPr>
        <w:tblStyle w:val="6"/>
        <w:tblW w:w="0" w:type="auto"/>
        <w:tblInd w:w="0" w:type="dxa"/>
        <w:shd w:val="clear" w:color="auto" w:fill="auto"/>
        <w:tblLayout w:type="autofit"/>
        <w:tblCellMar>
          <w:top w:w="0" w:type="dxa"/>
          <w:left w:w="0" w:type="dxa"/>
          <w:bottom w:w="0" w:type="dxa"/>
          <w:right w:w="0" w:type="dxa"/>
        </w:tblCellMar>
      </w:tblPr>
      <w:tblGrid>
        <w:gridCol w:w="1739"/>
        <w:gridCol w:w="2270"/>
        <w:gridCol w:w="1984"/>
        <w:gridCol w:w="1962"/>
      </w:tblGrid>
      <w:tr w14:paraId="45378604">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14:paraId="023ECD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预算支出类别</w:t>
            </w:r>
          </w:p>
        </w:tc>
        <w:tc>
          <w:tcPr>
            <w:tcW w:w="227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DB23C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14AB3E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3F584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增减金额</w:t>
            </w:r>
          </w:p>
        </w:tc>
      </w:tr>
      <w:tr w14:paraId="144229FE">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671EB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基本支出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0FDF7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378.7</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F8EA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EF74B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219.37</w:t>
            </w:r>
          </w:p>
        </w:tc>
      </w:tr>
      <w:tr w14:paraId="62C91164">
        <w:tblPrEx>
          <w:shd w:val="clear" w:color="auto" w:fill="auto"/>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14:paraId="55F76B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小计</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B131E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378.7</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3BDDA2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640D7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219.37</w:t>
            </w:r>
          </w:p>
        </w:tc>
      </w:tr>
    </w:tbl>
    <w:p w14:paraId="0D3116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r>
        <w:rPr>
          <w:rFonts w:hint="eastAsia" w:ascii="仿宋" w:hAnsi="仿宋" w:eastAsia="仿宋" w:cs="仿宋"/>
          <w:b/>
          <w:i w:val="0"/>
          <w:caps w:val="0"/>
          <w:color w:val="1E1E1E"/>
          <w:spacing w:val="0"/>
          <w:sz w:val="32"/>
          <w:szCs w:val="32"/>
        </w:rPr>
        <w:t>三、</w:t>
      </w:r>
      <w:r>
        <w:rPr>
          <w:rFonts w:hint="eastAsia" w:ascii="仿宋" w:hAnsi="仿宋" w:eastAsia="仿宋" w:cs="仿宋"/>
          <w:i w:val="0"/>
          <w:caps w:val="0"/>
          <w:color w:val="1E1E1E"/>
          <w:spacing w:val="0"/>
          <w:sz w:val="32"/>
          <w:szCs w:val="32"/>
        </w:rPr>
        <w:t>部门整体支出管理及使用情况</w:t>
      </w:r>
    </w:p>
    <w:p w14:paraId="15C0C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仿宋" w:hAnsi="仿宋" w:eastAsia="仿宋" w:cs="仿宋"/>
          <w:b w:val="0"/>
          <w:i w:val="0"/>
          <w:caps w:val="0"/>
          <w:color w:val="1E1E1E"/>
          <w:spacing w:val="0"/>
          <w:sz w:val="32"/>
          <w:szCs w:val="32"/>
        </w:rPr>
        <w:t>（一）基本支出管理</w:t>
      </w:r>
    </w:p>
    <w:p w14:paraId="54560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i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14:paraId="46193F1A">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1BE6D8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宋体" w:hAnsi="宋体" w:eastAsia="宋体" w:cs="宋体"/>
                <w:color w:val="000000"/>
                <w:sz w:val="21"/>
                <w:szCs w:val="21"/>
              </w:rPr>
              <w:t> </w:t>
            </w:r>
            <w:r>
              <w:rPr>
                <w:rFonts w:hint="eastAsia" w:ascii="仿宋" w:hAnsi="仿宋" w:eastAsia="仿宋" w:cs="仿宋"/>
                <w:color w:val="000000"/>
                <w:sz w:val="21"/>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3E9E66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568FA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229A06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节约/超支金额</w:t>
            </w:r>
          </w:p>
        </w:tc>
      </w:tr>
      <w:tr w14:paraId="71BA5F79">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28D6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14:paraId="567FF3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223.1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14:paraId="5E142D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223.1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14:paraId="007E43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r>
      <w:tr w14:paraId="0A52D70B">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5088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14:paraId="546C6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155.6</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14:paraId="7C85A3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171.97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14:paraId="0EC197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16.37</w:t>
            </w:r>
          </w:p>
        </w:tc>
      </w:tr>
      <w:tr w14:paraId="30518082">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3E47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其资本性支出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14:paraId="077C06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14:paraId="3404C8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203</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14:paraId="0DFF3C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203</w:t>
            </w:r>
          </w:p>
        </w:tc>
      </w:tr>
      <w:tr w14:paraId="6B626A02">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14:paraId="666CB7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14:paraId="71B959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378.7</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14:paraId="0F1CE2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598.07</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14:paraId="60AC49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color w:val="000000"/>
                <w:sz w:val="21"/>
                <w:szCs w:val="21"/>
              </w:rPr>
              <w:t>219.37</w:t>
            </w:r>
          </w:p>
        </w:tc>
      </w:tr>
    </w:tbl>
    <w:p w14:paraId="222040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2、基本支出中各费用明细支出管理</w:t>
      </w:r>
    </w:p>
    <w:p w14:paraId="2C1F99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6"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5"/>
        <w:gridCol w:w="1135"/>
        <w:gridCol w:w="1417"/>
        <w:gridCol w:w="1664"/>
      </w:tblGrid>
      <w:tr w14:paraId="38400B77">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14:paraId="74CDD4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14:paraId="684C54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14:paraId="1FEF9F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14:paraId="22054E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节约/支金额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14:paraId="3C56B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节约/超支率</w:t>
            </w:r>
          </w:p>
        </w:tc>
      </w:tr>
      <w:tr w14:paraId="358D9568">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167987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基本工资</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3150A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93.3</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5F730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93.3</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1A4A6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49AC3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7CF78760">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39108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津贴补贴</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95E6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10.2</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E092E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22AA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6EE13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76D2DF86">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A9BFD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奖金</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A1E80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39.6</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9C513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39.6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C0947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79C38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2A0983CA">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CE364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伙食补助费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300B2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13.2</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ACD18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FE705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7088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45703452">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4D10CE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其他工资福利支出</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F065F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66.8</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18E46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66.8</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6696F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E3414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7B263D99">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14:paraId="225C7C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4ED33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223.1</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28CC4E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223.1</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BAB83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6A8CC6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14:paraId="10CA39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2019年奖金、社会保障、伙食补助、其他工资福利支出等在年初预算范围内。</w:t>
      </w:r>
    </w:p>
    <w:p w14:paraId="30B41E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（2）商品和服务支出</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14:paraId="721266B9">
        <w:tblPrEx>
          <w:shd w:val="clear" w:color="auto" w:fill="auto"/>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14:paraId="4F7014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7530B7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31954D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457ADF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14:paraId="44E25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增减率</w:t>
            </w:r>
          </w:p>
        </w:tc>
      </w:tr>
      <w:tr w14:paraId="67B52B61">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BC9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38A1F6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748A60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62CDE5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1B278D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54E45FF1">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96EF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67126F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46177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5EC8D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0E1786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2BD41A82">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190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56933D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0EC1B7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6BD9AE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7680EB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4FCE7497">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67D6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4F4904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6ADA2D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041F55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0DE1C0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7C6A6F8B">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569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5094F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47.4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108717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47.4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56B62C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41299B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3A5430EB">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4160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2D4DD2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60F1D4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6B5A37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08601A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1199EB14">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05F0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687EDC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0.57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35C3B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0.57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46FD84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267D37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62A85D26">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8F35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161181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14B7E9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21C6C3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69CB66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1EFAECF3">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8822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1806EA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01E6D0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13.7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4CAE99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50506C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598A581B">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3A48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24B7D5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064260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0943C0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3E815A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021234BE">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8E76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14:paraId="786F74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30.53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14:paraId="481423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46.9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14:paraId="14E5FA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16.37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14:paraId="65E0D4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53.6</w:t>
            </w:r>
          </w:p>
        </w:tc>
      </w:tr>
      <w:tr w14:paraId="605E2D41">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nil"/>
              <w:right w:val="single" w:color="auto" w:sz="8" w:space="0"/>
            </w:tcBorders>
            <w:shd w:val="clear" w:color="auto" w:fill="C0C0C0"/>
            <w:tcMar>
              <w:left w:w="108" w:type="dxa"/>
              <w:right w:w="108" w:type="dxa"/>
            </w:tcMar>
            <w:vAlign w:val="center"/>
          </w:tcPr>
          <w:p w14:paraId="3C1DD6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398" w:type="dxa"/>
            <w:tcBorders>
              <w:top w:val="nil"/>
              <w:left w:val="nil"/>
              <w:bottom w:val="nil"/>
              <w:right w:val="single" w:color="auto" w:sz="8" w:space="0"/>
            </w:tcBorders>
            <w:shd w:val="clear" w:color="auto" w:fill="C0C0C0"/>
            <w:tcMar>
              <w:left w:w="108" w:type="dxa"/>
              <w:right w:w="108" w:type="dxa"/>
            </w:tcMar>
            <w:vAlign w:val="center"/>
          </w:tcPr>
          <w:p w14:paraId="0899F7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155.6</w:t>
            </w:r>
          </w:p>
        </w:tc>
        <w:tc>
          <w:tcPr>
            <w:tcW w:w="1537" w:type="dxa"/>
            <w:tcBorders>
              <w:top w:val="nil"/>
              <w:left w:val="nil"/>
              <w:bottom w:val="nil"/>
              <w:right w:val="single" w:color="auto" w:sz="8" w:space="0"/>
            </w:tcBorders>
            <w:shd w:val="clear" w:color="auto" w:fill="C0C0C0"/>
            <w:tcMar>
              <w:left w:w="108" w:type="dxa"/>
              <w:right w:w="108" w:type="dxa"/>
            </w:tcMar>
            <w:vAlign w:val="center"/>
          </w:tcPr>
          <w:p w14:paraId="3FBEE2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171.97</w:t>
            </w:r>
          </w:p>
        </w:tc>
        <w:tc>
          <w:tcPr>
            <w:tcW w:w="1429" w:type="dxa"/>
            <w:tcBorders>
              <w:top w:val="nil"/>
              <w:left w:val="nil"/>
              <w:bottom w:val="nil"/>
              <w:right w:val="single" w:color="auto" w:sz="8" w:space="0"/>
            </w:tcBorders>
            <w:shd w:val="clear" w:color="auto" w:fill="C0C0C0"/>
            <w:tcMar>
              <w:left w:w="108" w:type="dxa"/>
              <w:right w:w="108" w:type="dxa"/>
            </w:tcMar>
            <w:vAlign w:val="center"/>
          </w:tcPr>
          <w:p w14:paraId="26CF60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16.37</w:t>
            </w:r>
          </w:p>
        </w:tc>
        <w:tc>
          <w:tcPr>
            <w:tcW w:w="1643" w:type="dxa"/>
            <w:tcBorders>
              <w:top w:val="nil"/>
              <w:left w:val="nil"/>
              <w:bottom w:val="nil"/>
              <w:right w:val="single" w:color="auto" w:sz="8" w:space="0"/>
            </w:tcBorders>
            <w:shd w:val="clear" w:color="auto" w:fill="C0C0C0"/>
            <w:tcMar>
              <w:left w:w="108" w:type="dxa"/>
              <w:right w:w="108" w:type="dxa"/>
            </w:tcMar>
            <w:vAlign w:val="center"/>
          </w:tcPr>
          <w:p w14:paraId="4748F9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10.8</w:t>
            </w:r>
          </w:p>
        </w:tc>
      </w:tr>
    </w:tbl>
    <w:p w14:paraId="09F939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（3）资本性支出</w:t>
      </w:r>
    </w:p>
    <w:tbl>
      <w:tblPr>
        <w:tblStyle w:val="6"/>
        <w:tblW w:w="0" w:type="auto"/>
        <w:tblInd w:w="0" w:type="dxa"/>
        <w:shd w:val="clear" w:color="auto" w:fill="auto"/>
        <w:tblLayout w:type="autofit"/>
        <w:tblCellMar>
          <w:top w:w="0" w:type="dxa"/>
          <w:left w:w="0" w:type="dxa"/>
          <w:bottom w:w="0" w:type="dxa"/>
          <w:right w:w="0" w:type="dxa"/>
        </w:tblCellMar>
      </w:tblPr>
      <w:tblGrid>
        <w:gridCol w:w="1810"/>
        <w:gridCol w:w="1533"/>
        <w:gridCol w:w="1555"/>
        <w:gridCol w:w="1868"/>
        <w:gridCol w:w="1570"/>
      </w:tblGrid>
      <w:tr w14:paraId="55309AC8">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14:paraId="5EDE8D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1245B2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263D31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18125B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633175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结余/超支率</w:t>
            </w:r>
          </w:p>
        </w:tc>
      </w:tr>
      <w:tr w14:paraId="061D223F">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5997F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专用设备购置</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DAC19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CF9D9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203</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174CA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203</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DE814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14:paraId="5263188E">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14:paraId="3EC2C5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7A6E66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059B8C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203</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34BEC3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203</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14:paraId="3B999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bl>
    <w:p w14:paraId="188B41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（二）“三公经费”支出使用和管理</w:t>
      </w:r>
    </w:p>
    <w:p w14:paraId="69D804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1、“三公经费”预算执行</w:t>
      </w:r>
    </w:p>
    <w:p w14:paraId="208224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tbl>
      <w:tblPr>
        <w:tblStyle w:val="6"/>
        <w:tblW w:w="0" w:type="auto"/>
        <w:jc w:val="center"/>
        <w:shd w:val="clear" w:color="auto" w:fill="auto"/>
        <w:tblLayout w:type="autofit"/>
        <w:tblCellMar>
          <w:top w:w="0" w:type="dxa"/>
          <w:left w:w="0" w:type="dxa"/>
          <w:bottom w:w="0" w:type="dxa"/>
          <w:right w:w="0" w:type="dxa"/>
        </w:tblCellMar>
      </w:tblPr>
      <w:tblGrid>
        <w:gridCol w:w="1608"/>
        <w:gridCol w:w="1054"/>
        <w:gridCol w:w="1112"/>
        <w:gridCol w:w="995"/>
        <w:gridCol w:w="1156"/>
        <w:gridCol w:w="1136"/>
        <w:gridCol w:w="1275"/>
      </w:tblGrid>
      <w:tr w14:paraId="3B0F8109">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14:paraId="220107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31AFF1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05FBF6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12E112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结余/超支</w:t>
            </w:r>
          </w:p>
        </w:tc>
      </w:tr>
      <w:tr w14:paraId="1AB7D89C">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14:paraId="5F5E4434">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14:paraId="712693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14:paraId="0911B5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14:paraId="101E8F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14:paraId="694AC8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14:paraId="1567E2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14:paraId="7330F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项目支出</w:t>
            </w:r>
          </w:p>
        </w:tc>
      </w:tr>
      <w:tr w14:paraId="407102C8">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43296A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14:paraId="205F12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14:paraId="545F87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14:paraId="7339F7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14:paraId="6BA328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14:paraId="5B213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14:paraId="356DAD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7D8C3EBE">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2FD1D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14:paraId="212EC9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21.7</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14:paraId="3CB52F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14:paraId="38732B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21.7</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14:paraId="3F077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14:paraId="58DEA1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14:paraId="4F22D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3C44A30A">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28AC5C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14:paraId="7A1897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14:paraId="7D844C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14:paraId="3E8CD1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14:paraId="66F734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14:paraId="70FDF2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14:paraId="4A61CD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31923C86">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5EF170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14:paraId="37E0FD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14:paraId="4C933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14:paraId="1AE218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14:paraId="128B84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14:paraId="727039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14:paraId="25B524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60FDACA5">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14:paraId="4B2660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14:paraId="583E9E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22.6</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14:paraId="70D7C1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14:paraId="0EB951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22.6</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14:paraId="15B657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14:paraId="7A7445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14:paraId="400ECC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bl>
    <w:p w14:paraId="68B17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14:paraId="17710153">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14:paraId="319A67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7900D3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613C07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5ADA97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14:paraId="318C21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增减率%</w:t>
            </w:r>
          </w:p>
        </w:tc>
      </w:tr>
      <w:tr w14:paraId="52E0C054">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379C04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14:paraId="2E3F56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14:paraId="17DE22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1.8</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14:paraId="320A50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-0.9</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14:paraId="72403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50%</w:t>
            </w:r>
          </w:p>
        </w:tc>
      </w:tr>
      <w:tr w14:paraId="58E131B8">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07977A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14:paraId="4054A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21.7</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14:paraId="7C3FDC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16</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14:paraId="3AD15A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5.7</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14:paraId="00EB68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35%</w:t>
            </w:r>
          </w:p>
        </w:tc>
      </w:tr>
      <w:tr w14:paraId="60117BD0">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23BDEE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14:paraId="5DAA8A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14:paraId="0DE1FD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14:paraId="401DB7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14:paraId="1D5136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40450933">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14:paraId="5DEA54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14:paraId="3044CC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14:paraId="241ABA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14:paraId="333E32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14:paraId="3EEA3E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r>
      <w:tr w14:paraId="61C37126">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14:paraId="3BBCC7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14:paraId="4900F8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22.6</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14:paraId="52BE64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17.8</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14:paraId="628BD2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14:paraId="2BE587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26.9%</w:t>
            </w:r>
          </w:p>
        </w:tc>
      </w:tr>
    </w:tbl>
    <w:p w14:paraId="3C60D3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通过严格制度，强化管理，我站全年三公经费总额同比增加4.8 万，同比增长了26.9%。（增加的原因是18年下半年公车修理费在2019年1月份才</w:t>
      </w:r>
      <w:r>
        <w:rPr>
          <w:rFonts w:hint="eastAsia" w:ascii="仿宋" w:hAnsi="仿宋" w:eastAsia="仿宋" w:cs="仿宋"/>
          <w:i w:val="0"/>
          <w:caps w:val="0"/>
          <w:color w:val="1E1E1E"/>
          <w:spacing w:val="0"/>
          <w:sz w:val="32"/>
          <w:szCs w:val="32"/>
          <w:lang w:eastAsia="zh-CN"/>
        </w:rPr>
        <w:t>报账</w:t>
      </w:r>
      <w:r>
        <w:rPr>
          <w:rFonts w:hint="eastAsia" w:ascii="仿宋" w:hAnsi="仿宋" w:eastAsia="仿宋" w:cs="仿宋"/>
          <w:i w:val="0"/>
          <w:caps w:val="0"/>
          <w:color w:val="1E1E1E"/>
          <w:spacing w:val="0"/>
          <w:sz w:val="32"/>
          <w:szCs w:val="32"/>
        </w:rPr>
        <w:t>。）</w:t>
      </w:r>
    </w:p>
    <w:p w14:paraId="67D499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r>
        <w:rPr>
          <w:rFonts w:hint="eastAsia" w:ascii="仿宋" w:hAnsi="仿宋" w:eastAsia="仿宋" w:cs="仿宋"/>
          <w:b w:val="0"/>
          <w:i w:val="0"/>
          <w:caps w:val="0"/>
          <w:color w:val="1E1E1E"/>
          <w:spacing w:val="0"/>
          <w:sz w:val="32"/>
          <w:szCs w:val="32"/>
        </w:rPr>
        <w:t>四、部门整体支出绩效评价</w:t>
      </w:r>
    </w:p>
    <w:p w14:paraId="7A7E3B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2019年，根据站年初工作规划和重点工作，围绕县委、县政府全面建成小康社会的发展蓝图，积极履职，强化管理，较好的完成了年度工作目标。通过加强预算收支管理，不断建立健全内部管理制度，梳理内部管理流程，部门整体支出管理情况得到提升，部门整体支出绩效情况如下：</w:t>
      </w:r>
    </w:p>
    <w:p w14:paraId="4B8BBE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（一）经济性评价</w:t>
      </w:r>
    </w:p>
    <w:p w14:paraId="36D15F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8" w:right="0" w:firstLine="32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1.本年预算配置控制较好。财政供养人员控制在预算编制以内；“三公”经费支出总额控制在预算。</w:t>
      </w:r>
    </w:p>
    <w:p w14:paraId="3E8765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预算执行方面。支出总额控制在预算总额以内；三公经费总体控制较好，较上年下降。预算管理方面，制度执行总体较为有效，仍需进一步强化。资金使用管理需进一步加强。资产管理方面，建立了资产管理制度，定期进行了盘点和资产清理，总体执行较好。</w:t>
      </w:r>
    </w:p>
    <w:p w14:paraId="508785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2"/>
        <w:jc w:val="both"/>
        <w:rPr>
          <w:rFonts w:hint="default" w:ascii="Times New Roman" w:hAnsi="Times New Roman" w:cs="Times New Roman"/>
          <w:sz w:val="21"/>
          <w:szCs w:val="21"/>
        </w:rPr>
      </w:pPr>
      <w:r>
        <w:rPr>
          <w:rFonts w:hint="eastAsia" w:ascii="仿宋" w:hAnsi="仿宋" w:eastAsia="仿宋" w:cs="仿宋"/>
          <w:b/>
          <w:i w:val="0"/>
          <w:caps w:val="0"/>
          <w:color w:val="1E1E1E"/>
          <w:spacing w:val="0"/>
          <w:sz w:val="32"/>
          <w:szCs w:val="32"/>
        </w:rPr>
        <w:t>（二）行政效能评价</w:t>
      </w:r>
    </w:p>
    <w:p w14:paraId="214231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预算安排的基本支出保险了我站的正常的工作运转，在资金的管理和使用上，严守法律底线、纪律底线、道德底线。</w:t>
      </w:r>
    </w:p>
    <w:p w14:paraId="17AB41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1.高度重视预算绩效工作。成立为以站长为组长，其他领导为副组长，办公室及财务室人员为成员的预算绩效工作领导小组，进一步强化财政预算支出绩效管理。</w:t>
      </w:r>
    </w:p>
    <w:p w14:paraId="3BDEE3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2.加强对财政预算资金管理方面制度的培训，不断提高业务工作能力。</w:t>
      </w:r>
    </w:p>
    <w:p w14:paraId="583B01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3.建立了机关整体支出管理方面的内控制度，并不断进行完善和修订。财务管理制度、票据管理办法、财务会审制度、固定资产管理制度等办法，对招待费支出进行了有效管控。</w:t>
      </w:r>
    </w:p>
    <w:p w14:paraId="4DD91D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4.严格控制执行，特别是三公经费的预算控制。严格招待费用审核审批程度，“三公”经费较好地控制在预算范围之内。</w:t>
      </w:r>
    </w:p>
    <w:p w14:paraId="5CA1FD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（三）社会公众满意度</w:t>
      </w:r>
    </w:p>
    <w:p w14:paraId="29A984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 2019年，全站干部职工在局党委的正确领导下，认真贯彻落实党的十九大精神和县委县政府决策部署，勤奋工作，创先争优，圆满完成各项工作任务。</w:t>
      </w:r>
    </w:p>
    <w:p w14:paraId="2525A8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（四）部门整体绩效得分</w:t>
      </w:r>
    </w:p>
    <w:p w14:paraId="73BC12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 根据部门整体支出绩效评价指标体系，本局2019年度评价得分为99.5分（附件3）</w:t>
      </w:r>
    </w:p>
    <w:p w14:paraId="0B6C78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    五、</w:t>
      </w:r>
      <w:r>
        <w:rPr>
          <w:rFonts w:hint="default" w:ascii="Times New Roman" w:hAnsi="Times New Roman" w:eastAsia="仿宋" w:cs="Times New Roman"/>
          <w:i w:val="0"/>
          <w:caps w:val="0"/>
          <w:color w:val="1E1E1E"/>
          <w:spacing w:val="0"/>
          <w:sz w:val="14"/>
          <w:szCs w:val="14"/>
        </w:rPr>
        <w:t> </w:t>
      </w:r>
      <w:r>
        <w:rPr>
          <w:rFonts w:hint="eastAsia" w:ascii="仿宋" w:hAnsi="仿宋" w:eastAsia="仿宋" w:cs="仿宋"/>
          <w:i w:val="0"/>
          <w:caps w:val="0"/>
          <w:color w:val="1E1E1E"/>
          <w:spacing w:val="0"/>
          <w:sz w:val="32"/>
          <w:szCs w:val="32"/>
        </w:rPr>
        <w:t>存在的主要问题</w:t>
      </w:r>
    </w:p>
    <w:p w14:paraId="711CA2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    预算管理方面，制度执行总体较为有效，仍需进一步强化</w:t>
      </w:r>
    </w:p>
    <w:p w14:paraId="12D69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六、改进意见及建议</w:t>
      </w:r>
    </w:p>
    <w:p w14:paraId="6124C6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（一）后续工作计划。</w:t>
      </w:r>
    </w:p>
    <w:p w14:paraId="4A874D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进一步加强财政预算绩效管理。严格按照部门预算要求，牢固树立“成本效益”观念，进一步加强预算管理，规范预算执行，不断优化预算支出结构，实话资金跟踪问效制度。</w:t>
      </w:r>
    </w:p>
    <w:p w14:paraId="33885A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14:paraId="65BBA7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14:paraId="47DAB984">
      <w:pPr>
        <w:keepNext w:val="0"/>
        <w:keepLines w:val="0"/>
        <w:widowControl/>
        <w:suppressLineNumbers w:val="0"/>
        <w:spacing w:before="0" w:beforeAutospacing="1" w:after="0" w:afterAutospacing="1"/>
        <w:ind w:left="0" w:right="0"/>
        <w:jc w:val="left"/>
      </w:pPr>
    </w:p>
    <w:p w14:paraId="7368D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00C9D2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14:paraId="72667A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36"/>
          <w:szCs w:val="36"/>
        </w:rPr>
        <w:t>2019</w:t>
      </w:r>
      <w:r>
        <w:rPr>
          <w:rFonts w:ascii="方正小标宋_GBK" w:hAnsi="方正小标宋_GBK" w:eastAsia="方正小标宋_GBK" w:cs="方正小标宋_GBK"/>
          <w:i w:val="0"/>
          <w:caps w:val="0"/>
          <w:color w:val="1E1E1E"/>
          <w:spacing w:val="0"/>
          <w:sz w:val="36"/>
          <w:szCs w:val="36"/>
        </w:rPr>
        <w:t>年度部门整体支出</w:t>
      </w:r>
      <w:r>
        <w:rPr>
          <w:rFonts w:hint="default" w:ascii="方正小标宋_GBK" w:hAnsi="方正小标宋_GBK" w:eastAsia="方正小标宋_GBK" w:cs="方正小标宋_GBK"/>
          <w:i w:val="0"/>
          <w:caps w:val="0"/>
          <w:color w:val="1E1E1E"/>
          <w:spacing w:val="-8"/>
          <w:sz w:val="36"/>
          <w:szCs w:val="36"/>
        </w:rPr>
        <w:t>绩效评价指标评分表</w:t>
      </w:r>
    </w:p>
    <w:p w14:paraId="292AF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Times New Roman" w:hAnsi="Times New Roman" w:cs="Times New Roman"/>
          <w:sz w:val="21"/>
          <w:szCs w:val="21"/>
        </w:rPr>
      </w:pPr>
      <w:r>
        <w:rPr>
          <w:rFonts w:ascii="楷体" w:hAnsi="楷体" w:eastAsia="楷体" w:cs="楷体"/>
          <w:i w:val="0"/>
          <w:caps w:val="0"/>
          <w:color w:val="1E1E1E"/>
          <w:spacing w:val="-8"/>
          <w:sz w:val="28"/>
          <w:szCs w:val="28"/>
        </w:rPr>
        <w:t>填报单位（盖章）：</w:t>
      </w:r>
    </w:p>
    <w:tbl>
      <w:tblPr>
        <w:tblStyle w:val="6"/>
        <w:tblW w:w="0" w:type="auto"/>
        <w:jc w:val="center"/>
        <w:shd w:val="clear" w:color="auto" w:fill="auto"/>
        <w:tblLayout w:type="autofit"/>
        <w:tblCellMar>
          <w:top w:w="0" w:type="dxa"/>
          <w:left w:w="0" w:type="dxa"/>
          <w:bottom w:w="0" w:type="dxa"/>
          <w:right w:w="0" w:type="dxa"/>
        </w:tblCellMar>
      </w:tblPr>
      <w:tblGrid>
        <w:gridCol w:w="492"/>
        <w:gridCol w:w="557"/>
        <w:gridCol w:w="846"/>
        <w:gridCol w:w="2611"/>
        <w:gridCol w:w="3235"/>
        <w:gridCol w:w="585"/>
      </w:tblGrid>
      <w:tr w14:paraId="2A3B447A">
        <w:tblPrEx>
          <w:shd w:val="clear" w:color="auto" w:fill="auto"/>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99128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6B39AF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67947B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6B1845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14:paraId="158E4F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14:paraId="342FDD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自评分</w:t>
            </w:r>
          </w:p>
        </w:tc>
      </w:tr>
      <w:tr w14:paraId="61EAB63B">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4247A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19595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14:paraId="2E0EEB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04A3F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绩效目标合理性</w:t>
            </w:r>
          </w:p>
          <w:p w14:paraId="3D4913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9706E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2954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①符合国家法律法规、国民经济和社会发展总体规划计1分；</w:t>
            </w:r>
          </w:p>
          <w:p w14:paraId="051643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②符合部门“三定”方案确定的职责计0.5分；</w:t>
            </w:r>
          </w:p>
          <w:p w14:paraId="0932D6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14:paraId="0598E7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211941A6">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0252F58">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DCE5571">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11768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绩效指标明确性</w:t>
            </w:r>
          </w:p>
          <w:p w14:paraId="3CD094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BE46A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7FA06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①将部门整体的绩效目标细化分解为具体的工作任务计1分；</w:t>
            </w:r>
          </w:p>
          <w:p w14:paraId="745CF6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②通过清晰、可衡量的指标值予以体现计0.5分；</w:t>
            </w:r>
          </w:p>
          <w:p w14:paraId="5D18D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③与部门年度的任务数或计划数相对应计0.5分；</w:t>
            </w:r>
          </w:p>
          <w:p w14:paraId="2CE043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14:paraId="5528F0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14:paraId="382E1579">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B08DB9A">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D125D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7CFB4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在职人员控制率</w:t>
            </w:r>
          </w:p>
          <w:p w14:paraId="1D81F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7EA74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A5780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14:paraId="57C845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6D455D0A">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B6C89C4">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1BE2E80">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81DC4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80C1A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1281F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14:paraId="252040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02BC7B7C">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84C4B04">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89299EA">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3E718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重点支出安排率</w:t>
            </w:r>
          </w:p>
          <w:p w14:paraId="54FD41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9614D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91A5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14:paraId="61E6BF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03B44F1B">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01DFA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过程</w:t>
            </w:r>
          </w:p>
          <w:p w14:paraId="137436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80F4F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14:paraId="13396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A750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14:paraId="491B3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完成率</w:t>
            </w:r>
          </w:p>
          <w:p w14:paraId="1DD188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75CD5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11203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14:paraId="6548A4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14:paraId="4F61D285">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547553C">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D4AB960">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66B9E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14:paraId="2D6CC4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调整率</w:t>
            </w:r>
          </w:p>
          <w:p w14:paraId="24B520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22676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C4910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14:paraId="025D96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42DECEAA">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F9C42FE">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1A655BF">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3B4CD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支付</w:t>
            </w:r>
          </w:p>
          <w:p w14:paraId="294F8E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进度率</w:t>
            </w:r>
          </w:p>
          <w:p w14:paraId="4BBEA5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B3367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810D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14:paraId="0BF556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31F7BCE0">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463AEB9">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1540C77">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5CC6B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结转结余控制率</w:t>
            </w:r>
          </w:p>
          <w:p w14:paraId="61EE1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432B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1B0C4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14:paraId="09855A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14:paraId="49BEF890">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00F15E38">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42610EC">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7ABF6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公用经费</w:t>
            </w:r>
          </w:p>
          <w:p w14:paraId="50B51D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控制率</w:t>
            </w:r>
          </w:p>
          <w:p w14:paraId="6EA191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4D3C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FF37F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14:paraId="031CFD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3.5</w:t>
            </w:r>
          </w:p>
        </w:tc>
      </w:tr>
      <w:tr w14:paraId="130B8D26">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8020FCB">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FB911FC">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4B18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98FB3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ED213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14:paraId="10BF95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14:paraId="6751C914">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4C04483">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7038D31">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CE59B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政府采购</w:t>
            </w:r>
          </w:p>
          <w:p w14:paraId="150D25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执行率</w:t>
            </w:r>
          </w:p>
          <w:p w14:paraId="5C8065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91C98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B7756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14:paraId="7ACA25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14:paraId="6FBAFAD4">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2D4A5A4">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801B6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14:paraId="4DAB5D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14:paraId="0A3CFA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7F07D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14:paraId="5AF1F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14:paraId="70E259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EB59E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FFD00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14:paraId="30714D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568287EF">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661F894">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E0E82D1">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3D31F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资金使用</w:t>
            </w:r>
          </w:p>
          <w:p w14:paraId="50AF0A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合规性</w:t>
            </w:r>
          </w:p>
          <w:p w14:paraId="422EAD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07280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6F852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①符合国家财经法规和财务管理制度规定以及有关专项资金管理办法的规定计1分；</w:t>
            </w:r>
          </w:p>
          <w:p w14:paraId="53E506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②资金的拨付有完整的审批程序和手续计1分；</w:t>
            </w:r>
          </w:p>
          <w:p w14:paraId="36B6EE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③项目的重大开支经过评估论证计1分；</w:t>
            </w:r>
          </w:p>
          <w:p w14:paraId="56CF3C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④符合部门预算批复的用途计1分；</w:t>
            </w:r>
          </w:p>
          <w:p w14:paraId="74358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14:paraId="53FD43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5890B81C">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BE1DC88">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CCD7001">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B6A9B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预决算信</w:t>
            </w:r>
          </w:p>
          <w:p w14:paraId="651FD7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A33DD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75082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①按规定内容公开预决算信息计1分；</w:t>
            </w:r>
          </w:p>
          <w:p w14:paraId="294434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14:paraId="273B99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572A82D7">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BE2685B">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6CC89BC">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FD694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基础信息</w:t>
            </w:r>
          </w:p>
          <w:p w14:paraId="6425B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完善性</w:t>
            </w:r>
          </w:p>
          <w:p w14:paraId="19D754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001FB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9B004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①基础数据信息和会计信息资料真实计1分；</w:t>
            </w:r>
          </w:p>
          <w:p w14:paraId="32654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②基础数据信息和会计信息资料完整计1分；</w:t>
            </w:r>
          </w:p>
          <w:p w14:paraId="0D83C1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14:paraId="1DDC23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14:paraId="42FBFAF9">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5ECEC3FF">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684BC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14:paraId="6C0398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CC322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14:paraId="4F501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14:paraId="13861D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2CBC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279E5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①制定或具有资产管理制度计1分；</w:t>
            </w:r>
          </w:p>
          <w:p w14:paraId="1BA402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②相关资金管理制度合法、合规、完整计0.5分；</w:t>
            </w:r>
          </w:p>
          <w:p w14:paraId="3E75CC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14:paraId="28EA7B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02CBE7F2">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836C13A">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1004D23">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1E062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资产管理</w:t>
            </w:r>
          </w:p>
          <w:p w14:paraId="635884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安全性</w:t>
            </w:r>
          </w:p>
          <w:p w14:paraId="50E8C2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92C7C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45240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①资产保存完整计0.4分；</w:t>
            </w:r>
          </w:p>
          <w:p w14:paraId="67534A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②资产配置合理计0.4分；</w:t>
            </w:r>
          </w:p>
          <w:p w14:paraId="5C8D09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③资产处置规范计0.4分；</w:t>
            </w:r>
          </w:p>
          <w:p w14:paraId="65F818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14:paraId="52D57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14:paraId="0F0B07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14B98862">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DC429E0">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6222758">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313B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固定资产</w:t>
            </w:r>
          </w:p>
          <w:p w14:paraId="203C3B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利用率</w:t>
            </w:r>
          </w:p>
          <w:p w14:paraId="031E35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0C562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2B9CC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14:paraId="5192D0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14:paraId="771548B3">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34DDEF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产出</w:t>
            </w:r>
          </w:p>
          <w:p w14:paraId="405156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521B1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E150E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5EF5B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ADB86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14:paraId="6E5BDA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6FAE3A6C">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59F2653">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7713D6F">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3A075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C09F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C021A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14:paraId="69876B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14:paraId="197DD3A3">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447ABD4F">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0586DDD">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6C7A2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44B1B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ADBD9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14:paraId="4438D9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74F9A4F0">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78099B42">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18C9FAA">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4403D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重点工作</w:t>
            </w:r>
          </w:p>
          <w:p w14:paraId="5B7281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办结率</w:t>
            </w:r>
          </w:p>
          <w:p w14:paraId="7144C6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0225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6CA9F6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14:paraId="12056D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14:paraId="268BA653">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23CF3D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效果</w:t>
            </w:r>
          </w:p>
          <w:p w14:paraId="7F2AA9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92F99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75FD7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1EF40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0897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14:paraId="214337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3FFEC1A3">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5D4CDCF">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91CF0FA">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652EC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751D5B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4681A6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宋体" w:hAnsi="宋体" w:eastAsia="宋体" w:cs="宋体"/>
                <w:color w:val="000000"/>
                <w:sz w:val="21"/>
                <w:szCs w:val="21"/>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14:paraId="02B88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0021E587">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60676F15">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4669FFF">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FE865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行政效能</w:t>
            </w:r>
          </w:p>
          <w:p w14:paraId="3A5A57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9A331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1A8BE2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14:paraId="687B7D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32182628">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14:paraId="1229E951">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B3E108E">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66610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社会公众</w:t>
            </w:r>
          </w:p>
          <w:p w14:paraId="442EF1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或服务对</w:t>
            </w:r>
          </w:p>
          <w:p w14:paraId="424987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F0048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38EC7B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14:paraId="390AF1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01FB697C">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14:paraId="6AD0F1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14:paraId="2C4402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14:paraId="25A878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14:paraId="2B58C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14:paraId="6E3A56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14:paraId="693D23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99.5</w:t>
            </w:r>
          </w:p>
        </w:tc>
      </w:tr>
      <w:tr w14:paraId="03520D2A">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14:paraId="338DC6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14:paraId="74A597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574049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0F13B6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14:paraId="2E445E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14:paraId="408227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 </w:t>
            </w:r>
          </w:p>
        </w:tc>
      </w:tr>
    </w:tbl>
    <w:p w14:paraId="54C7E4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JkYzMwYzlhZDRkOTk2ODZkZmFkNzc5YTlmODkifQ=="/>
  </w:docVars>
  <w:rsids>
    <w:rsidRoot w:val="00000000"/>
    <w:rsid w:val="392F2B2A"/>
    <w:rsid w:val="3D6C6E9C"/>
    <w:rsid w:val="63653AB5"/>
    <w:rsid w:val="77D7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4291</Words>
  <Characters>4563</Characters>
  <Lines>0</Lines>
  <Paragraphs>0</Paragraphs>
  <TotalTime>4</TotalTime>
  <ScaleCrop>false</ScaleCrop>
  <LinksUpToDate>false</LinksUpToDate>
  <CharactersWithSpaces>4565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2021-06-06T05:28:00Z</dcterms:created>
  <dc:creator>Administrator</dc:creator>
  <cp:lastModifiedBy>随风而起</cp:lastModifiedBy>
  <dcterms:modified xsi:type="dcterms:W3CDTF">2024-12-18T02:32:54Z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C8F24A828E8645F59D45E38C27864A09</vt:lpwstr>
  </property>
</Properties>
</file>