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Calibri" w:eastAsia="方正小标宋简体" w:cstheme="minorBidi"/>
          <w:sz w:val="44"/>
          <w:szCs w:val="44"/>
        </w:rPr>
      </w:pPr>
      <w:r>
        <w:rPr>
          <w:rFonts w:hint="eastAsia" w:ascii="方正小标宋简体" w:hAnsi="Calibri" w:eastAsia="方正小标宋简体" w:cstheme="minorBidi"/>
          <w:sz w:val="44"/>
          <w:szCs w:val="44"/>
          <w:lang w:eastAsia="zh-CN"/>
        </w:rPr>
        <w:t>新邵县</w:t>
      </w:r>
      <w:r>
        <w:rPr>
          <w:rFonts w:ascii="方正小标宋简体" w:hAnsi="Calibri" w:eastAsia="方正小标宋简体" w:cstheme="minorBidi"/>
          <w:sz w:val="44"/>
          <w:szCs w:val="44"/>
        </w:rPr>
        <w:t>自然资源</w:t>
      </w:r>
      <w:r>
        <w:rPr>
          <w:rFonts w:hint="eastAsia" w:ascii="方正小标宋简体" w:hAnsi="Calibri" w:eastAsia="方正小标宋简体" w:cstheme="minorBidi"/>
          <w:sz w:val="44"/>
          <w:szCs w:val="44"/>
          <w:lang w:eastAsia="zh-CN"/>
        </w:rPr>
        <w:t>局</w:t>
      </w:r>
      <w:r>
        <w:rPr>
          <w:rFonts w:hint="default" w:ascii="Times New Roman" w:hAnsi="Times New Roman" w:eastAsia="方正小标宋简体" w:cs="Times New Roman"/>
          <w:sz w:val="44"/>
          <w:szCs w:val="44"/>
        </w:rPr>
        <w:t>2025</w:t>
      </w:r>
      <w:r>
        <w:rPr>
          <w:rFonts w:hint="eastAsia" w:ascii="方正小标宋简体" w:hAnsi="Calibri" w:eastAsia="方正小标宋简体" w:cstheme="minorBidi"/>
          <w:sz w:val="44"/>
          <w:szCs w:val="44"/>
        </w:rPr>
        <w:t>年度涉企行政检查计划</w:t>
      </w:r>
    </w:p>
    <w:p>
      <w:pPr>
        <w:jc w:val="center"/>
        <w:rPr>
          <w:rFonts w:hint="eastAsia" w:ascii="方正小标宋简体" w:hAnsi="Calibri" w:eastAsia="方正小标宋简体" w:cstheme="minorBidi"/>
          <w:sz w:val="15"/>
          <w:szCs w:val="15"/>
        </w:rPr>
      </w:pPr>
    </w:p>
    <w:tbl>
      <w:tblPr>
        <w:tblStyle w:val="131"/>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24"/>
        <w:gridCol w:w="6498"/>
        <w:gridCol w:w="1552"/>
        <w:gridCol w:w="1552"/>
        <w:gridCol w:w="912"/>
        <w:gridCol w:w="709"/>
        <w:gridCol w:w="459"/>
        <w:gridCol w:w="769"/>
        <w:gridCol w:w="733"/>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blHeader/>
          <w:jc w:val="center"/>
        </w:trPr>
        <w:tc>
          <w:tcPr>
            <w:tcW w:w="147"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序号</w:t>
            </w:r>
          </w:p>
        </w:tc>
        <w:tc>
          <w:tcPr>
            <w:tcW w:w="277"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检查</w:t>
            </w:r>
          </w:p>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事项</w:t>
            </w:r>
          </w:p>
        </w:tc>
        <w:tc>
          <w:tcPr>
            <w:tcW w:w="2181"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实施依据</w:t>
            </w:r>
          </w:p>
        </w:tc>
        <w:tc>
          <w:tcPr>
            <w:tcW w:w="521"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具体检查对象(含数量)或</w:t>
            </w:r>
          </w:p>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“双随机”抽查对象（含总数及比例）</w:t>
            </w:r>
          </w:p>
        </w:tc>
        <w:tc>
          <w:tcPr>
            <w:tcW w:w="521"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检查内容</w:t>
            </w:r>
          </w:p>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（项目）</w:t>
            </w:r>
          </w:p>
        </w:tc>
        <w:tc>
          <w:tcPr>
            <w:tcW w:w="306" w:type="pct"/>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拟实施检查时间</w:t>
            </w:r>
          </w:p>
        </w:tc>
        <w:tc>
          <w:tcPr>
            <w:tcW w:w="238"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检查</w:t>
            </w:r>
          </w:p>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方式</w:t>
            </w:r>
          </w:p>
        </w:tc>
        <w:tc>
          <w:tcPr>
            <w:tcW w:w="154"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年度检查频次</w:t>
            </w:r>
          </w:p>
        </w:tc>
        <w:tc>
          <w:tcPr>
            <w:tcW w:w="258"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承办机构</w:t>
            </w:r>
          </w:p>
        </w:tc>
        <w:tc>
          <w:tcPr>
            <w:tcW w:w="246"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是否属于跨部门联合检查</w:t>
            </w:r>
          </w:p>
        </w:tc>
        <w:tc>
          <w:tcPr>
            <w:tcW w:w="147" w:type="pct"/>
            <w:vAlign w:val="center"/>
          </w:tcPr>
          <w:p>
            <w:pPr>
              <w:keepNext w:val="0"/>
              <w:keepLines w:val="0"/>
              <w:pageBreakBefore w:val="0"/>
              <w:suppressLineNumbers w:val="0"/>
              <w:kinsoku/>
              <w:wordWrap/>
              <w:overflowPunct/>
              <w:topLinePunct w:val="0"/>
              <w:autoSpaceDE/>
              <w:autoSpaceDN/>
              <w:bidi w:val="0"/>
              <w:adjustRightInd/>
              <w:snapToGrid/>
              <w:spacing w:beforeAutospacing="0" w:after="0" w:afterAutospacing="0" w:line="300" w:lineRule="exac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47"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77"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z w:val="18"/>
                <w:szCs w:val="18"/>
              </w:rPr>
              <w:t>对城乡规划编制单位的行</w:t>
            </w:r>
            <w:r>
              <w:rPr>
                <w:rFonts w:hint="eastAsia" w:ascii="仿宋_GB2312" w:hAnsi="仿宋_GB2312" w:eastAsia="仿宋_GB2312" w:cs="仿宋_GB2312"/>
                <w:sz w:val="18"/>
                <w:szCs w:val="18"/>
                <w:lang w:eastAsia="zh-CN"/>
              </w:rPr>
              <w:t>的</w:t>
            </w:r>
            <w:r>
              <w:rPr>
                <w:rFonts w:hint="eastAsia" w:ascii="仿宋_GB2312" w:hAnsi="仿宋_GB2312" w:eastAsia="仿宋_GB2312" w:cs="仿宋_GB2312"/>
                <w:sz w:val="18"/>
                <w:szCs w:val="18"/>
              </w:rPr>
              <w:t>检查</w:t>
            </w:r>
          </w:p>
        </w:tc>
        <w:tc>
          <w:tcPr>
            <w:tcW w:w="2181" w:type="pct"/>
            <w:shd w:val="clear" w:color="auto" w:fill="auto"/>
            <w:vAlign w:val="center"/>
          </w:tcPr>
          <w:p>
            <w:pPr>
              <w:keepNext w:val="0"/>
              <w:keepLines w:val="0"/>
              <w:pageBreakBefore w:val="0"/>
              <w:suppressLineNumbers w:val="0"/>
              <w:kinsoku/>
              <w:wordWrap/>
              <w:overflowPunct/>
              <w:topLinePunct w:val="0"/>
              <w:bidi w:val="0"/>
              <w:adjustRightInd/>
              <w:snapToGrid/>
              <w:spacing w:beforeAutospacing="0" w:after="0" w:afterAutospacing="0" w:line="300" w:lineRule="exact"/>
              <w:ind w:left="0" w:right="0" w:firstLine="183" w:firstLineChars="10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rPr>
              <w:t>《城乡规划编制单位资质管理办法》（自然资源部令第11号）第二十一条：县级以上人民政府自然资源主管部门依法对规划编制单位进行检查，应当有2名以上监督检查人员参加，有权采取下列措施：（一）要求被检查单位提供资质证书，有关人员的职称证书、注册证书、学历证书、社会保险证明等，有关国土空间规划编制成果以及有关技术管理、质量管理、保密管理、档案管理、财务管理、安全管理等企业内部管理制度文件；（二）进入被检查单位进行检查，查阅相关资料；（三）纠正违反有关法律、法规和本办法以及有关规范、标准的行为。</w:t>
            </w:r>
          </w:p>
        </w:tc>
        <w:tc>
          <w:tcPr>
            <w:tcW w:w="521"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firstLine="183" w:firstLineChars="100"/>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在县域内从事城乡规划编制单位中，抽取2家检查</w:t>
            </w:r>
          </w:p>
        </w:tc>
        <w:tc>
          <w:tcPr>
            <w:tcW w:w="521" w:type="pct"/>
            <w:shd w:val="clear" w:color="auto" w:fill="auto"/>
            <w:vAlign w:val="center"/>
          </w:tcPr>
          <w:p>
            <w:pPr>
              <w:keepNext w:val="0"/>
              <w:keepLines w:val="0"/>
              <w:pageBreakBefore w:val="0"/>
              <w:widowControl/>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资质条件匹配情况</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近两年编制的规划项目合法合规情况，以及违约或被投诉举报情况等。</w:t>
            </w:r>
          </w:p>
        </w:tc>
        <w:tc>
          <w:tcPr>
            <w:tcW w:w="306"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10</w:t>
            </w:r>
            <w:r>
              <w:rPr>
                <w:rFonts w:hint="eastAsia" w:ascii="仿宋_GB2312" w:hAnsi="仿宋_GB2312" w:eastAsia="仿宋_GB2312" w:cs="仿宋_GB2312"/>
                <w:sz w:val="18"/>
                <w:szCs w:val="18"/>
              </w:rPr>
              <w:t>—12月</w:t>
            </w:r>
          </w:p>
        </w:tc>
        <w:tc>
          <w:tcPr>
            <w:tcW w:w="238" w:type="pct"/>
            <w:shd w:val="clear" w:color="auto" w:fill="auto"/>
            <w:vAlign w:val="center"/>
          </w:tcPr>
          <w:p>
            <w:pPr>
              <w:keepNext w:val="0"/>
              <w:keepLines w:val="0"/>
              <w:pageBreakBefore w:val="0"/>
              <w:widowControl/>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现场检查</w:t>
            </w:r>
          </w:p>
        </w:tc>
        <w:tc>
          <w:tcPr>
            <w:tcW w:w="154"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1</w:t>
            </w:r>
          </w:p>
        </w:tc>
        <w:tc>
          <w:tcPr>
            <w:tcW w:w="258"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国土</w:t>
            </w:r>
          </w:p>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空间</w:t>
            </w:r>
          </w:p>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规划</w:t>
            </w:r>
            <w:r>
              <w:rPr>
                <w:rFonts w:hint="eastAsia" w:ascii="仿宋_GB2312" w:hAnsi="仿宋_GB2312" w:eastAsia="仿宋_GB2312" w:cs="仿宋_GB2312"/>
                <w:sz w:val="18"/>
                <w:szCs w:val="18"/>
                <w:lang w:eastAsia="zh-CN"/>
              </w:rPr>
              <w:t>股</w:t>
            </w:r>
          </w:p>
        </w:tc>
        <w:tc>
          <w:tcPr>
            <w:tcW w:w="246"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否</w:t>
            </w:r>
          </w:p>
        </w:tc>
        <w:tc>
          <w:tcPr>
            <w:tcW w:w="147"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147"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77" w:type="pct"/>
            <w:vAlign w:val="center"/>
          </w:tcPr>
          <w:p>
            <w:pPr>
              <w:pStyle w:val="132"/>
              <w:keepNext w:val="0"/>
              <w:keepLines w:val="0"/>
              <w:pageBreakBefore w:val="0"/>
              <w:kinsoku/>
              <w:wordWrap/>
              <w:overflowPunct/>
              <w:topLinePunct w:val="0"/>
              <w:bidi w:val="0"/>
              <w:snapToGrid/>
              <w:spacing w:line="300" w:lineRule="exact"/>
              <w:ind w:left="0"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8"/>
                <w:sz w:val="18"/>
                <w:szCs w:val="18"/>
              </w:rPr>
              <w:t>对建设工</w:t>
            </w:r>
            <w:r>
              <w:rPr>
                <w:rFonts w:hint="eastAsia" w:ascii="仿宋_GB2312" w:hAnsi="仿宋_GB2312" w:eastAsia="仿宋_GB2312" w:cs="仿宋_GB2312"/>
                <w:spacing w:val="5"/>
                <w:sz w:val="18"/>
                <w:szCs w:val="18"/>
              </w:rPr>
              <w:t>程定位</w:t>
            </w:r>
            <w:r>
              <w:rPr>
                <w:rFonts w:hint="eastAsia" w:ascii="仿宋_GB2312" w:hAnsi="仿宋_GB2312" w:eastAsia="仿宋_GB2312" w:cs="仿宋_GB2312"/>
                <w:spacing w:val="7"/>
                <w:sz w:val="18"/>
                <w:szCs w:val="18"/>
              </w:rPr>
              <w:t>放线验线及正负零等规划</w:t>
            </w:r>
          </w:p>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right="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pacing w:val="6"/>
                <w:sz w:val="18"/>
                <w:szCs w:val="18"/>
              </w:rPr>
              <w:t>实施的行</w:t>
            </w:r>
            <w:r>
              <w:rPr>
                <w:rFonts w:hint="eastAsia" w:ascii="仿宋_GB2312" w:hAnsi="仿宋_GB2312" w:eastAsia="仿宋_GB2312" w:cs="仿宋_GB2312"/>
                <w:spacing w:val="7"/>
                <w:sz w:val="18"/>
                <w:szCs w:val="18"/>
              </w:rPr>
              <w:t>政检查</w:t>
            </w:r>
          </w:p>
        </w:tc>
        <w:tc>
          <w:tcPr>
            <w:tcW w:w="2181" w:type="pct"/>
            <w:vAlign w:val="center"/>
          </w:tcPr>
          <w:p>
            <w:pPr>
              <w:pStyle w:val="132"/>
              <w:keepNext w:val="0"/>
              <w:keepLines w:val="0"/>
              <w:pageBreakBefore w:val="0"/>
              <w:kinsoku/>
              <w:wordWrap/>
              <w:overflowPunct/>
              <w:topLinePunct w:val="0"/>
              <w:bidi w:val="0"/>
              <w:snapToGrid/>
              <w:spacing w:line="300" w:lineRule="exact"/>
              <w:ind w:left="0" w:right="0" w:firstLine="21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1.《中华人民共和国城乡规划法》第五十一条：县级以上人</w:t>
            </w:r>
            <w:r>
              <w:rPr>
                <w:rFonts w:hint="eastAsia" w:ascii="仿宋_GB2312" w:hAnsi="仿宋_GB2312" w:eastAsia="仿宋_GB2312" w:cs="仿宋_GB2312"/>
                <w:spacing w:val="12"/>
                <w:sz w:val="18"/>
                <w:szCs w:val="18"/>
              </w:rPr>
              <w:t>民政府及其城乡规划主管部门应当加强对城乡规划编制、审</w:t>
            </w:r>
            <w:r>
              <w:rPr>
                <w:rFonts w:hint="eastAsia" w:ascii="仿宋_GB2312" w:hAnsi="仿宋_GB2312" w:eastAsia="仿宋_GB2312" w:cs="仿宋_GB2312"/>
                <w:spacing w:val="8"/>
                <w:sz w:val="18"/>
                <w:szCs w:val="18"/>
              </w:rPr>
              <w:t>批、实施、修改的监督检查。</w:t>
            </w:r>
          </w:p>
          <w:p>
            <w:pPr>
              <w:pStyle w:val="132"/>
              <w:keepNext w:val="0"/>
              <w:keepLines w:val="0"/>
              <w:pageBreakBefore w:val="0"/>
              <w:kinsoku/>
              <w:wordWrap/>
              <w:overflowPunct/>
              <w:topLinePunct w:val="0"/>
              <w:bidi w:val="0"/>
              <w:snapToGrid/>
              <w:spacing w:line="300" w:lineRule="exact"/>
              <w:ind w:left="0" w:right="0" w:firstLine="198"/>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2.《湖南省实施〈中华人民共和国城乡规划法〉办法》第四</w:t>
            </w:r>
            <w:r>
              <w:rPr>
                <w:rFonts w:hint="eastAsia" w:ascii="仿宋_GB2312" w:hAnsi="仿宋_GB2312" w:eastAsia="仿宋_GB2312" w:cs="仿宋_GB2312"/>
                <w:spacing w:val="12"/>
                <w:sz w:val="18"/>
                <w:szCs w:val="18"/>
              </w:rPr>
              <w:t>十四条：城市、县人民政府城乡规划主管部门和镇、乡人民政府应当建立对建设活动的日常巡查制度，落实建设项目验</w:t>
            </w:r>
            <w:r>
              <w:rPr>
                <w:rFonts w:hint="eastAsia" w:ascii="仿宋_GB2312" w:hAnsi="仿宋_GB2312" w:eastAsia="仿宋_GB2312" w:cs="仿宋_GB2312"/>
                <w:spacing w:val="7"/>
                <w:sz w:val="18"/>
                <w:szCs w:val="18"/>
              </w:rPr>
              <w:t>线、施工现场跟踪检查、建设用地规划条件核实等管理措施。</w:t>
            </w:r>
            <w:r>
              <w:rPr>
                <w:rFonts w:hint="eastAsia" w:ascii="仿宋_GB2312" w:hAnsi="仿宋_GB2312" w:eastAsia="仿宋_GB2312" w:cs="仿宋_GB2312"/>
                <w:spacing w:val="12"/>
                <w:sz w:val="18"/>
                <w:szCs w:val="18"/>
              </w:rPr>
              <w:t>发现违法建设的，应当责令当事人停止建设；当事人拒不停止建设的，城市、县人民政府应当责成有关部门采取拆除继</w:t>
            </w:r>
            <w:r>
              <w:rPr>
                <w:rFonts w:hint="eastAsia" w:ascii="仿宋_GB2312" w:hAnsi="仿宋_GB2312" w:eastAsia="仿宋_GB2312" w:cs="仿宋_GB2312"/>
                <w:spacing w:val="7"/>
                <w:sz w:val="18"/>
                <w:szCs w:val="18"/>
              </w:rPr>
              <w:t>续建设部分的措施。</w:t>
            </w:r>
          </w:p>
          <w:p>
            <w:pPr>
              <w:keepNext w:val="0"/>
              <w:keepLines w:val="0"/>
              <w:pageBreakBefore w:val="0"/>
              <w:suppressLineNumbers w:val="0"/>
              <w:kinsoku/>
              <w:wordWrap/>
              <w:overflowPunct/>
              <w:topLinePunct w:val="0"/>
              <w:bidi w:val="0"/>
              <w:adjustRightInd/>
              <w:snapToGrid/>
              <w:spacing w:beforeAutospacing="0" w:after="0" w:afterAutospacing="0" w:line="300" w:lineRule="exact"/>
              <w:ind w:left="0" w:right="0" w:firstLine="207" w:firstLineChars="10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pacing w:val="12"/>
                <w:sz w:val="18"/>
                <w:szCs w:val="18"/>
              </w:rPr>
              <w:t>对于依法应当由其他部门处置的违法建设，城市、县人民政府城乡规划主管部门或者镇、乡人民政府应当及时将案件</w:t>
            </w:r>
            <w:r>
              <w:rPr>
                <w:rFonts w:hint="eastAsia" w:ascii="仿宋_GB2312" w:hAnsi="仿宋_GB2312" w:eastAsia="仿宋_GB2312" w:cs="仿宋_GB2312"/>
                <w:spacing w:val="7"/>
                <w:sz w:val="18"/>
                <w:szCs w:val="18"/>
              </w:rPr>
              <w:t>移送有关部门处理。</w:t>
            </w:r>
          </w:p>
        </w:tc>
        <w:tc>
          <w:tcPr>
            <w:tcW w:w="521"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对年度联审联批的城区规划建设业主抽查</w:t>
            </w:r>
            <w:r>
              <w:rPr>
                <w:rFonts w:hint="eastAsia" w:ascii="仿宋_GB2312" w:hAnsi="仿宋_GB2312" w:eastAsia="仿宋_GB2312" w:cs="仿宋_GB2312"/>
                <w:sz w:val="18"/>
                <w:szCs w:val="18"/>
                <w:lang w:val="en-US" w:eastAsia="zh-CN"/>
              </w:rPr>
              <w:t>20%</w:t>
            </w:r>
          </w:p>
        </w:tc>
        <w:tc>
          <w:tcPr>
            <w:tcW w:w="521" w:type="pct"/>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5"/>
                <w:sz w:val="18"/>
                <w:szCs w:val="18"/>
              </w:rPr>
              <w:t>对规划符合</w:t>
            </w:r>
            <w:r>
              <w:rPr>
                <w:rFonts w:hint="eastAsia" w:ascii="仿宋_GB2312" w:hAnsi="仿宋_GB2312" w:eastAsia="仿宋_GB2312" w:cs="仿宋_GB2312"/>
                <w:spacing w:val="34"/>
                <w:sz w:val="18"/>
                <w:szCs w:val="18"/>
              </w:rPr>
              <w:t>性情况进行</w:t>
            </w:r>
            <w:r>
              <w:rPr>
                <w:rFonts w:hint="eastAsia" w:ascii="仿宋_GB2312" w:hAnsi="仿宋_GB2312" w:eastAsia="仿宋_GB2312" w:cs="仿宋_GB2312"/>
                <w:spacing w:val="3"/>
                <w:sz w:val="18"/>
                <w:szCs w:val="18"/>
              </w:rPr>
              <w:t>检查。</w:t>
            </w:r>
          </w:p>
        </w:tc>
        <w:tc>
          <w:tcPr>
            <w:tcW w:w="306"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10</w:t>
            </w:r>
            <w:r>
              <w:rPr>
                <w:rFonts w:hint="eastAsia" w:ascii="仿宋_GB2312" w:hAnsi="仿宋_GB2312" w:eastAsia="仿宋_GB2312" w:cs="仿宋_GB2312"/>
                <w:sz w:val="18"/>
                <w:szCs w:val="18"/>
              </w:rPr>
              <w:t>—12月</w:t>
            </w:r>
          </w:p>
        </w:tc>
        <w:tc>
          <w:tcPr>
            <w:tcW w:w="238" w:type="pct"/>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现场</w:t>
            </w:r>
          </w:p>
          <w:p>
            <w:pPr>
              <w:keepNext w:val="0"/>
              <w:keepLines w:val="0"/>
              <w:pageBreakBefore w:val="0"/>
              <w:widowControl/>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执法</w:t>
            </w:r>
          </w:p>
        </w:tc>
        <w:tc>
          <w:tcPr>
            <w:tcW w:w="154"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58"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县城规划股</w:t>
            </w:r>
          </w:p>
        </w:tc>
        <w:tc>
          <w:tcPr>
            <w:tcW w:w="246"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否</w:t>
            </w:r>
          </w:p>
        </w:tc>
        <w:tc>
          <w:tcPr>
            <w:tcW w:w="147"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147"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3</w:t>
            </w:r>
          </w:p>
        </w:tc>
        <w:tc>
          <w:tcPr>
            <w:tcW w:w="277" w:type="pct"/>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pacing w:val="8"/>
                <w:sz w:val="18"/>
                <w:szCs w:val="18"/>
              </w:rPr>
              <w:t>对土地复垦情况的</w:t>
            </w:r>
            <w:r>
              <w:rPr>
                <w:rFonts w:hint="eastAsia" w:ascii="仿宋_GB2312" w:hAnsi="仿宋_GB2312" w:eastAsia="仿宋_GB2312" w:cs="仿宋_GB2312"/>
                <w:spacing w:val="7"/>
                <w:sz w:val="18"/>
                <w:szCs w:val="18"/>
              </w:rPr>
              <w:t>行政检查</w:t>
            </w:r>
          </w:p>
        </w:tc>
        <w:tc>
          <w:tcPr>
            <w:tcW w:w="2181" w:type="pct"/>
            <w:vAlign w:val="center"/>
          </w:tcPr>
          <w:p>
            <w:pPr>
              <w:pStyle w:val="132"/>
              <w:keepNext w:val="0"/>
              <w:keepLines w:val="0"/>
              <w:pageBreakBefore w:val="0"/>
              <w:numPr>
                <w:ilvl w:val="0"/>
                <w:numId w:val="1"/>
              </w:numPr>
              <w:kinsoku/>
              <w:wordWrap/>
              <w:overflowPunct/>
              <w:topLinePunct w:val="0"/>
              <w:bidi w:val="0"/>
              <w:snapToGrid/>
              <w:spacing w:line="300" w:lineRule="exact"/>
              <w:ind w:left="0" w:right="0"/>
              <w:jc w:val="both"/>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4"/>
                <w:sz w:val="18"/>
                <w:szCs w:val="18"/>
              </w:rPr>
              <w:t>《土地复垦条例》（国务院令第592号）第八条：县级以</w:t>
            </w:r>
            <w:r>
              <w:rPr>
                <w:rFonts w:hint="eastAsia" w:ascii="仿宋_GB2312" w:hAnsi="仿宋_GB2312" w:eastAsia="仿宋_GB2312" w:cs="仿宋_GB2312"/>
                <w:spacing w:val="12"/>
                <w:sz w:val="18"/>
                <w:szCs w:val="18"/>
              </w:rPr>
              <w:t>上人民政府国土资源主管部门应当依据职责加强对土地复垦</w:t>
            </w:r>
            <w:r>
              <w:rPr>
                <w:rFonts w:hint="eastAsia" w:ascii="仿宋_GB2312" w:hAnsi="仿宋_GB2312" w:eastAsia="仿宋_GB2312" w:cs="仿宋_GB2312"/>
                <w:spacing w:val="6"/>
                <w:sz w:val="18"/>
                <w:szCs w:val="18"/>
              </w:rPr>
              <w:t>情况的监督检查。被检查的单位或者个人应当如实反映情况，</w:t>
            </w:r>
            <w:r>
              <w:rPr>
                <w:rFonts w:hint="eastAsia" w:ascii="仿宋_GB2312" w:hAnsi="仿宋_GB2312" w:eastAsia="仿宋_GB2312" w:cs="仿宋_GB2312"/>
                <w:spacing w:val="12"/>
                <w:sz w:val="18"/>
                <w:szCs w:val="18"/>
              </w:rPr>
              <w:t>提供必要的资料。任何单位和个人不得扰乱、阻挠土地复垦</w:t>
            </w:r>
            <w:r>
              <w:rPr>
                <w:rFonts w:hint="eastAsia" w:ascii="仿宋_GB2312" w:hAnsi="仿宋_GB2312" w:eastAsia="仿宋_GB2312" w:cs="仿宋_GB2312"/>
                <w:spacing w:val="8"/>
                <w:sz w:val="18"/>
                <w:szCs w:val="18"/>
              </w:rPr>
              <w:t>工作，破坏土地复垦工程、设施和设备。</w:t>
            </w:r>
          </w:p>
          <w:p>
            <w:pPr>
              <w:keepNext w:val="0"/>
              <w:keepLines w:val="0"/>
              <w:pageBreakBefore w:val="0"/>
              <w:suppressLineNumbers w:val="0"/>
              <w:kinsoku/>
              <w:wordWrap/>
              <w:overflowPunct/>
              <w:topLinePunct w:val="0"/>
              <w:bidi w:val="0"/>
              <w:adjustRightInd/>
              <w:snapToGrid/>
              <w:spacing w:beforeAutospacing="0" w:after="0" w:afterAutospacing="0" w:line="300" w:lineRule="exact"/>
              <w:ind w:left="0" w:right="0" w:firstLine="185" w:firstLineChars="100"/>
              <w:jc w:val="both"/>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pacing w:val="1"/>
                <w:sz w:val="18"/>
                <w:szCs w:val="18"/>
              </w:rPr>
              <w:t>2.《土地复垦条例实施办法》（国土资源部令第56号）第四</w:t>
            </w:r>
            <w:r>
              <w:rPr>
                <w:rFonts w:hint="eastAsia" w:ascii="仿宋_GB2312" w:hAnsi="仿宋_GB2312" w:eastAsia="仿宋_GB2312" w:cs="仿宋_GB2312"/>
                <w:spacing w:val="12"/>
                <w:sz w:val="18"/>
                <w:szCs w:val="18"/>
              </w:rPr>
              <w:t>十四条：县级以上自然资源主管部门应当采取年度检查、专项核查、例行稽查、在线监管等形式，对本行政区域内的土</w:t>
            </w:r>
            <w:r>
              <w:rPr>
                <w:rFonts w:hint="eastAsia" w:ascii="仿宋_GB2312" w:hAnsi="仿宋_GB2312" w:eastAsia="仿宋_GB2312" w:cs="仿宋_GB2312"/>
                <w:spacing w:val="10"/>
                <w:sz w:val="18"/>
                <w:szCs w:val="18"/>
              </w:rPr>
              <w:t>地复垦活动进行监督检查，并可以采取下列措</w:t>
            </w:r>
            <w:r>
              <w:rPr>
                <w:rFonts w:hint="eastAsia" w:ascii="仿宋_GB2312" w:hAnsi="仿宋_GB2312" w:eastAsia="仿宋_GB2312" w:cs="仿宋_GB2312"/>
                <w:spacing w:val="9"/>
                <w:sz w:val="18"/>
                <w:szCs w:val="18"/>
              </w:rPr>
              <w:t>施</w:t>
            </w:r>
            <w:r>
              <w:rPr>
                <w:rFonts w:hint="eastAsia" w:ascii="仿宋_GB2312" w:hAnsi="仿宋_GB2312" w:eastAsia="仿宋_GB2312" w:cs="仿宋_GB2312"/>
                <w:spacing w:val="-47"/>
                <w:w w:val="92"/>
                <w:sz w:val="18"/>
                <w:szCs w:val="18"/>
              </w:rPr>
              <w:t>：（</w:t>
            </w:r>
            <w:r>
              <w:rPr>
                <w:rFonts w:hint="eastAsia" w:ascii="仿宋_GB2312" w:hAnsi="仿宋_GB2312" w:eastAsia="仿宋_GB2312" w:cs="仿宋_GB2312"/>
                <w:spacing w:val="9"/>
                <w:sz w:val="18"/>
                <w:szCs w:val="18"/>
              </w:rPr>
              <w:t>一）要求</w:t>
            </w:r>
            <w:r>
              <w:rPr>
                <w:rFonts w:hint="eastAsia" w:ascii="仿宋_GB2312" w:hAnsi="仿宋_GB2312" w:eastAsia="仿宋_GB2312" w:cs="仿宋_GB2312"/>
                <w:spacing w:val="12"/>
                <w:sz w:val="18"/>
                <w:szCs w:val="18"/>
              </w:rPr>
              <w:t>被检查当事人如实反映情况和提供相关的文件、资料和电子</w:t>
            </w:r>
            <w:r>
              <w:rPr>
                <w:rFonts w:hint="eastAsia" w:ascii="仿宋_GB2312" w:hAnsi="仿宋_GB2312" w:eastAsia="仿宋_GB2312" w:cs="仿宋_GB2312"/>
                <w:spacing w:val="6"/>
                <w:sz w:val="18"/>
                <w:szCs w:val="18"/>
              </w:rPr>
              <w:t>数据</w:t>
            </w:r>
            <w:r>
              <w:rPr>
                <w:rFonts w:hint="eastAsia" w:ascii="仿宋_GB2312" w:hAnsi="仿宋_GB2312" w:eastAsia="仿宋_GB2312" w:cs="仿宋_GB2312"/>
                <w:spacing w:val="-38"/>
                <w:w w:val="74"/>
                <w:sz w:val="18"/>
                <w:szCs w:val="18"/>
              </w:rPr>
              <w:t>；（</w:t>
            </w:r>
            <w:r>
              <w:rPr>
                <w:rFonts w:hint="eastAsia" w:ascii="仿宋_GB2312" w:hAnsi="仿宋_GB2312" w:eastAsia="仿宋_GB2312" w:cs="仿宋_GB2312"/>
                <w:spacing w:val="6"/>
                <w:sz w:val="18"/>
                <w:szCs w:val="18"/>
              </w:rPr>
              <w:t>二）要求被检查当事人就土地复垦有关问题做出说明；</w:t>
            </w:r>
            <w:r>
              <w:rPr>
                <w:rFonts w:hint="eastAsia" w:ascii="仿宋_GB2312" w:hAnsi="仿宋_GB2312" w:eastAsia="仿宋_GB2312" w:cs="仿宋_GB2312"/>
                <w:spacing w:val="10"/>
                <w:sz w:val="18"/>
                <w:szCs w:val="18"/>
              </w:rPr>
              <w:t>（三）进入土地复垦现场进行勘查</w:t>
            </w:r>
            <w:r>
              <w:rPr>
                <w:rFonts w:hint="eastAsia" w:ascii="仿宋_GB2312" w:hAnsi="仿宋_GB2312" w:eastAsia="仿宋_GB2312" w:cs="仿宋_GB2312"/>
                <w:spacing w:val="-47"/>
                <w:w w:val="93"/>
                <w:sz w:val="18"/>
                <w:szCs w:val="18"/>
              </w:rPr>
              <w:t>；（</w:t>
            </w:r>
            <w:r>
              <w:rPr>
                <w:rFonts w:hint="eastAsia" w:ascii="仿宋_GB2312" w:hAnsi="仿宋_GB2312" w:eastAsia="仿宋_GB2312" w:cs="仿宋_GB2312"/>
                <w:spacing w:val="10"/>
                <w:sz w:val="18"/>
                <w:szCs w:val="18"/>
              </w:rPr>
              <w:t>四）责令</w:t>
            </w:r>
            <w:r>
              <w:rPr>
                <w:rFonts w:hint="eastAsia" w:ascii="仿宋_GB2312" w:hAnsi="仿宋_GB2312" w:eastAsia="仿宋_GB2312" w:cs="仿宋_GB2312"/>
                <w:spacing w:val="9"/>
                <w:sz w:val="18"/>
                <w:szCs w:val="18"/>
              </w:rPr>
              <w:t>被检查当事人</w:t>
            </w:r>
            <w:r>
              <w:rPr>
                <w:rFonts w:hint="eastAsia" w:ascii="仿宋_GB2312" w:hAnsi="仿宋_GB2312" w:eastAsia="仿宋_GB2312" w:cs="仿宋_GB2312"/>
                <w:spacing w:val="8"/>
                <w:sz w:val="18"/>
                <w:szCs w:val="18"/>
              </w:rPr>
              <w:t>停止违反条例的行为。</w:t>
            </w:r>
          </w:p>
        </w:tc>
        <w:tc>
          <w:tcPr>
            <w:tcW w:w="521" w:type="pct"/>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eastAsia="zh-CN"/>
              </w:rPr>
              <w:t>对复垦的单位抽查</w:t>
            </w:r>
            <w:r>
              <w:rPr>
                <w:rFonts w:hint="eastAsia" w:ascii="仿宋_GB2312" w:hAnsi="仿宋_GB2312" w:eastAsia="仿宋_GB2312" w:cs="仿宋_GB2312"/>
                <w:color w:val="000000"/>
                <w:kern w:val="0"/>
                <w:sz w:val="18"/>
                <w:szCs w:val="18"/>
                <w:lang w:val="en-US" w:eastAsia="zh-CN"/>
              </w:rPr>
              <w:t>2个进行检查</w:t>
            </w:r>
          </w:p>
        </w:tc>
        <w:tc>
          <w:tcPr>
            <w:tcW w:w="521" w:type="pct"/>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pacing w:val="-4"/>
                <w:sz w:val="18"/>
                <w:szCs w:val="18"/>
              </w:rPr>
              <w:t>临时用地、矿</w:t>
            </w:r>
            <w:r>
              <w:rPr>
                <w:rFonts w:hint="eastAsia" w:ascii="仿宋_GB2312" w:hAnsi="仿宋_GB2312" w:eastAsia="仿宋_GB2312" w:cs="仿宋_GB2312"/>
                <w:spacing w:val="35"/>
                <w:sz w:val="18"/>
                <w:szCs w:val="18"/>
              </w:rPr>
              <w:t>业用地等复</w:t>
            </w:r>
            <w:r>
              <w:rPr>
                <w:rFonts w:hint="eastAsia" w:ascii="仿宋_GB2312" w:hAnsi="仿宋_GB2312" w:eastAsia="仿宋_GB2312" w:cs="仿宋_GB2312"/>
                <w:spacing w:val="5"/>
                <w:sz w:val="18"/>
                <w:szCs w:val="18"/>
              </w:rPr>
              <w:t>垦情况。</w:t>
            </w:r>
          </w:p>
        </w:tc>
        <w:tc>
          <w:tcPr>
            <w:tcW w:w="306"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4—12月</w:t>
            </w:r>
          </w:p>
        </w:tc>
        <w:tc>
          <w:tcPr>
            <w:tcW w:w="238" w:type="pct"/>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现场</w:t>
            </w:r>
          </w:p>
          <w:p>
            <w:pPr>
              <w:keepNext w:val="0"/>
              <w:keepLines w:val="0"/>
              <w:pageBreakBefore w:val="0"/>
              <w:widowControl/>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执法</w:t>
            </w:r>
          </w:p>
        </w:tc>
        <w:tc>
          <w:tcPr>
            <w:tcW w:w="154" w:type="pct"/>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p>
        </w:tc>
        <w:tc>
          <w:tcPr>
            <w:tcW w:w="258" w:type="pct"/>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国土空间生态</w:t>
            </w:r>
          </w:p>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修复</w:t>
            </w:r>
            <w:r>
              <w:rPr>
                <w:rFonts w:hint="eastAsia" w:ascii="仿宋_GB2312" w:hAnsi="仿宋_GB2312" w:eastAsia="仿宋_GB2312" w:cs="仿宋_GB2312"/>
                <w:color w:val="000000"/>
                <w:kern w:val="0"/>
                <w:sz w:val="18"/>
                <w:szCs w:val="18"/>
                <w:lang w:eastAsia="zh-CN"/>
              </w:rPr>
              <w:t>中心</w:t>
            </w:r>
          </w:p>
        </w:tc>
        <w:tc>
          <w:tcPr>
            <w:tcW w:w="246"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否</w:t>
            </w:r>
          </w:p>
        </w:tc>
        <w:tc>
          <w:tcPr>
            <w:tcW w:w="147"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147"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77" w:type="pct"/>
            <w:shd w:val="clear" w:color="auto" w:fill="auto"/>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spacing w:val="8"/>
                <w:sz w:val="18"/>
                <w:szCs w:val="18"/>
              </w:rPr>
              <w:t>对永久基</w:t>
            </w:r>
            <w:r>
              <w:rPr>
                <w:rFonts w:hint="eastAsia" w:ascii="仿宋_GB2312" w:hAnsi="仿宋_GB2312" w:eastAsia="仿宋_GB2312" w:cs="仿宋_GB2312"/>
                <w:spacing w:val="7"/>
                <w:sz w:val="18"/>
                <w:szCs w:val="18"/>
              </w:rPr>
              <w:t>本农田保护的行政</w:t>
            </w:r>
            <w:r>
              <w:rPr>
                <w:rFonts w:hint="eastAsia" w:ascii="仿宋_GB2312" w:hAnsi="仿宋_GB2312" w:eastAsia="仿宋_GB2312" w:cs="仿宋_GB2312"/>
                <w:spacing w:val="5"/>
                <w:sz w:val="18"/>
                <w:szCs w:val="18"/>
              </w:rPr>
              <w:t>检查</w:t>
            </w:r>
          </w:p>
        </w:tc>
        <w:tc>
          <w:tcPr>
            <w:tcW w:w="2181" w:type="pct"/>
            <w:shd w:val="clear" w:color="auto" w:fill="auto"/>
            <w:vAlign w:val="center"/>
          </w:tcPr>
          <w:p>
            <w:pPr>
              <w:pStyle w:val="132"/>
              <w:keepNext w:val="0"/>
              <w:keepLines w:val="0"/>
              <w:pageBreakBefore w:val="0"/>
              <w:kinsoku/>
              <w:wordWrap/>
              <w:overflowPunct/>
              <w:topLinePunct w:val="0"/>
              <w:bidi w:val="0"/>
              <w:snapToGrid/>
              <w:spacing w:line="300" w:lineRule="exact"/>
              <w:ind w:left="0" w:right="0" w:firstLine="218"/>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1.《基本农田保护条例》（国务院令第257号）第二十八条：</w:t>
            </w:r>
            <w:r>
              <w:rPr>
                <w:rFonts w:hint="eastAsia" w:ascii="仿宋_GB2312" w:hAnsi="仿宋_GB2312" w:eastAsia="仿宋_GB2312" w:cs="仿宋_GB2312"/>
                <w:spacing w:val="20"/>
                <w:sz w:val="18"/>
                <w:szCs w:val="18"/>
              </w:rPr>
              <w:t>县级以上地方人民政府应当建立基本农田保护监督检查制</w:t>
            </w:r>
            <w:r>
              <w:rPr>
                <w:rFonts w:hint="eastAsia" w:ascii="仿宋_GB2312" w:hAnsi="仿宋_GB2312" w:eastAsia="仿宋_GB2312" w:cs="仿宋_GB2312"/>
                <w:spacing w:val="12"/>
                <w:sz w:val="18"/>
                <w:szCs w:val="18"/>
              </w:rPr>
              <w:t>度，定期组织土地行政主管部门、农业行政主管部门以及其他有关部门对基本农田保护情况进行检查，将检查情况书面报告上一级人民政府。被检查的单位和个人应当如实提供有</w:t>
            </w:r>
            <w:r>
              <w:rPr>
                <w:rFonts w:hint="eastAsia" w:ascii="仿宋_GB2312" w:hAnsi="仿宋_GB2312" w:eastAsia="仿宋_GB2312" w:cs="仿宋_GB2312"/>
                <w:spacing w:val="8"/>
                <w:sz w:val="18"/>
                <w:szCs w:val="18"/>
              </w:rPr>
              <w:t>关情况和资料，不得拒绝。</w:t>
            </w:r>
          </w:p>
          <w:p>
            <w:pPr>
              <w:keepNext w:val="0"/>
              <w:keepLines w:val="0"/>
              <w:pageBreakBefore w:val="0"/>
              <w:suppressLineNumbers w:val="0"/>
              <w:kinsoku/>
              <w:wordWrap/>
              <w:overflowPunct/>
              <w:topLinePunct w:val="0"/>
              <w:bidi w:val="0"/>
              <w:adjustRightInd/>
              <w:snapToGrid/>
              <w:spacing w:beforeAutospacing="0" w:after="0" w:afterAutospacing="0" w:line="300" w:lineRule="exact"/>
              <w:ind w:left="0" w:right="0" w:firstLine="195" w:firstLineChars="100"/>
              <w:jc w:val="both"/>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pacing w:val="6"/>
                <w:sz w:val="18"/>
                <w:szCs w:val="18"/>
              </w:rPr>
              <w:t>2.《湖南省基本农田保护条例》第七条第一款：县级以上人</w:t>
            </w:r>
            <w:r>
              <w:rPr>
                <w:rFonts w:hint="eastAsia" w:ascii="仿宋_GB2312" w:hAnsi="仿宋_GB2312" w:eastAsia="仿宋_GB2312" w:cs="仿宋_GB2312"/>
                <w:spacing w:val="12"/>
                <w:sz w:val="18"/>
                <w:szCs w:val="18"/>
              </w:rPr>
              <w:t>民政府土地行政主管部门负责基本农田数量的管理，严格执行基本农田占用的审查报批制度，切实控制基本农田的数量</w:t>
            </w:r>
            <w:r>
              <w:rPr>
                <w:rFonts w:hint="eastAsia" w:ascii="仿宋_GB2312" w:hAnsi="仿宋_GB2312" w:eastAsia="仿宋_GB2312" w:cs="仿宋_GB2312"/>
                <w:spacing w:val="8"/>
                <w:sz w:val="18"/>
                <w:szCs w:val="18"/>
              </w:rPr>
              <w:t>变化，并实行经常性的监督检查。</w:t>
            </w:r>
          </w:p>
        </w:tc>
        <w:tc>
          <w:tcPr>
            <w:tcW w:w="521"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firstLine="183" w:firstLineChars="10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eastAsia="zh-CN"/>
              </w:rPr>
              <w:t>对</w:t>
            </w:r>
            <w:r>
              <w:rPr>
                <w:rFonts w:hint="eastAsia" w:ascii="仿宋_GB2312" w:hAnsi="仿宋_GB2312" w:eastAsia="仿宋_GB2312" w:cs="仿宋_GB2312"/>
                <w:color w:val="000000"/>
                <w:kern w:val="0"/>
                <w:sz w:val="18"/>
                <w:szCs w:val="18"/>
                <w:lang w:val="en-US" w:eastAsia="zh-CN"/>
              </w:rPr>
              <w:t>15个乡镇的基本农田保护情况进行全面检查</w:t>
            </w:r>
          </w:p>
        </w:tc>
        <w:tc>
          <w:tcPr>
            <w:tcW w:w="521"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pacing w:val="35"/>
                <w:sz w:val="18"/>
                <w:szCs w:val="18"/>
              </w:rPr>
              <w:t>永久基本农</w:t>
            </w:r>
            <w:r>
              <w:rPr>
                <w:rFonts w:hint="eastAsia" w:ascii="仿宋_GB2312" w:hAnsi="仿宋_GB2312" w:eastAsia="仿宋_GB2312" w:cs="仿宋_GB2312"/>
                <w:spacing w:val="-1"/>
                <w:sz w:val="18"/>
                <w:szCs w:val="18"/>
              </w:rPr>
              <w:t>田保护情况。</w:t>
            </w:r>
          </w:p>
        </w:tc>
        <w:tc>
          <w:tcPr>
            <w:tcW w:w="306"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4—10月</w:t>
            </w:r>
          </w:p>
        </w:tc>
        <w:tc>
          <w:tcPr>
            <w:tcW w:w="238" w:type="pct"/>
            <w:shd w:val="clear" w:color="auto" w:fill="auto"/>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现场</w:t>
            </w:r>
          </w:p>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执法</w:t>
            </w:r>
          </w:p>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与非</w:t>
            </w:r>
          </w:p>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现场</w:t>
            </w:r>
          </w:p>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执法</w:t>
            </w:r>
          </w:p>
          <w:p>
            <w:pPr>
              <w:keepNext w:val="0"/>
              <w:keepLines w:val="0"/>
              <w:pageBreakBefore w:val="0"/>
              <w:widowControl/>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相结</w:t>
            </w:r>
            <w:r>
              <w:rPr>
                <w:rFonts w:hint="eastAsia" w:ascii="仿宋_GB2312" w:hAnsi="仿宋_GB2312" w:eastAsia="仿宋_GB2312" w:cs="仿宋_GB2312"/>
                <w:sz w:val="18"/>
                <w:szCs w:val="18"/>
              </w:rPr>
              <w:t>合</w:t>
            </w:r>
          </w:p>
        </w:tc>
        <w:tc>
          <w:tcPr>
            <w:tcW w:w="154"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p>
        </w:tc>
        <w:tc>
          <w:tcPr>
            <w:tcW w:w="258"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eastAsia="zh-CN"/>
              </w:rPr>
              <w:t>耕地</w:t>
            </w:r>
            <w:r>
              <w:rPr>
                <w:rFonts w:hint="eastAsia" w:ascii="仿宋_GB2312" w:hAnsi="仿宋_GB2312" w:eastAsia="仿宋_GB2312" w:cs="仿宋_GB2312"/>
                <w:color w:val="000000"/>
                <w:kern w:val="0"/>
                <w:sz w:val="18"/>
                <w:szCs w:val="18"/>
              </w:rPr>
              <w:t>保护监督</w:t>
            </w:r>
            <w:r>
              <w:rPr>
                <w:rFonts w:hint="eastAsia" w:ascii="仿宋_GB2312" w:hAnsi="仿宋_GB2312" w:eastAsia="仿宋_GB2312" w:cs="仿宋_GB2312"/>
                <w:color w:val="000000"/>
                <w:kern w:val="0"/>
                <w:sz w:val="18"/>
                <w:szCs w:val="18"/>
                <w:lang w:eastAsia="zh-CN"/>
              </w:rPr>
              <w:t>股</w:t>
            </w:r>
          </w:p>
        </w:tc>
        <w:tc>
          <w:tcPr>
            <w:tcW w:w="246"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eastAsia="zh-CN"/>
              </w:rPr>
              <w:t>否</w:t>
            </w:r>
          </w:p>
        </w:tc>
        <w:tc>
          <w:tcPr>
            <w:tcW w:w="147"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47"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5</w:t>
            </w:r>
          </w:p>
        </w:tc>
        <w:tc>
          <w:tcPr>
            <w:tcW w:w="277" w:type="pct"/>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pacing w:val="8"/>
                <w:sz w:val="18"/>
                <w:szCs w:val="18"/>
              </w:rPr>
              <w:t>对矿山生</w:t>
            </w:r>
            <w:r>
              <w:rPr>
                <w:rFonts w:hint="eastAsia" w:ascii="仿宋_GB2312" w:hAnsi="仿宋_GB2312" w:eastAsia="仿宋_GB2312" w:cs="仿宋_GB2312"/>
                <w:spacing w:val="7"/>
                <w:sz w:val="18"/>
                <w:szCs w:val="18"/>
              </w:rPr>
              <w:t>态修复的行政检查</w:t>
            </w:r>
          </w:p>
        </w:tc>
        <w:tc>
          <w:tcPr>
            <w:tcW w:w="2181" w:type="pct"/>
            <w:vAlign w:val="center"/>
          </w:tcPr>
          <w:p>
            <w:pPr>
              <w:keepNext w:val="0"/>
              <w:keepLines w:val="0"/>
              <w:pageBreakBefore w:val="0"/>
              <w:suppressLineNumbers w:val="0"/>
              <w:kinsoku/>
              <w:wordWrap/>
              <w:overflowPunct/>
              <w:topLinePunct w:val="0"/>
              <w:bidi w:val="0"/>
              <w:adjustRightInd/>
              <w:snapToGrid/>
              <w:spacing w:beforeAutospacing="0" w:after="0" w:afterAutospacing="0" w:line="300" w:lineRule="exact"/>
              <w:ind w:left="0" w:right="0" w:firstLine="189" w:firstLineChars="10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《矿山地质环境保护规定》（国土资源部令第44号）第二十</w:t>
            </w:r>
            <w:r>
              <w:rPr>
                <w:rFonts w:hint="eastAsia" w:ascii="仿宋_GB2312" w:hAnsi="仿宋_GB2312" w:eastAsia="仿宋_GB2312" w:cs="仿宋_GB2312"/>
                <w:spacing w:val="12"/>
                <w:sz w:val="18"/>
                <w:szCs w:val="18"/>
              </w:rPr>
              <w:t>二条：县级以上自然资源主管部门对采矿权人履行矿山地质</w:t>
            </w:r>
            <w:r>
              <w:rPr>
                <w:rFonts w:hint="eastAsia" w:ascii="仿宋_GB2312" w:hAnsi="仿宋_GB2312" w:eastAsia="仿宋_GB2312" w:cs="仿宋_GB2312"/>
                <w:spacing w:val="9"/>
                <w:sz w:val="18"/>
                <w:szCs w:val="18"/>
              </w:rPr>
              <w:t>环境保护与土地复垦义务的情况进行监督检查。</w:t>
            </w:r>
          </w:p>
        </w:tc>
        <w:tc>
          <w:tcPr>
            <w:tcW w:w="521"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firstLine="183" w:firstLineChars="10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在全县采矿权人 中，按自然资源部通知要求比例进行抽查检查。</w:t>
            </w:r>
          </w:p>
        </w:tc>
        <w:tc>
          <w:tcPr>
            <w:tcW w:w="521" w:type="pct"/>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5"/>
                <w:sz w:val="18"/>
                <w:szCs w:val="18"/>
              </w:rPr>
              <w:t>采矿权人履</w:t>
            </w:r>
            <w:r>
              <w:rPr>
                <w:rFonts w:hint="eastAsia" w:ascii="仿宋_GB2312" w:hAnsi="仿宋_GB2312" w:eastAsia="仿宋_GB2312" w:cs="仿宋_GB2312"/>
                <w:spacing w:val="34"/>
                <w:sz w:val="18"/>
                <w:szCs w:val="18"/>
              </w:rPr>
              <w:t>行生态保护</w:t>
            </w:r>
            <w:r>
              <w:rPr>
                <w:rFonts w:hint="eastAsia" w:ascii="仿宋_GB2312" w:hAnsi="仿宋_GB2312" w:eastAsia="仿宋_GB2312" w:cs="仿宋_GB2312"/>
                <w:spacing w:val="35"/>
                <w:sz w:val="18"/>
                <w:szCs w:val="18"/>
              </w:rPr>
              <w:t>修复义务情</w:t>
            </w:r>
            <w:r>
              <w:rPr>
                <w:rFonts w:hint="eastAsia" w:ascii="仿宋_GB2312" w:hAnsi="仿宋_GB2312" w:eastAsia="仿宋_GB2312" w:cs="仿宋_GB2312"/>
                <w:spacing w:val="-1"/>
                <w:sz w:val="18"/>
                <w:szCs w:val="18"/>
              </w:rPr>
              <w:t>况。</w:t>
            </w:r>
          </w:p>
        </w:tc>
        <w:tc>
          <w:tcPr>
            <w:tcW w:w="306"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6</w:t>
            </w:r>
            <w:r>
              <w:rPr>
                <w:rFonts w:hint="eastAsia" w:ascii="仿宋_GB2312" w:hAnsi="仿宋_GB2312" w:eastAsia="仿宋_GB2312" w:cs="仿宋_GB2312"/>
                <w:sz w:val="18"/>
                <w:szCs w:val="18"/>
              </w:rPr>
              <w:t>月</w:t>
            </w:r>
          </w:p>
        </w:tc>
        <w:tc>
          <w:tcPr>
            <w:tcW w:w="238" w:type="pct"/>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现场</w:t>
            </w:r>
          </w:p>
          <w:p>
            <w:pPr>
              <w:keepNext w:val="0"/>
              <w:keepLines w:val="0"/>
              <w:pageBreakBefore w:val="0"/>
              <w:widowControl/>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执法</w:t>
            </w:r>
          </w:p>
        </w:tc>
        <w:tc>
          <w:tcPr>
            <w:tcW w:w="154"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58"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国土空间生态修复股</w:t>
            </w:r>
          </w:p>
        </w:tc>
        <w:tc>
          <w:tcPr>
            <w:tcW w:w="246" w:type="pct"/>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否</w:t>
            </w:r>
          </w:p>
        </w:tc>
        <w:tc>
          <w:tcPr>
            <w:tcW w:w="147"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jc w:val="center"/>
        </w:trPr>
        <w:tc>
          <w:tcPr>
            <w:tcW w:w="147"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6</w:t>
            </w:r>
          </w:p>
        </w:tc>
        <w:tc>
          <w:tcPr>
            <w:tcW w:w="277" w:type="pct"/>
            <w:shd w:val="clear" w:color="auto" w:fill="auto"/>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8"/>
                <w:sz w:val="18"/>
                <w:szCs w:val="18"/>
              </w:rPr>
              <w:t>对矿权</w:t>
            </w:r>
          </w:p>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人勘查开</w:t>
            </w:r>
            <w:r>
              <w:rPr>
                <w:rFonts w:hint="eastAsia" w:ascii="仿宋_GB2312" w:hAnsi="仿宋_GB2312" w:eastAsia="仿宋_GB2312" w:cs="仿宋_GB2312"/>
                <w:spacing w:val="8"/>
                <w:sz w:val="18"/>
                <w:szCs w:val="18"/>
              </w:rPr>
              <w:t>采信息公</w:t>
            </w:r>
          </w:p>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spacing w:val="7"/>
                <w:sz w:val="18"/>
                <w:szCs w:val="18"/>
              </w:rPr>
              <w:t>示的</w:t>
            </w:r>
            <w:r>
              <w:rPr>
                <w:rFonts w:hint="eastAsia" w:ascii="仿宋_GB2312" w:hAnsi="仿宋_GB2312" w:eastAsia="仿宋_GB2312" w:cs="仿宋_GB2312"/>
                <w:spacing w:val="7"/>
                <w:sz w:val="18"/>
                <w:szCs w:val="18"/>
                <w:lang w:eastAsia="zh-CN"/>
              </w:rPr>
              <w:t>行</w:t>
            </w:r>
            <w:r>
              <w:rPr>
                <w:rFonts w:hint="eastAsia" w:ascii="仿宋_GB2312" w:hAnsi="仿宋_GB2312" w:eastAsia="仿宋_GB2312" w:cs="仿宋_GB2312"/>
                <w:spacing w:val="7"/>
                <w:sz w:val="18"/>
                <w:szCs w:val="18"/>
              </w:rPr>
              <w:t>政</w:t>
            </w:r>
            <w:r>
              <w:rPr>
                <w:rFonts w:hint="eastAsia" w:ascii="仿宋_GB2312" w:hAnsi="仿宋_GB2312" w:eastAsia="仿宋_GB2312" w:cs="仿宋_GB2312"/>
                <w:spacing w:val="5"/>
                <w:sz w:val="18"/>
                <w:szCs w:val="18"/>
              </w:rPr>
              <w:t>检查</w:t>
            </w:r>
          </w:p>
        </w:tc>
        <w:tc>
          <w:tcPr>
            <w:tcW w:w="2181" w:type="pct"/>
            <w:shd w:val="clear" w:color="auto" w:fill="auto"/>
            <w:vAlign w:val="center"/>
          </w:tcPr>
          <w:p>
            <w:pPr>
              <w:pStyle w:val="132"/>
              <w:keepNext w:val="0"/>
              <w:keepLines w:val="0"/>
              <w:pageBreakBefore w:val="0"/>
              <w:kinsoku/>
              <w:wordWrap/>
              <w:overflowPunct/>
              <w:topLinePunct w:val="0"/>
              <w:bidi w:val="0"/>
              <w:snapToGrid/>
              <w:spacing w:line="300" w:lineRule="exact"/>
              <w:ind w:left="0" w:right="0" w:firstLine="378" w:firstLineChars="20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1.《中华人民共和国矿产资源法》（2024版）第五十六条：</w:t>
            </w:r>
            <w:r>
              <w:rPr>
                <w:rFonts w:hint="eastAsia" w:ascii="仿宋_GB2312" w:hAnsi="仿宋_GB2312" w:eastAsia="仿宋_GB2312" w:cs="仿宋_GB2312"/>
                <w:spacing w:val="12"/>
                <w:sz w:val="18"/>
                <w:szCs w:val="18"/>
              </w:rPr>
              <w:t>县级以上人民政府自然资源主管部门和其他有关部门应当按照职责分工，加强对矿产资源勘查、开采和矿区生态修复等</w:t>
            </w:r>
            <w:r>
              <w:rPr>
                <w:rFonts w:hint="eastAsia" w:ascii="仿宋_GB2312" w:hAnsi="仿宋_GB2312" w:eastAsia="仿宋_GB2312" w:cs="仿宋_GB2312"/>
                <w:spacing w:val="9"/>
                <w:sz w:val="18"/>
                <w:szCs w:val="18"/>
              </w:rPr>
              <w:t>活动的监督检查，依法及时查处违法行为。</w:t>
            </w:r>
          </w:p>
          <w:p>
            <w:pPr>
              <w:pStyle w:val="132"/>
              <w:keepNext w:val="0"/>
              <w:keepLines w:val="0"/>
              <w:pageBreakBefore w:val="0"/>
              <w:kinsoku/>
              <w:wordWrap/>
              <w:overflowPunct/>
              <w:topLinePunct w:val="0"/>
              <w:bidi w:val="0"/>
              <w:snapToGrid/>
              <w:spacing w:line="300" w:lineRule="exact"/>
              <w:ind w:left="0" w:right="0" w:firstLine="203"/>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2"/>
                <w:sz w:val="18"/>
                <w:szCs w:val="18"/>
              </w:rPr>
              <w:t>上级人民政府自然资源主管部门和其他有关部门应当加强对下级人民政府自然资源主管部门和其他有关部门执法活动</w:t>
            </w:r>
            <w:r>
              <w:rPr>
                <w:rFonts w:hint="eastAsia" w:ascii="仿宋_GB2312" w:hAnsi="仿宋_GB2312" w:eastAsia="仿宋_GB2312" w:cs="仿宋_GB2312"/>
                <w:spacing w:val="5"/>
                <w:sz w:val="18"/>
                <w:szCs w:val="18"/>
              </w:rPr>
              <w:t>的监督。</w:t>
            </w:r>
          </w:p>
          <w:p>
            <w:pPr>
              <w:pStyle w:val="132"/>
              <w:keepNext w:val="0"/>
              <w:keepLines w:val="0"/>
              <w:pageBreakBefore w:val="0"/>
              <w:kinsoku/>
              <w:wordWrap/>
              <w:overflowPunct/>
              <w:topLinePunct w:val="0"/>
              <w:bidi w:val="0"/>
              <w:snapToGrid/>
              <w:spacing w:line="300" w:lineRule="exact"/>
              <w:ind w:left="0" w:right="0" w:firstLine="198"/>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2.《矿产资源勘查区块登记管理办法》（</w:t>
            </w:r>
            <w:r>
              <w:rPr>
                <w:rFonts w:hint="eastAsia" w:ascii="仿宋_GB2312" w:hAnsi="仿宋_GB2312" w:eastAsia="仿宋_GB2312" w:cs="仿宋_GB2312"/>
                <w:spacing w:val="-7"/>
                <w:sz w:val="18"/>
                <w:szCs w:val="18"/>
              </w:rPr>
              <w:t>国务院令第240号）第二十五条：登记管理机关需要调查勘查投入、勘查工作进展情况，</w:t>
            </w:r>
            <w:r>
              <w:rPr>
                <w:rFonts w:hint="eastAsia" w:ascii="仿宋_GB2312" w:hAnsi="仿宋_GB2312" w:eastAsia="仿宋_GB2312" w:cs="仿宋_GB2312"/>
                <w:spacing w:val="-2"/>
                <w:sz w:val="18"/>
                <w:szCs w:val="18"/>
              </w:rPr>
              <w:t>探矿权人应当如实报告并提供有关资料，不得虚报、瞒报，不得</w:t>
            </w:r>
            <w:r>
              <w:rPr>
                <w:rFonts w:hint="eastAsia" w:ascii="仿宋_GB2312" w:hAnsi="仿宋_GB2312" w:eastAsia="仿宋_GB2312" w:cs="仿宋_GB2312"/>
                <w:spacing w:val="-1"/>
                <w:sz w:val="18"/>
                <w:szCs w:val="18"/>
              </w:rPr>
              <w:t>拒绝检查。</w:t>
            </w:r>
          </w:p>
          <w:p>
            <w:pPr>
              <w:pStyle w:val="132"/>
              <w:keepNext w:val="0"/>
              <w:keepLines w:val="0"/>
              <w:pageBreakBefore w:val="0"/>
              <w:kinsoku/>
              <w:wordWrap/>
              <w:overflowPunct/>
              <w:topLinePunct w:val="0"/>
              <w:bidi w:val="0"/>
              <w:snapToGrid/>
              <w:spacing w:line="300" w:lineRule="exact"/>
              <w:ind w:left="0" w:right="0" w:firstLine="201"/>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3.《矿产资源开采登记管理办法》（国务院令第241号</w:t>
            </w:r>
            <w:r>
              <w:rPr>
                <w:rFonts w:hint="eastAsia" w:ascii="仿宋_GB2312" w:hAnsi="仿宋_GB2312" w:eastAsia="仿宋_GB2312" w:cs="仿宋_GB2312"/>
                <w:spacing w:val="4"/>
                <w:sz w:val="18"/>
                <w:szCs w:val="18"/>
              </w:rPr>
              <w:t>）第</w:t>
            </w:r>
            <w:r>
              <w:rPr>
                <w:rFonts w:hint="eastAsia" w:ascii="仿宋_GB2312" w:hAnsi="仿宋_GB2312" w:eastAsia="仿宋_GB2312" w:cs="仿宋_GB2312"/>
                <w:spacing w:val="12"/>
                <w:sz w:val="18"/>
                <w:szCs w:val="18"/>
              </w:rPr>
              <w:t>十四条：登记管理机关应当对本行政区域内的采矿权人合理开发利用矿产资源、保护环境及其他应当履行的法定义务等情况依法进行监督检查。采矿权人应当如实报告有关情况，</w:t>
            </w:r>
            <w:r>
              <w:rPr>
                <w:rFonts w:hint="eastAsia" w:ascii="仿宋_GB2312" w:hAnsi="仿宋_GB2312" w:eastAsia="仿宋_GB2312" w:cs="仿宋_GB2312"/>
                <w:spacing w:val="7"/>
                <w:sz w:val="18"/>
                <w:szCs w:val="18"/>
              </w:rPr>
              <w:t>并提交年度报告。</w:t>
            </w:r>
          </w:p>
          <w:p>
            <w:pPr>
              <w:pStyle w:val="132"/>
              <w:keepNext w:val="0"/>
              <w:keepLines w:val="0"/>
              <w:pageBreakBefore w:val="0"/>
              <w:kinsoku/>
              <w:wordWrap/>
              <w:overflowPunct/>
              <w:topLinePunct w:val="0"/>
              <w:bidi w:val="0"/>
              <w:snapToGrid/>
              <w:spacing w:line="300" w:lineRule="exact"/>
              <w:ind w:left="0"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4.《矿业权人勘查开采信息管理办法》（自然资源部令</w:t>
            </w:r>
            <w:r>
              <w:rPr>
                <w:rFonts w:hint="eastAsia" w:ascii="仿宋_GB2312" w:hAnsi="仿宋_GB2312" w:eastAsia="仿宋_GB2312" w:cs="仿宋_GB2312"/>
                <w:spacing w:val="-6"/>
                <w:sz w:val="18"/>
                <w:szCs w:val="18"/>
              </w:rPr>
              <w:t>第13号）</w:t>
            </w:r>
          </w:p>
          <w:p>
            <w:pPr>
              <w:keepNext w:val="0"/>
              <w:keepLines w:val="0"/>
              <w:pageBreakBefore w:val="0"/>
              <w:suppressLineNumbers w:val="0"/>
              <w:kinsoku/>
              <w:wordWrap/>
              <w:overflowPunct/>
              <w:topLinePunct w:val="0"/>
              <w:bidi w:val="0"/>
              <w:adjustRightInd/>
              <w:snapToGrid/>
              <w:spacing w:beforeAutospacing="0" w:after="0" w:afterAutospacing="0" w:line="300" w:lineRule="exact"/>
              <w:ind w:left="0" w:right="0" w:firstLine="179" w:firstLineChars="100"/>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pacing w:val="-2"/>
                <w:sz w:val="18"/>
                <w:szCs w:val="18"/>
              </w:rPr>
              <w:t>第十一条：省级以上人民政府自然资源主管部门可以按照“双随机、一公开”监管要求，随机抽取一定比例的勘查项目和矿山，制定核查方案并组织实施矿业权人勘查开采信息公示情况核查工</w:t>
            </w:r>
            <w:r>
              <w:rPr>
                <w:rFonts w:hint="eastAsia" w:ascii="仿宋_GB2312" w:hAnsi="仿宋_GB2312" w:eastAsia="仿宋_GB2312" w:cs="仿宋_GB2312"/>
                <w:spacing w:val="1"/>
                <w:sz w:val="18"/>
                <w:szCs w:val="18"/>
              </w:rPr>
              <w:t>作。</w:t>
            </w:r>
          </w:p>
        </w:tc>
        <w:tc>
          <w:tcPr>
            <w:tcW w:w="521"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在县域内采矿权人、探矿权人中，抽取</w:t>
            </w:r>
            <w:r>
              <w:rPr>
                <w:rFonts w:hint="eastAsia" w:ascii="仿宋_GB2312" w:hAnsi="仿宋_GB2312" w:eastAsia="仿宋_GB2312" w:cs="仿宋_GB2312"/>
                <w:color w:val="000000"/>
                <w:sz w:val="18"/>
                <w:szCs w:val="18"/>
                <w:lang w:val="en-US" w:eastAsia="zh-CN"/>
              </w:rPr>
              <w:t>2</w:t>
            </w:r>
            <w:bookmarkStart w:id="1" w:name="_GoBack"/>
            <w:bookmarkEnd w:id="1"/>
            <w:r>
              <w:rPr>
                <w:rFonts w:hint="eastAsia" w:ascii="仿宋_GB2312" w:hAnsi="仿宋_GB2312" w:eastAsia="仿宋_GB2312" w:cs="仿宋_GB2312"/>
                <w:color w:val="000000"/>
                <w:sz w:val="18"/>
                <w:szCs w:val="18"/>
                <w:lang w:val="en-US" w:eastAsia="zh-CN"/>
              </w:rPr>
              <w:t>家</w:t>
            </w:r>
            <w:r>
              <w:rPr>
                <w:rFonts w:hint="eastAsia" w:ascii="仿宋_GB2312" w:hAnsi="仿宋_GB2312" w:eastAsia="仿宋_GB2312" w:cs="仿宋_GB2312"/>
                <w:color w:val="000000"/>
                <w:sz w:val="18"/>
                <w:szCs w:val="18"/>
                <w:lang w:eastAsia="zh-CN"/>
              </w:rPr>
              <w:t>检查。</w:t>
            </w:r>
          </w:p>
        </w:tc>
        <w:tc>
          <w:tcPr>
            <w:tcW w:w="521" w:type="pct"/>
            <w:shd w:val="clear" w:color="auto" w:fill="auto"/>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pacing w:val="35"/>
                <w:sz w:val="18"/>
                <w:szCs w:val="18"/>
              </w:rPr>
              <w:t>探矿权基本</w:t>
            </w:r>
            <w:r>
              <w:rPr>
                <w:rFonts w:hint="eastAsia" w:ascii="仿宋_GB2312" w:hAnsi="仿宋_GB2312" w:eastAsia="仿宋_GB2312" w:cs="仿宋_GB2312"/>
                <w:spacing w:val="-3"/>
                <w:sz w:val="18"/>
                <w:szCs w:val="18"/>
              </w:rPr>
              <w:t>信息、履行义务、当年度探</w:t>
            </w:r>
            <w:r>
              <w:rPr>
                <w:rFonts w:hint="eastAsia" w:ascii="仿宋_GB2312" w:hAnsi="仿宋_GB2312" w:eastAsia="仿宋_GB2312" w:cs="仿宋_GB2312"/>
                <w:spacing w:val="35"/>
                <w:sz w:val="18"/>
                <w:szCs w:val="18"/>
              </w:rPr>
              <w:t>矿权勘查投</w:t>
            </w:r>
            <w:r>
              <w:rPr>
                <w:rFonts w:hint="eastAsia" w:ascii="仿宋_GB2312" w:hAnsi="仿宋_GB2312" w:eastAsia="仿宋_GB2312" w:cs="仿宋_GB2312"/>
                <w:spacing w:val="-2"/>
                <w:sz w:val="18"/>
                <w:szCs w:val="18"/>
              </w:rPr>
              <w:t>资、核算及完</w:t>
            </w:r>
            <w:r>
              <w:rPr>
                <w:rFonts w:hint="eastAsia" w:ascii="仿宋_GB2312" w:hAnsi="仿宋_GB2312" w:eastAsia="仿宋_GB2312" w:cs="仿宋_GB2312"/>
                <w:spacing w:val="35"/>
                <w:sz w:val="18"/>
                <w:szCs w:val="18"/>
              </w:rPr>
              <w:t>成的主要实物工作量及</w:t>
            </w:r>
            <w:r>
              <w:rPr>
                <w:rFonts w:hint="eastAsia" w:ascii="仿宋_GB2312" w:hAnsi="仿宋_GB2312" w:eastAsia="仿宋_GB2312" w:cs="仿宋_GB2312"/>
                <w:spacing w:val="34"/>
                <w:sz w:val="18"/>
                <w:szCs w:val="18"/>
              </w:rPr>
              <w:t>投入技术力</w:t>
            </w:r>
            <w:r>
              <w:rPr>
                <w:rFonts w:hint="eastAsia" w:ascii="仿宋_GB2312" w:hAnsi="仿宋_GB2312" w:eastAsia="仿宋_GB2312" w:cs="仿宋_GB2312"/>
                <w:spacing w:val="5"/>
                <w:sz w:val="18"/>
                <w:szCs w:val="18"/>
              </w:rPr>
              <w:t>量情况；</w:t>
            </w:r>
            <w:r>
              <w:rPr>
                <w:rFonts w:hint="eastAsia" w:ascii="仿宋_GB2312" w:hAnsi="仿宋_GB2312" w:eastAsia="仿宋_GB2312" w:cs="仿宋_GB2312"/>
                <w:spacing w:val="35"/>
                <w:sz w:val="18"/>
                <w:szCs w:val="18"/>
              </w:rPr>
              <w:t>采矿权基本</w:t>
            </w:r>
            <w:r>
              <w:rPr>
                <w:rFonts w:hint="eastAsia" w:ascii="仿宋_GB2312" w:hAnsi="仿宋_GB2312" w:eastAsia="仿宋_GB2312" w:cs="仿宋_GB2312"/>
                <w:spacing w:val="-3"/>
                <w:sz w:val="18"/>
                <w:szCs w:val="18"/>
              </w:rPr>
              <w:t>信息、履行义</w:t>
            </w:r>
            <w:r>
              <w:rPr>
                <w:rFonts w:hint="eastAsia" w:ascii="仿宋_GB2312" w:hAnsi="仿宋_GB2312" w:eastAsia="仿宋_GB2312" w:cs="仿宋_GB2312"/>
                <w:spacing w:val="35"/>
                <w:sz w:val="18"/>
                <w:szCs w:val="18"/>
              </w:rPr>
              <w:t>务和矿产资源合理开发利用指标情</w:t>
            </w:r>
            <w:r>
              <w:rPr>
                <w:rFonts w:hint="eastAsia" w:ascii="仿宋_GB2312" w:hAnsi="仿宋_GB2312" w:eastAsia="仿宋_GB2312" w:cs="仿宋_GB2312"/>
                <w:spacing w:val="-1"/>
                <w:sz w:val="18"/>
                <w:szCs w:val="18"/>
              </w:rPr>
              <w:t>况。</w:t>
            </w:r>
          </w:p>
        </w:tc>
        <w:tc>
          <w:tcPr>
            <w:tcW w:w="306"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sz w:val="18"/>
                <w:szCs w:val="18"/>
                <w:lang w:val="en-US" w:eastAsia="zh-CN"/>
              </w:rPr>
              <w:t>10月</w:t>
            </w:r>
          </w:p>
        </w:tc>
        <w:tc>
          <w:tcPr>
            <w:tcW w:w="238" w:type="pct"/>
            <w:shd w:val="clear" w:color="auto" w:fill="auto"/>
            <w:vAlign w:val="center"/>
          </w:tcPr>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现场</w:t>
            </w:r>
          </w:p>
          <w:p>
            <w:pPr>
              <w:pStyle w:val="132"/>
              <w:keepNext w:val="0"/>
              <w:keepLines w:val="0"/>
              <w:pageBreakBefore w:val="0"/>
              <w:kinsoku/>
              <w:wordWrap/>
              <w:overflowPunct/>
              <w:topLinePunct w:val="0"/>
              <w:bidi w:val="0"/>
              <w:snapToGrid/>
              <w:spacing w:line="300" w:lineRule="exact"/>
              <w:ind w:left="0" w:right="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执法</w:t>
            </w:r>
          </w:p>
          <w:p>
            <w:pPr>
              <w:keepNext w:val="0"/>
              <w:keepLines w:val="0"/>
              <w:pageBreakBefore w:val="0"/>
              <w:widowControl/>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sz w:val="18"/>
                <w:szCs w:val="18"/>
              </w:rPr>
            </w:pPr>
          </w:p>
        </w:tc>
        <w:tc>
          <w:tcPr>
            <w:tcW w:w="154"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1</w:t>
            </w:r>
          </w:p>
        </w:tc>
        <w:tc>
          <w:tcPr>
            <w:tcW w:w="258" w:type="pct"/>
            <w:shd w:val="clear" w:color="auto" w:fill="auto"/>
            <w:vAlign w:val="center"/>
          </w:tcPr>
          <w:p>
            <w:pPr>
              <w:keepNext w:val="0"/>
              <w:keepLines w:val="0"/>
              <w:pageBreakBefore w:val="0"/>
              <w:suppressLineNumbers w:val="0"/>
              <w:kinsoku/>
              <w:wordWrap/>
              <w:overflowPunct/>
              <w:topLinePunct w:val="0"/>
              <w:bidi w:val="0"/>
              <w:snapToGrid/>
              <w:spacing w:beforeAutospacing="0" w:after="0" w:afterAutospacing="0" w:line="300" w:lineRule="exact"/>
              <w:ind w:left="0" w:right="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lang w:eastAsia="zh-CN"/>
              </w:rPr>
              <w:t>矿业权股</w:t>
            </w:r>
          </w:p>
        </w:tc>
        <w:tc>
          <w:tcPr>
            <w:tcW w:w="246"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z w:val="18"/>
                <w:szCs w:val="18"/>
                <w:lang w:eastAsia="zh-CN"/>
              </w:rPr>
              <w:t>否</w:t>
            </w:r>
          </w:p>
        </w:tc>
        <w:tc>
          <w:tcPr>
            <w:tcW w:w="147" w:type="pct"/>
            <w:shd w:val="clear" w:color="auto" w:fill="auto"/>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0" w:afterAutospacing="0" w:line="300" w:lineRule="exact"/>
              <w:ind w:left="0" w:right="0"/>
              <w:jc w:val="center"/>
              <w:textAlignment w:val="auto"/>
              <w:rPr>
                <w:rFonts w:hint="eastAsia" w:ascii="仿宋_GB2312" w:hAnsi="仿宋_GB2312" w:eastAsia="仿宋_GB2312" w:cs="仿宋_GB2312"/>
                <w:color w:val="000000"/>
                <w:kern w:val="0"/>
                <w:sz w:val="18"/>
                <w:szCs w:val="18"/>
              </w:rPr>
            </w:pPr>
          </w:p>
        </w:tc>
      </w:tr>
    </w:tbl>
    <w:p>
      <w:pPr>
        <w:spacing w:line="600" w:lineRule="exact"/>
        <w:rPr>
          <w:rFonts w:hint="eastAsia" w:ascii="方正仿宋_GBK" w:hAnsi="方正仿宋_GBK" w:eastAsia="方正仿宋_GBK" w:cs="方正仿宋_GBK"/>
          <w:sz w:val="32"/>
          <w:lang w:eastAsia="zh-CN"/>
        </w:rPr>
      </w:pPr>
      <w:bookmarkStart w:id="0" w:name="日期"/>
      <w:bookmarkEnd w:id="0"/>
    </w:p>
    <w:sectPr>
      <w:footerReference r:id="rId3" w:type="default"/>
      <w:pgSz w:w="16840" w:h="11907" w:orient="landscape"/>
      <w:pgMar w:top="1457" w:right="1440" w:bottom="1287" w:left="1440" w:header="851" w:footer="992" w:gutter="0"/>
      <w:pgNumType w:fmt="decimal"/>
      <w:cols w:space="0" w:num="1"/>
      <w:rtlGutter w:val="0"/>
      <w:docGrid w:type="linesAndChars" w:linePitch="312" w:charSpace="6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公文小标宋简">
    <w:altName w:val="方正小标宋简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Times New Roman”“">
    <w:altName w:val="Times New Roman"/>
    <w:panose1 w:val="00000000000000000000"/>
    <w:charset w:val="86"/>
    <w:family w:val="roman"/>
    <w:pitch w:val="default"/>
    <w:sig w:usb0="00000000" w:usb1="00000000" w:usb2="0000001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448B8"/>
    <w:multiLevelType w:val="singleLevel"/>
    <w:tmpl w:val="E13448B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jFlZTVjMmRmYmIxMTBlOGE3ODllYjJiYjQ4NjAifQ=="/>
    <w:docVar w:name="KGWebUrl" w:val="http://59.231.219.12:28701/api/file/download?fileLinkId=1282151942372749949&amp;storeId=doc"/>
  </w:docVars>
  <w:rsids>
    <w:rsidRoot w:val="000C404C"/>
    <w:rsid w:val="00001C46"/>
    <w:rsid w:val="000041BD"/>
    <w:rsid w:val="00014A14"/>
    <w:rsid w:val="00033235"/>
    <w:rsid w:val="00037881"/>
    <w:rsid w:val="00044E45"/>
    <w:rsid w:val="000512C5"/>
    <w:rsid w:val="0005598F"/>
    <w:rsid w:val="00056551"/>
    <w:rsid w:val="00057EBF"/>
    <w:rsid w:val="000674E0"/>
    <w:rsid w:val="00071822"/>
    <w:rsid w:val="0007208C"/>
    <w:rsid w:val="00074C98"/>
    <w:rsid w:val="00075AAF"/>
    <w:rsid w:val="00081097"/>
    <w:rsid w:val="00085A41"/>
    <w:rsid w:val="000A6296"/>
    <w:rsid w:val="000B4416"/>
    <w:rsid w:val="000B75F4"/>
    <w:rsid w:val="000C310A"/>
    <w:rsid w:val="000C404C"/>
    <w:rsid w:val="000C740B"/>
    <w:rsid w:val="000D1CB7"/>
    <w:rsid w:val="000D2CE2"/>
    <w:rsid w:val="000D4B57"/>
    <w:rsid w:val="00101895"/>
    <w:rsid w:val="0010581F"/>
    <w:rsid w:val="00105D7B"/>
    <w:rsid w:val="001104E7"/>
    <w:rsid w:val="00114ABC"/>
    <w:rsid w:val="00115E77"/>
    <w:rsid w:val="00120C07"/>
    <w:rsid w:val="001356A7"/>
    <w:rsid w:val="00135F92"/>
    <w:rsid w:val="00141241"/>
    <w:rsid w:val="001448A9"/>
    <w:rsid w:val="00155EAF"/>
    <w:rsid w:val="0016208C"/>
    <w:rsid w:val="001655A1"/>
    <w:rsid w:val="00171243"/>
    <w:rsid w:val="00192253"/>
    <w:rsid w:val="00195FFE"/>
    <w:rsid w:val="001A0D62"/>
    <w:rsid w:val="001A333C"/>
    <w:rsid w:val="001B3926"/>
    <w:rsid w:val="001C144B"/>
    <w:rsid w:val="001C7CCB"/>
    <w:rsid w:val="001D6968"/>
    <w:rsid w:val="001E239B"/>
    <w:rsid w:val="001E27B7"/>
    <w:rsid w:val="001E3F8C"/>
    <w:rsid w:val="001F28AA"/>
    <w:rsid w:val="001F51A3"/>
    <w:rsid w:val="00226ACB"/>
    <w:rsid w:val="00231686"/>
    <w:rsid w:val="00233E32"/>
    <w:rsid w:val="0024216A"/>
    <w:rsid w:val="00243C5D"/>
    <w:rsid w:val="002622FB"/>
    <w:rsid w:val="00264381"/>
    <w:rsid w:val="00264662"/>
    <w:rsid w:val="00265116"/>
    <w:rsid w:val="00267FC2"/>
    <w:rsid w:val="00271C7A"/>
    <w:rsid w:val="0027348D"/>
    <w:rsid w:val="00274485"/>
    <w:rsid w:val="002837F7"/>
    <w:rsid w:val="00284F2C"/>
    <w:rsid w:val="002934C6"/>
    <w:rsid w:val="00295B69"/>
    <w:rsid w:val="002A0944"/>
    <w:rsid w:val="002B1ED7"/>
    <w:rsid w:val="002D4E9C"/>
    <w:rsid w:val="002D6681"/>
    <w:rsid w:val="002F1607"/>
    <w:rsid w:val="002F4C9A"/>
    <w:rsid w:val="0030173E"/>
    <w:rsid w:val="00306285"/>
    <w:rsid w:val="0032036B"/>
    <w:rsid w:val="00320490"/>
    <w:rsid w:val="003210CE"/>
    <w:rsid w:val="0032427A"/>
    <w:rsid w:val="00336795"/>
    <w:rsid w:val="00342502"/>
    <w:rsid w:val="003513D3"/>
    <w:rsid w:val="00354044"/>
    <w:rsid w:val="00363B49"/>
    <w:rsid w:val="003665B8"/>
    <w:rsid w:val="00380152"/>
    <w:rsid w:val="003807CB"/>
    <w:rsid w:val="00386ACD"/>
    <w:rsid w:val="003914D3"/>
    <w:rsid w:val="00396B72"/>
    <w:rsid w:val="003A5398"/>
    <w:rsid w:val="003B4D9E"/>
    <w:rsid w:val="003B5ADF"/>
    <w:rsid w:val="003B7E9B"/>
    <w:rsid w:val="003C4CB2"/>
    <w:rsid w:val="003D1D8B"/>
    <w:rsid w:val="003D2853"/>
    <w:rsid w:val="003E58C5"/>
    <w:rsid w:val="003E6EAE"/>
    <w:rsid w:val="003F6162"/>
    <w:rsid w:val="00403B07"/>
    <w:rsid w:val="004056AC"/>
    <w:rsid w:val="00413D9E"/>
    <w:rsid w:val="00415525"/>
    <w:rsid w:val="00415C0F"/>
    <w:rsid w:val="00421AC1"/>
    <w:rsid w:val="00426C66"/>
    <w:rsid w:val="00432423"/>
    <w:rsid w:val="0044510B"/>
    <w:rsid w:val="00446025"/>
    <w:rsid w:val="00461AEA"/>
    <w:rsid w:val="004773B6"/>
    <w:rsid w:val="0049235F"/>
    <w:rsid w:val="00492D3A"/>
    <w:rsid w:val="0049568C"/>
    <w:rsid w:val="00496B7E"/>
    <w:rsid w:val="004A0E1D"/>
    <w:rsid w:val="004A63C2"/>
    <w:rsid w:val="004B2543"/>
    <w:rsid w:val="004B421A"/>
    <w:rsid w:val="004B74E5"/>
    <w:rsid w:val="004D062E"/>
    <w:rsid w:val="004D4474"/>
    <w:rsid w:val="004F2065"/>
    <w:rsid w:val="004F29A3"/>
    <w:rsid w:val="00510C8E"/>
    <w:rsid w:val="00512512"/>
    <w:rsid w:val="005214AA"/>
    <w:rsid w:val="00522C5A"/>
    <w:rsid w:val="00526297"/>
    <w:rsid w:val="00536373"/>
    <w:rsid w:val="005421F2"/>
    <w:rsid w:val="00545D0F"/>
    <w:rsid w:val="00547D51"/>
    <w:rsid w:val="00547DA1"/>
    <w:rsid w:val="005536B9"/>
    <w:rsid w:val="00556CA1"/>
    <w:rsid w:val="00563719"/>
    <w:rsid w:val="00566000"/>
    <w:rsid w:val="00572D88"/>
    <w:rsid w:val="0057487E"/>
    <w:rsid w:val="005763AD"/>
    <w:rsid w:val="00576D9C"/>
    <w:rsid w:val="00580140"/>
    <w:rsid w:val="00582DE0"/>
    <w:rsid w:val="00583161"/>
    <w:rsid w:val="005864FA"/>
    <w:rsid w:val="00591A3E"/>
    <w:rsid w:val="00593ED1"/>
    <w:rsid w:val="005957CA"/>
    <w:rsid w:val="005A3270"/>
    <w:rsid w:val="005B0152"/>
    <w:rsid w:val="005B2C9A"/>
    <w:rsid w:val="005C3EFB"/>
    <w:rsid w:val="005C676E"/>
    <w:rsid w:val="005C7268"/>
    <w:rsid w:val="005E6A88"/>
    <w:rsid w:val="005F0529"/>
    <w:rsid w:val="005F44E4"/>
    <w:rsid w:val="006036BD"/>
    <w:rsid w:val="00607004"/>
    <w:rsid w:val="0061573B"/>
    <w:rsid w:val="00625B77"/>
    <w:rsid w:val="00627DAF"/>
    <w:rsid w:val="00631BB2"/>
    <w:rsid w:val="00632F7E"/>
    <w:rsid w:val="006414DA"/>
    <w:rsid w:val="00646BC0"/>
    <w:rsid w:val="00651D61"/>
    <w:rsid w:val="0066194A"/>
    <w:rsid w:val="00661B0A"/>
    <w:rsid w:val="00676785"/>
    <w:rsid w:val="00680F22"/>
    <w:rsid w:val="006953CB"/>
    <w:rsid w:val="006A3A7D"/>
    <w:rsid w:val="006A5809"/>
    <w:rsid w:val="006B0238"/>
    <w:rsid w:val="006B1C29"/>
    <w:rsid w:val="006B583A"/>
    <w:rsid w:val="006C4A64"/>
    <w:rsid w:val="006D1FEC"/>
    <w:rsid w:val="006D2AA9"/>
    <w:rsid w:val="006D789C"/>
    <w:rsid w:val="006E5E28"/>
    <w:rsid w:val="006F1AA7"/>
    <w:rsid w:val="006F1EF2"/>
    <w:rsid w:val="006F285F"/>
    <w:rsid w:val="006F30F6"/>
    <w:rsid w:val="007130DC"/>
    <w:rsid w:val="00720003"/>
    <w:rsid w:val="00720961"/>
    <w:rsid w:val="00720F75"/>
    <w:rsid w:val="007227AE"/>
    <w:rsid w:val="00725625"/>
    <w:rsid w:val="00731A3F"/>
    <w:rsid w:val="00741AA5"/>
    <w:rsid w:val="00742D0A"/>
    <w:rsid w:val="00745569"/>
    <w:rsid w:val="00745A51"/>
    <w:rsid w:val="0076195F"/>
    <w:rsid w:val="0076454F"/>
    <w:rsid w:val="00777AA4"/>
    <w:rsid w:val="0078084D"/>
    <w:rsid w:val="00783394"/>
    <w:rsid w:val="007A60F2"/>
    <w:rsid w:val="007A7D21"/>
    <w:rsid w:val="007D7CF5"/>
    <w:rsid w:val="007D7FD6"/>
    <w:rsid w:val="007E594B"/>
    <w:rsid w:val="0080055D"/>
    <w:rsid w:val="00803D8E"/>
    <w:rsid w:val="00805CB5"/>
    <w:rsid w:val="0081340D"/>
    <w:rsid w:val="00813D50"/>
    <w:rsid w:val="00826A3F"/>
    <w:rsid w:val="00833465"/>
    <w:rsid w:val="00844769"/>
    <w:rsid w:val="00845D55"/>
    <w:rsid w:val="0086034E"/>
    <w:rsid w:val="00862F4F"/>
    <w:rsid w:val="00864CC5"/>
    <w:rsid w:val="008779C5"/>
    <w:rsid w:val="00880B61"/>
    <w:rsid w:val="00881A81"/>
    <w:rsid w:val="00884588"/>
    <w:rsid w:val="00884714"/>
    <w:rsid w:val="00892E9F"/>
    <w:rsid w:val="0089553A"/>
    <w:rsid w:val="008A3E38"/>
    <w:rsid w:val="008A48D8"/>
    <w:rsid w:val="008A723E"/>
    <w:rsid w:val="008C46FF"/>
    <w:rsid w:val="008C7248"/>
    <w:rsid w:val="008D30E3"/>
    <w:rsid w:val="008E1DEB"/>
    <w:rsid w:val="008F0B0E"/>
    <w:rsid w:val="008F64F6"/>
    <w:rsid w:val="008F73FB"/>
    <w:rsid w:val="00900F42"/>
    <w:rsid w:val="009042FB"/>
    <w:rsid w:val="00906E9A"/>
    <w:rsid w:val="00915F73"/>
    <w:rsid w:val="00920E8D"/>
    <w:rsid w:val="009242DA"/>
    <w:rsid w:val="0093473E"/>
    <w:rsid w:val="00934A87"/>
    <w:rsid w:val="009377F7"/>
    <w:rsid w:val="00941DF8"/>
    <w:rsid w:val="009445DD"/>
    <w:rsid w:val="00952E14"/>
    <w:rsid w:val="0096746F"/>
    <w:rsid w:val="0097220A"/>
    <w:rsid w:val="00974238"/>
    <w:rsid w:val="00975C7E"/>
    <w:rsid w:val="00987DA5"/>
    <w:rsid w:val="0099321E"/>
    <w:rsid w:val="0099709F"/>
    <w:rsid w:val="009A2837"/>
    <w:rsid w:val="009B0362"/>
    <w:rsid w:val="009B1A39"/>
    <w:rsid w:val="009B6A8E"/>
    <w:rsid w:val="009C1AA4"/>
    <w:rsid w:val="009C4735"/>
    <w:rsid w:val="009D4030"/>
    <w:rsid w:val="009E20C1"/>
    <w:rsid w:val="009F389B"/>
    <w:rsid w:val="00A20C80"/>
    <w:rsid w:val="00A24AFB"/>
    <w:rsid w:val="00A25969"/>
    <w:rsid w:val="00A25E4C"/>
    <w:rsid w:val="00A276B2"/>
    <w:rsid w:val="00A30639"/>
    <w:rsid w:val="00A432DE"/>
    <w:rsid w:val="00A6647D"/>
    <w:rsid w:val="00A675DD"/>
    <w:rsid w:val="00A70A4E"/>
    <w:rsid w:val="00A72AA1"/>
    <w:rsid w:val="00A7631F"/>
    <w:rsid w:val="00A77092"/>
    <w:rsid w:val="00A84F65"/>
    <w:rsid w:val="00A8642E"/>
    <w:rsid w:val="00A93ADF"/>
    <w:rsid w:val="00A94655"/>
    <w:rsid w:val="00AA0683"/>
    <w:rsid w:val="00AA1574"/>
    <w:rsid w:val="00AA200C"/>
    <w:rsid w:val="00AA5372"/>
    <w:rsid w:val="00AA759F"/>
    <w:rsid w:val="00AD13A3"/>
    <w:rsid w:val="00AD191D"/>
    <w:rsid w:val="00AD2DB9"/>
    <w:rsid w:val="00AF27F1"/>
    <w:rsid w:val="00AF57C4"/>
    <w:rsid w:val="00AF61BC"/>
    <w:rsid w:val="00AF75AB"/>
    <w:rsid w:val="00B0713A"/>
    <w:rsid w:val="00B14B1D"/>
    <w:rsid w:val="00B14E41"/>
    <w:rsid w:val="00B15DD1"/>
    <w:rsid w:val="00B23394"/>
    <w:rsid w:val="00B33D85"/>
    <w:rsid w:val="00B368FC"/>
    <w:rsid w:val="00B51002"/>
    <w:rsid w:val="00B606A8"/>
    <w:rsid w:val="00B66E1C"/>
    <w:rsid w:val="00B741B8"/>
    <w:rsid w:val="00B9148B"/>
    <w:rsid w:val="00B933A0"/>
    <w:rsid w:val="00B97529"/>
    <w:rsid w:val="00BA29BA"/>
    <w:rsid w:val="00BA3A2D"/>
    <w:rsid w:val="00BA3D80"/>
    <w:rsid w:val="00BA6C8C"/>
    <w:rsid w:val="00BB2F6E"/>
    <w:rsid w:val="00BC0839"/>
    <w:rsid w:val="00BC1745"/>
    <w:rsid w:val="00BC4A5D"/>
    <w:rsid w:val="00BD5B13"/>
    <w:rsid w:val="00BD67F6"/>
    <w:rsid w:val="00BF0DE5"/>
    <w:rsid w:val="00BF1EAD"/>
    <w:rsid w:val="00BF628E"/>
    <w:rsid w:val="00BF734B"/>
    <w:rsid w:val="00C0006E"/>
    <w:rsid w:val="00C00B28"/>
    <w:rsid w:val="00C1103D"/>
    <w:rsid w:val="00C41179"/>
    <w:rsid w:val="00C448A8"/>
    <w:rsid w:val="00C44A34"/>
    <w:rsid w:val="00C57908"/>
    <w:rsid w:val="00C62037"/>
    <w:rsid w:val="00C67CB0"/>
    <w:rsid w:val="00C703A6"/>
    <w:rsid w:val="00C71336"/>
    <w:rsid w:val="00C822AD"/>
    <w:rsid w:val="00C86689"/>
    <w:rsid w:val="00C94C6C"/>
    <w:rsid w:val="00CA13E5"/>
    <w:rsid w:val="00CC72AE"/>
    <w:rsid w:val="00CE368E"/>
    <w:rsid w:val="00CE583A"/>
    <w:rsid w:val="00CE7C52"/>
    <w:rsid w:val="00D030EE"/>
    <w:rsid w:val="00D0600C"/>
    <w:rsid w:val="00D13230"/>
    <w:rsid w:val="00D14B79"/>
    <w:rsid w:val="00D20C6F"/>
    <w:rsid w:val="00D32366"/>
    <w:rsid w:val="00D35383"/>
    <w:rsid w:val="00D40645"/>
    <w:rsid w:val="00D563CD"/>
    <w:rsid w:val="00D87467"/>
    <w:rsid w:val="00D93C91"/>
    <w:rsid w:val="00D9489D"/>
    <w:rsid w:val="00D958F4"/>
    <w:rsid w:val="00DA47F3"/>
    <w:rsid w:val="00DA6694"/>
    <w:rsid w:val="00DB6F1B"/>
    <w:rsid w:val="00DC6B6D"/>
    <w:rsid w:val="00E01D1D"/>
    <w:rsid w:val="00E01EE5"/>
    <w:rsid w:val="00E03629"/>
    <w:rsid w:val="00E04FFF"/>
    <w:rsid w:val="00E07606"/>
    <w:rsid w:val="00E118FD"/>
    <w:rsid w:val="00E1265F"/>
    <w:rsid w:val="00E208DD"/>
    <w:rsid w:val="00E221A9"/>
    <w:rsid w:val="00E35ED2"/>
    <w:rsid w:val="00E40784"/>
    <w:rsid w:val="00E604A6"/>
    <w:rsid w:val="00E60DF3"/>
    <w:rsid w:val="00E64554"/>
    <w:rsid w:val="00E65E2F"/>
    <w:rsid w:val="00E7047E"/>
    <w:rsid w:val="00E7418F"/>
    <w:rsid w:val="00E752B5"/>
    <w:rsid w:val="00E7756E"/>
    <w:rsid w:val="00E831AC"/>
    <w:rsid w:val="00E83340"/>
    <w:rsid w:val="00E879E0"/>
    <w:rsid w:val="00E9485D"/>
    <w:rsid w:val="00E9758F"/>
    <w:rsid w:val="00E97848"/>
    <w:rsid w:val="00EA1A97"/>
    <w:rsid w:val="00EA2284"/>
    <w:rsid w:val="00EB4507"/>
    <w:rsid w:val="00EC00C7"/>
    <w:rsid w:val="00EE1CE5"/>
    <w:rsid w:val="00EE1ED8"/>
    <w:rsid w:val="00EF15C9"/>
    <w:rsid w:val="00EF264C"/>
    <w:rsid w:val="00EF3B94"/>
    <w:rsid w:val="00F1048E"/>
    <w:rsid w:val="00F13003"/>
    <w:rsid w:val="00F13992"/>
    <w:rsid w:val="00F2049E"/>
    <w:rsid w:val="00F20F1C"/>
    <w:rsid w:val="00F2529C"/>
    <w:rsid w:val="00F25843"/>
    <w:rsid w:val="00F4296E"/>
    <w:rsid w:val="00F50F81"/>
    <w:rsid w:val="00F5755C"/>
    <w:rsid w:val="00F57997"/>
    <w:rsid w:val="00F61E0A"/>
    <w:rsid w:val="00F63C1B"/>
    <w:rsid w:val="00F661F4"/>
    <w:rsid w:val="00F73361"/>
    <w:rsid w:val="00F75828"/>
    <w:rsid w:val="00F802F0"/>
    <w:rsid w:val="00F8099A"/>
    <w:rsid w:val="00F92BFE"/>
    <w:rsid w:val="00FA7013"/>
    <w:rsid w:val="00FB6130"/>
    <w:rsid w:val="00FB63CC"/>
    <w:rsid w:val="00FB7ABC"/>
    <w:rsid w:val="00FC163B"/>
    <w:rsid w:val="00FC62F9"/>
    <w:rsid w:val="00FD2C14"/>
    <w:rsid w:val="00FD32EF"/>
    <w:rsid w:val="00FD54EC"/>
    <w:rsid w:val="00FF1CF2"/>
    <w:rsid w:val="0C06190D"/>
    <w:rsid w:val="10DE587B"/>
    <w:rsid w:val="1A7F5AF9"/>
    <w:rsid w:val="1BB60738"/>
    <w:rsid w:val="1DBFCC2C"/>
    <w:rsid w:val="305A656D"/>
    <w:rsid w:val="355639AD"/>
    <w:rsid w:val="378F401B"/>
    <w:rsid w:val="3B3BA12A"/>
    <w:rsid w:val="3FEFCCAE"/>
    <w:rsid w:val="56E36009"/>
    <w:rsid w:val="61956B78"/>
    <w:rsid w:val="62002464"/>
    <w:rsid w:val="6B5E6070"/>
    <w:rsid w:val="75BB2A88"/>
    <w:rsid w:val="77FE5CD9"/>
    <w:rsid w:val="7F57869F"/>
    <w:rsid w:val="7F6A815D"/>
    <w:rsid w:val="7F979053"/>
    <w:rsid w:val="7FFB48F9"/>
    <w:rsid w:val="BDFB2EE4"/>
    <w:rsid w:val="DBFD1264"/>
    <w:rsid w:val="DEEF9CD9"/>
    <w:rsid w:val="EDF58F90"/>
    <w:rsid w:val="EF7C511F"/>
    <w:rsid w:val="EFBFE693"/>
    <w:rsid w:val="F77F1CF1"/>
    <w:rsid w:val="FD326CAC"/>
    <w:rsid w:val="FFD7A3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rFonts w:ascii="Calibri" w:hAnsi="Calibri"/>
      <w:kern w:val="0"/>
      <w:sz w:val="18"/>
      <w:szCs w:val="20"/>
    </w:rPr>
  </w:style>
  <w:style w:type="paragraph" w:styleId="3">
    <w:name w:val="heading 2"/>
    <w:basedOn w:val="1"/>
    <w:next w:val="1"/>
    <w:link w:val="32"/>
    <w:qFormat/>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33"/>
    <w:qFormat/>
    <w:uiPriority w:val="0"/>
    <w:pPr>
      <w:keepNext/>
      <w:keepLines/>
      <w:jc w:val="center"/>
      <w:outlineLvl w:val="2"/>
    </w:pPr>
    <w:rPr>
      <w:rFonts w:eastAsia="仿宋_GB2312"/>
      <w:bCs/>
      <w:sz w:val="32"/>
      <w:szCs w:val="32"/>
    </w:rPr>
  </w:style>
  <w:style w:type="paragraph" w:styleId="5">
    <w:name w:val="heading 5"/>
    <w:basedOn w:val="1"/>
    <w:next w:val="1"/>
    <w:qFormat/>
    <w:uiPriority w:val="0"/>
    <w:pPr>
      <w:keepNext/>
      <w:keepLines/>
      <w:spacing w:before="280" w:after="290" w:line="376" w:lineRule="auto"/>
      <w:outlineLvl w:val="4"/>
    </w:pPr>
    <w:rPr>
      <w:b/>
      <w:bCs/>
      <w:sz w:val="28"/>
      <w:szCs w:val="28"/>
    </w:rPr>
  </w:style>
  <w:style w:type="character" w:default="1" w:styleId="24">
    <w:name w:val="Default Paragraph Font"/>
    <w:link w:val="25"/>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Document Map"/>
    <w:basedOn w:val="1"/>
    <w:link w:val="34"/>
    <w:semiHidden/>
    <w:qFormat/>
    <w:uiPriority w:val="0"/>
    <w:pPr>
      <w:shd w:val="clear" w:color="auto" w:fill="000080"/>
    </w:pPr>
  </w:style>
  <w:style w:type="paragraph" w:styleId="7">
    <w:name w:val="annotation text"/>
    <w:basedOn w:val="1"/>
    <w:link w:val="35"/>
    <w:qFormat/>
    <w:uiPriority w:val="0"/>
    <w:pPr>
      <w:jc w:val="left"/>
    </w:pPr>
  </w:style>
  <w:style w:type="paragraph" w:styleId="8">
    <w:name w:val="Body Text"/>
    <w:basedOn w:val="1"/>
    <w:qFormat/>
    <w:uiPriority w:val="0"/>
    <w:rPr>
      <w:rFonts w:ascii="黑体" w:eastAsia="黑体"/>
      <w:b/>
      <w:bCs/>
      <w:sz w:val="44"/>
    </w:rPr>
  </w:style>
  <w:style w:type="paragraph" w:styleId="9">
    <w:name w:val="Body Text Indent"/>
    <w:basedOn w:val="1"/>
    <w:link w:val="36"/>
    <w:qFormat/>
    <w:uiPriority w:val="0"/>
    <w:pPr>
      <w:spacing w:after="120"/>
      <w:ind w:left="420" w:leftChars="200"/>
    </w:pPr>
  </w:style>
  <w:style w:type="paragraph" w:styleId="10">
    <w:name w:val="toc 3"/>
    <w:basedOn w:val="1"/>
    <w:next w:val="1"/>
    <w:qFormat/>
    <w:uiPriority w:val="0"/>
    <w:pPr>
      <w:spacing w:line="360" w:lineRule="auto"/>
      <w:ind w:left="420"/>
      <w:jc w:val="left"/>
    </w:pPr>
    <w:rPr>
      <w:iCs/>
      <w:sz w:val="24"/>
      <w:szCs w:val="20"/>
    </w:rPr>
  </w:style>
  <w:style w:type="paragraph" w:styleId="11">
    <w:name w:val="Plain Text"/>
    <w:basedOn w:val="1"/>
    <w:link w:val="37"/>
    <w:qFormat/>
    <w:uiPriority w:val="0"/>
    <w:rPr>
      <w:rFonts w:ascii="楷体_GB2312" w:hAnsi="Courier New" w:eastAsia="楷体_GB2312"/>
      <w:sz w:val="28"/>
      <w:szCs w:val="21"/>
    </w:rPr>
  </w:style>
  <w:style w:type="paragraph" w:styleId="12">
    <w:name w:val="Date"/>
    <w:basedOn w:val="1"/>
    <w:next w:val="1"/>
    <w:link w:val="38"/>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39"/>
    <w:semiHidden/>
    <w:qFormat/>
    <w:uiPriority w:val="0"/>
    <w:rPr>
      <w:sz w:val="18"/>
      <w:szCs w:val="18"/>
    </w:rPr>
  </w:style>
  <w:style w:type="paragraph" w:styleId="15">
    <w:name w:val="footer"/>
    <w:basedOn w:val="1"/>
    <w:link w:val="40"/>
    <w:qFormat/>
    <w:uiPriority w:val="0"/>
    <w:pPr>
      <w:tabs>
        <w:tab w:val="center" w:pos="4153"/>
        <w:tab w:val="right" w:pos="8306"/>
      </w:tabs>
      <w:snapToGrid w:val="0"/>
      <w:jc w:val="left"/>
    </w:pPr>
    <w:rPr>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17">
    <w:name w:val="toc 1"/>
    <w:basedOn w:val="1"/>
    <w:next w:val="1"/>
    <w:unhideWhenUsed/>
    <w:qFormat/>
    <w:uiPriority w:val="0"/>
    <w:rPr>
      <w:rFonts w:ascii="Calibri" w:hAnsi="Calibri"/>
      <w:szCs w:val="22"/>
    </w:rPr>
  </w:style>
  <w:style w:type="paragraph" w:styleId="18">
    <w:name w:val="Body Text Indent 3"/>
    <w:basedOn w:val="1"/>
    <w:link w:val="42"/>
    <w:qFormat/>
    <w:uiPriority w:val="0"/>
    <w:pPr>
      <w:spacing w:after="120"/>
      <w:ind w:left="420" w:leftChars="200"/>
    </w:pPr>
    <w:rPr>
      <w:rFonts w:ascii="Calibri" w:hAnsi="Calibri"/>
      <w:sz w:val="16"/>
      <w:szCs w:val="16"/>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43"/>
    <w:qFormat/>
    <w:uiPriority w:val="0"/>
    <w:rPr>
      <w:b/>
      <w:bCs/>
    </w:rPr>
  </w:style>
  <w:style w:type="paragraph" w:styleId="21">
    <w:name w:val="Body Text First Indent"/>
    <w:basedOn w:val="8"/>
    <w:qFormat/>
    <w:uiPriority w:val="0"/>
    <w:pPr>
      <w:spacing w:after="120"/>
      <w:ind w:firstLine="420" w:firstLineChars="100"/>
    </w:pPr>
    <w:rPr>
      <w:rFonts w:ascii="Times New Roman" w:eastAsia="宋体"/>
      <w:b w:val="0"/>
      <w:bCs w:val="0"/>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har1 Char Char Char Char Char Char Char Char Char"/>
    <w:basedOn w:val="1"/>
    <w:link w:val="24"/>
    <w:qFormat/>
    <w:uiPriority w:val="0"/>
  </w:style>
  <w:style w:type="character" w:styleId="26">
    <w:name w:val="Strong"/>
    <w:qFormat/>
    <w:uiPriority w:val="0"/>
    <w:rPr>
      <w:rFonts w:cs="Times New Roman"/>
      <w:b/>
      <w:bCs/>
    </w:rPr>
  </w:style>
  <w:style w:type="character" w:styleId="27">
    <w:name w:val="page number"/>
    <w:basedOn w:val="24"/>
    <w:qFormat/>
    <w:uiPriority w:val="0"/>
  </w:style>
  <w:style w:type="character" w:styleId="28">
    <w:name w:val="FollowedHyperlink"/>
    <w:qFormat/>
    <w:uiPriority w:val="0"/>
    <w:rPr>
      <w:color w:val="800080"/>
      <w:u w:val="single"/>
    </w:rPr>
  </w:style>
  <w:style w:type="character" w:styleId="29">
    <w:name w:val="Hyperlink"/>
    <w:qFormat/>
    <w:uiPriority w:val="0"/>
    <w:rPr>
      <w:rFonts w:cs="Times New Roman"/>
      <w:color w:val="0000FF"/>
      <w:u w:val="single"/>
    </w:rPr>
  </w:style>
  <w:style w:type="character" w:styleId="30">
    <w:name w:val="annotation reference"/>
    <w:qFormat/>
    <w:uiPriority w:val="0"/>
    <w:rPr>
      <w:sz w:val="21"/>
      <w:szCs w:val="21"/>
    </w:rPr>
  </w:style>
  <w:style w:type="character" w:customStyle="1" w:styleId="31">
    <w:name w:val="标题 1 Char"/>
    <w:link w:val="2"/>
    <w:qFormat/>
    <w:locked/>
    <w:uiPriority w:val="0"/>
    <w:rPr>
      <w:rFonts w:ascii="Calibri" w:hAnsi="Calibri" w:eastAsia="宋体"/>
      <w:sz w:val="18"/>
      <w:lang w:bidi="ar-SA"/>
    </w:rPr>
  </w:style>
  <w:style w:type="character" w:customStyle="1" w:styleId="32">
    <w:name w:val="标题 2 Char"/>
    <w:link w:val="3"/>
    <w:qFormat/>
    <w:uiPriority w:val="0"/>
    <w:rPr>
      <w:rFonts w:ascii="Arial" w:hAnsi="Arial" w:eastAsia="黑体"/>
      <w:b/>
      <w:bCs/>
      <w:kern w:val="2"/>
      <w:sz w:val="32"/>
      <w:szCs w:val="32"/>
      <w:lang w:val="en-US" w:eastAsia="zh-CN" w:bidi="ar-SA"/>
    </w:rPr>
  </w:style>
  <w:style w:type="character" w:customStyle="1" w:styleId="33">
    <w:name w:val="标题 3 Char"/>
    <w:link w:val="4"/>
    <w:semiHidden/>
    <w:qFormat/>
    <w:locked/>
    <w:uiPriority w:val="0"/>
    <w:rPr>
      <w:rFonts w:eastAsia="仿宋_GB2312"/>
      <w:bCs/>
      <w:kern w:val="2"/>
      <w:sz w:val="32"/>
      <w:szCs w:val="32"/>
      <w:lang w:val="en-US" w:eastAsia="zh-CN" w:bidi="ar-SA"/>
    </w:rPr>
  </w:style>
  <w:style w:type="character" w:customStyle="1" w:styleId="34">
    <w:name w:val="文档结构图 Char"/>
    <w:link w:val="6"/>
    <w:semiHidden/>
    <w:qFormat/>
    <w:locked/>
    <w:uiPriority w:val="0"/>
    <w:rPr>
      <w:rFonts w:eastAsia="宋体"/>
      <w:kern w:val="2"/>
      <w:sz w:val="21"/>
      <w:szCs w:val="24"/>
      <w:lang w:val="en-US" w:eastAsia="zh-CN" w:bidi="ar-SA"/>
    </w:rPr>
  </w:style>
  <w:style w:type="character" w:customStyle="1" w:styleId="35">
    <w:name w:val="批注文字 Char"/>
    <w:link w:val="7"/>
    <w:qFormat/>
    <w:uiPriority w:val="0"/>
    <w:rPr>
      <w:kern w:val="2"/>
      <w:sz w:val="21"/>
      <w:szCs w:val="24"/>
    </w:rPr>
  </w:style>
  <w:style w:type="character" w:customStyle="1" w:styleId="36">
    <w:name w:val="正文文本缩进 Char"/>
    <w:link w:val="9"/>
    <w:qFormat/>
    <w:locked/>
    <w:uiPriority w:val="0"/>
    <w:rPr>
      <w:rFonts w:eastAsia="宋体"/>
      <w:kern w:val="2"/>
      <w:sz w:val="21"/>
      <w:szCs w:val="24"/>
      <w:lang w:val="en-US" w:eastAsia="zh-CN" w:bidi="ar-SA"/>
    </w:rPr>
  </w:style>
  <w:style w:type="character" w:customStyle="1" w:styleId="37">
    <w:name w:val="纯文本 Char"/>
    <w:link w:val="11"/>
    <w:qFormat/>
    <w:uiPriority w:val="0"/>
    <w:rPr>
      <w:rFonts w:ascii="楷体_GB2312" w:hAnsi="Courier New" w:eastAsia="楷体_GB2312"/>
      <w:kern w:val="2"/>
      <w:sz w:val="28"/>
      <w:szCs w:val="21"/>
      <w:lang w:bidi="ar-SA"/>
    </w:rPr>
  </w:style>
  <w:style w:type="character" w:customStyle="1" w:styleId="38">
    <w:name w:val="日期 Char"/>
    <w:link w:val="12"/>
    <w:semiHidden/>
    <w:qFormat/>
    <w:uiPriority w:val="0"/>
    <w:rPr>
      <w:rFonts w:eastAsia="宋体"/>
      <w:kern w:val="2"/>
      <w:sz w:val="21"/>
      <w:szCs w:val="24"/>
      <w:lang w:val="en-US" w:eastAsia="zh-CN" w:bidi="ar-SA"/>
    </w:rPr>
  </w:style>
  <w:style w:type="character" w:customStyle="1" w:styleId="39">
    <w:name w:val="批注框文本 Char"/>
    <w:link w:val="14"/>
    <w:semiHidden/>
    <w:qFormat/>
    <w:locked/>
    <w:uiPriority w:val="0"/>
    <w:rPr>
      <w:rFonts w:eastAsia="宋体"/>
      <w:kern w:val="2"/>
      <w:sz w:val="18"/>
      <w:szCs w:val="18"/>
      <w:lang w:val="en-US" w:eastAsia="zh-CN" w:bidi="ar-SA"/>
    </w:rPr>
  </w:style>
  <w:style w:type="character" w:customStyle="1" w:styleId="40">
    <w:name w:val="页脚 Char1"/>
    <w:link w:val="15"/>
    <w:semiHidden/>
    <w:qFormat/>
    <w:locked/>
    <w:uiPriority w:val="0"/>
    <w:rPr>
      <w:rFonts w:eastAsia="宋体"/>
      <w:kern w:val="2"/>
      <w:sz w:val="18"/>
      <w:szCs w:val="18"/>
      <w:lang w:val="en-US" w:eastAsia="zh-CN" w:bidi="ar-SA"/>
    </w:rPr>
  </w:style>
  <w:style w:type="character" w:customStyle="1" w:styleId="41">
    <w:name w:val="页眉 Char1"/>
    <w:link w:val="16"/>
    <w:semiHidden/>
    <w:qFormat/>
    <w:locked/>
    <w:uiPriority w:val="0"/>
    <w:rPr>
      <w:rFonts w:ascii="Calibri" w:hAnsi="Calibri" w:eastAsia="宋体" w:cs="Calibri"/>
      <w:kern w:val="2"/>
      <w:sz w:val="18"/>
      <w:szCs w:val="18"/>
      <w:lang w:val="en-US" w:eastAsia="zh-CN" w:bidi="ar-SA"/>
    </w:rPr>
  </w:style>
  <w:style w:type="character" w:customStyle="1" w:styleId="42">
    <w:name w:val="正文文本缩进 3 Char"/>
    <w:link w:val="18"/>
    <w:qFormat/>
    <w:locked/>
    <w:uiPriority w:val="0"/>
    <w:rPr>
      <w:rFonts w:ascii="Calibri" w:hAnsi="Calibri" w:eastAsia="宋体"/>
      <w:kern w:val="2"/>
      <w:sz w:val="16"/>
      <w:szCs w:val="16"/>
      <w:lang w:val="en-US" w:eastAsia="zh-CN" w:bidi="ar-SA"/>
    </w:rPr>
  </w:style>
  <w:style w:type="character" w:customStyle="1" w:styleId="43">
    <w:name w:val="批注主题 Char"/>
    <w:link w:val="20"/>
    <w:qFormat/>
    <w:uiPriority w:val="0"/>
    <w:rPr>
      <w:b/>
      <w:bCs/>
      <w:kern w:val="2"/>
      <w:sz w:val="21"/>
      <w:szCs w:val="24"/>
    </w:rPr>
  </w:style>
  <w:style w:type="paragraph" w:customStyle="1" w:styleId="44">
    <w:name w:val="No Spacing"/>
    <w:qFormat/>
    <w:uiPriority w:val="0"/>
    <w:pPr>
      <w:widowControl w:val="0"/>
      <w:jc w:val="both"/>
    </w:pPr>
    <w:rPr>
      <w:rFonts w:ascii="Calibri" w:hAnsi="Calibri" w:eastAsia="宋体" w:cs="Calibri"/>
      <w:kern w:val="2"/>
      <w:sz w:val="21"/>
      <w:szCs w:val="21"/>
      <w:lang w:val="en-US" w:eastAsia="zh-CN" w:bidi="ar-SA"/>
    </w:rPr>
  </w:style>
  <w:style w:type="paragraph" w:customStyle="1" w:styleId="45">
    <w:name w:val="List Paragraph1"/>
    <w:basedOn w:val="1"/>
    <w:qFormat/>
    <w:uiPriority w:val="0"/>
    <w:pPr>
      <w:ind w:firstLine="420" w:firstLineChars="200"/>
    </w:pPr>
    <w:rPr>
      <w:rFonts w:ascii="Calibri" w:hAnsi="Calibri" w:cs="Calibri"/>
      <w:szCs w:val="21"/>
    </w:rPr>
  </w:style>
  <w:style w:type="character" w:customStyle="1" w:styleId="46">
    <w:name w:val="Book Title"/>
    <w:qFormat/>
    <w:uiPriority w:val="0"/>
    <w:rPr>
      <w:b/>
      <w:bCs/>
      <w:smallCaps/>
      <w:spacing w:val="5"/>
    </w:rPr>
  </w:style>
  <w:style w:type="paragraph" w:styleId="47">
    <w:name w:val="List Paragraph"/>
    <w:basedOn w:val="1"/>
    <w:qFormat/>
    <w:uiPriority w:val="0"/>
    <w:pPr>
      <w:spacing w:line="360" w:lineRule="auto"/>
      <w:ind w:firstLine="420" w:firstLineChars="200"/>
      <w:jc w:val="left"/>
    </w:pPr>
    <w:rPr>
      <w:rFonts w:ascii="Calibri" w:hAnsi="Calibri"/>
      <w:sz w:val="24"/>
      <w:szCs w:val="21"/>
    </w:rPr>
  </w:style>
  <w:style w:type="paragraph" w:customStyle="1" w:styleId="48">
    <w:name w:val="封面标题"/>
    <w:qFormat/>
    <w:uiPriority w:val="0"/>
    <w:pPr>
      <w:tabs>
        <w:tab w:val="left" w:pos="1290"/>
      </w:tabs>
      <w:spacing w:line="360" w:lineRule="auto"/>
      <w:jc w:val="center"/>
    </w:pPr>
    <w:rPr>
      <w:rFonts w:ascii="Calibri" w:hAnsi="Calibri" w:eastAsia="黑体" w:cs="Times New Roman"/>
      <w:kern w:val="2"/>
      <w:sz w:val="44"/>
      <w:szCs w:val="21"/>
      <w:lang w:val="en-US" w:eastAsia="zh-CN" w:bidi="ar-SA"/>
    </w:rPr>
  </w:style>
  <w:style w:type="paragraph" w:customStyle="1" w:styleId="4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0">
    <w:name w:val=" Char Char Char Char Char"/>
    <w:basedOn w:val="1"/>
    <w:qFormat/>
    <w:uiPriority w:val="0"/>
    <w:rPr>
      <w:rFonts w:ascii="Tahoma" w:hAnsi="Tahoma"/>
      <w:sz w:val="24"/>
      <w:szCs w:val="20"/>
    </w:rPr>
  </w:style>
  <w:style w:type="character" w:customStyle="1" w:styleId="51">
    <w:name w:val="txt181"/>
    <w:qFormat/>
    <w:uiPriority w:val="0"/>
    <w:rPr>
      <w:rFonts w:hint="eastAsia" w:ascii="宋体" w:hAnsi="宋体" w:eastAsia="宋体"/>
      <w:b/>
      <w:bCs/>
      <w:color w:val="003CC8"/>
      <w:sz w:val="39"/>
      <w:szCs w:val="39"/>
      <w:u w:val="none"/>
    </w:rPr>
  </w:style>
  <w:style w:type="paragraph" w:customStyle="1" w:styleId="52">
    <w:name w:val=" Char1 Char Char Char Char Char Char Char Char Char"/>
    <w:basedOn w:val="1"/>
    <w:qFormat/>
    <w:uiPriority w:val="0"/>
  </w:style>
  <w:style w:type="character" w:customStyle="1" w:styleId="53">
    <w:name w:val="ca-51"/>
    <w:qFormat/>
    <w:uiPriority w:val="0"/>
    <w:rPr>
      <w:rFonts w:hint="eastAsia" w:ascii="仿宋_GB2312" w:eastAsia="仿宋_GB2312"/>
      <w:sz w:val="32"/>
      <w:szCs w:val="32"/>
    </w:rPr>
  </w:style>
  <w:style w:type="character" w:customStyle="1" w:styleId="54">
    <w:name w:val="zhenwen"/>
    <w:basedOn w:val="24"/>
    <w:qFormat/>
    <w:uiPriority w:val="0"/>
  </w:style>
  <w:style w:type="character" w:customStyle="1" w:styleId="55">
    <w:name w:val="apple-style-span"/>
    <w:basedOn w:val="24"/>
    <w:qFormat/>
    <w:uiPriority w:val="0"/>
  </w:style>
  <w:style w:type="paragraph" w:customStyle="1" w:styleId="56">
    <w:name w:val="cas_cont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font5"/>
    <w:basedOn w:val="1"/>
    <w:qFormat/>
    <w:uiPriority w:val="0"/>
    <w:pPr>
      <w:widowControl/>
      <w:spacing w:before="100" w:beforeAutospacing="1" w:after="100" w:afterAutospacing="1"/>
      <w:jc w:val="left"/>
    </w:pPr>
    <w:rPr>
      <w:kern w:val="0"/>
      <w:sz w:val="20"/>
      <w:szCs w:val="20"/>
    </w:rPr>
  </w:style>
  <w:style w:type="paragraph" w:customStyle="1" w:styleId="5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4">
    <w:name w:val="xl71"/>
    <w:basedOn w:val="1"/>
    <w:qFormat/>
    <w:uiPriority w:val="0"/>
    <w:pPr>
      <w:widowControl/>
      <w:spacing w:before="100" w:beforeAutospacing="1" w:after="100" w:afterAutospacing="1"/>
      <w:jc w:val="left"/>
      <w:textAlignment w:val="center"/>
    </w:pPr>
    <w:rPr>
      <w:b/>
      <w:bCs/>
      <w:kern w:val="0"/>
      <w:sz w:val="24"/>
    </w:rPr>
  </w:style>
  <w:style w:type="paragraph" w:customStyle="1" w:styleId="65">
    <w:name w:val="xl7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7">
    <w:name w:val="xl74"/>
    <w:basedOn w:val="1"/>
    <w:qFormat/>
    <w:uiPriority w:val="0"/>
    <w:pPr>
      <w:widowControl/>
      <w:spacing w:before="100" w:beforeAutospacing="1" w:after="100" w:afterAutospacing="1"/>
      <w:jc w:val="center"/>
      <w:textAlignment w:val="center"/>
    </w:pPr>
    <w:rPr>
      <w:kern w:val="0"/>
      <w:sz w:val="24"/>
    </w:rPr>
  </w:style>
  <w:style w:type="paragraph" w:customStyle="1" w:styleId="68">
    <w:name w:val="xl75"/>
    <w:basedOn w:val="1"/>
    <w:qFormat/>
    <w:uiPriority w:val="0"/>
    <w:pPr>
      <w:widowControl/>
      <w:spacing w:before="100" w:beforeAutospacing="1" w:after="100" w:afterAutospacing="1"/>
      <w:jc w:val="left"/>
      <w:textAlignment w:val="center"/>
    </w:pPr>
    <w:rPr>
      <w:kern w:val="0"/>
      <w:sz w:val="24"/>
    </w:rPr>
  </w:style>
  <w:style w:type="paragraph" w:customStyle="1" w:styleId="69">
    <w:name w:val="xl76"/>
    <w:basedOn w:val="1"/>
    <w:qFormat/>
    <w:uiPriority w:val="0"/>
    <w:pPr>
      <w:widowControl/>
      <w:spacing w:before="100" w:beforeAutospacing="1" w:after="100" w:afterAutospacing="1"/>
      <w:jc w:val="left"/>
      <w:textAlignment w:val="center"/>
    </w:pPr>
    <w:rPr>
      <w:kern w:val="0"/>
      <w:sz w:val="24"/>
    </w:rPr>
  </w:style>
  <w:style w:type="paragraph" w:customStyle="1" w:styleId="70">
    <w:name w:val="xl77"/>
    <w:basedOn w:val="1"/>
    <w:qFormat/>
    <w:uiPriority w:val="0"/>
    <w:pPr>
      <w:widowControl/>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71">
    <w:name w:val="xl78"/>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73">
    <w:name w:val="xl8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szCs w:val="20"/>
    </w:rPr>
  </w:style>
  <w:style w:type="paragraph" w:customStyle="1" w:styleId="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8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20"/>
      <w:szCs w:val="20"/>
    </w:rPr>
  </w:style>
  <w:style w:type="paragraph" w:customStyle="1" w:styleId="90">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9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3">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95">
    <w:name w:val="主题词"/>
    <w:basedOn w:val="1"/>
    <w:qFormat/>
    <w:uiPriority w:val="0"/>
    <w:pPr>
      <w:spacing w:before="74" w:after="74"/>
      <w:ind w:left="1247" w:hanging="1247"/>
    </w:pPr>
    <w:rPr>
      <w:rFonts w:eastAsia="公文小标宋简"/>
      <w:sz w:val="32"/>
      <w:szCs w:val="20"/>
    </w:rPr>
  </w:style>
  <w:style w:type="character" w:customStyle="1" w:styleId="96">
    <w:name w:val=" Char Char6"/>
    <w:qFormat/>
    <w:uiPriority w:val="0"/>
    <w:rPr>
      <w:rFonts w:ascii="Arial" w:hAnsi="Arial" w:eastAsia="黑体"/>
      <w:b/>
      <w:bCs/>
      <w:kern w:val="2"/>
      <w:sz w:val="32"/>
      <w:szCs w:val="32"/>
      <w:lang w:val="en-US" w:eastAsia="zh-CN" w:bidi="ar-SA"/>
    </w:rPr>
  </w:style>
  <w:style w:type="paragraph" w:customStyle="1" w:styleId="97">
    <w:name w:val=" Char Char Char Char"/>
    <w:basedOn w:val="1"/>
    <w:qFormat/>
    <w:uiPriority w:val="0"/>
  </w:style>
  <w:style w:type="character" w:customStyle="1" w:styleId="98">
    <w:name w:val=" Char Char5"/>
    <w:qFormat/>
    <w:uiPriority w:val="0"/>
    <w:rPr>
      <w:rFonts w:eastAsia="宋体"/>
      <w:kern w:val="2"/>
      <w:sz w:val="21"/>
      <w:szCs w:val="24"/>
      <w:lang w:val="en-US" w:eastAsia="zh-CN" w:bidi="ar-SA"/>
    </w:rPr>
  </w:style>
  <w:style w:type="paragraph" w:customStyle="1" w:styleId="99">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Normal_2"/>
    <w:qFormat/>
    <w:uiPriority w:val="0"/>
    <w:pPr>
      <w:spacing w:before="120" w:after="240"/>
      <w:jc w:val="both"/>
    </w:pPr>
    <w:rPr>
      <w:rFonts w:ascii="Calibri" w:hAnsi="Calibri" w:eastAsia="Calibri" w:cs="Times New Roman"/>
      <w:sz w:val="22"/>
      <w:szCs w:val="22"/>
      <w:lang w:val="ru-RU" w:eastAsia="en-US" w:bidi="ar-SA"/>
    </w:rPr>
  </w:style>
  <w:style w:type="character" w:customStyle="1" w:styleId="101">
    <w:name w:val="Heading 1 Char"/>
    <w:qFormat/>
    <w:locked/>
    <w:uiPriority w:val="0"/>
    <w:rPr>
      <w:rFonts w:eastAsia="宋体"/>
      <w:b/>
      <w:bCs/>
      <w:kern w:val="44"/>
      <w:sz w:val="44"/>
      <w:szCs w:val="44"/>
      <w:lang w:val="en-US" w:eastAsia="zh-CN" w:bidi="ar-SA"/>
    </w:rPr>
  </w:style>
  <w:style w:type="paragraph" w:customStyle="1" w:styleId="102">
    <w:name w:val="样式 宋体 四号"/>
    <w:basedOn w:val="1"/>
    <w:qFormat/>
    <w:uiPriority w:val="0"/>
    <w:pPr>
      <w:ind w:firstLine="560" w:firstLineChars="200"/>
    </w:pPr>
    <w:rPr>
      <w:rFonts w:ascii="宋体" w:hAnsi="宋体" w:cs="宋体"/>
      <w:sz w:val="28"/>
      <w:szCs w:val="28"/>
    </w:rPr>
  </w:style>
  <w:style w:type="paragraph" w:customStyle="1" w:styleId="103">
    <w:name w:val="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4">
    <w:name w:val="标准"/>
    <w:qFormat/>
    <w:uiPriority w:val="0"/>
    <w:pPr>
      <w:widowControl w:val="0"/>
      <w:autoSpaceDE w:val="0"/>
      <w:autoSpaceDN w:val="0"/>
      <w:adjustRightInd w:val="0"/>
    </w:pPr>
    <w:rPr>
      <w:rFonts w:ascii="黑体" w:hAnsi="黑体" w:eastAsia="黑体" w:cs="黑体"/>
      <w:color w:val="000000"/>
      <w:sz w:val="21"/>
      <w:szCs w:val="21"/>
      <w:lang w:val="en-US" w:eastAsia="en-US" w:bidi="ar-SA"/>
    </w:rPr>
  </w:style>
  <w:style w:type="paragraph" w:customStyle="1" w:styleId="105">
    <w:name w:val="样式 标题 3 + 宋体 小四 段前: 3.9 磅 段后: 3.9 磅 行距: 固定值 17 磅"/>
    <w:basedOn w:val="4"/>
    <w:qFormat/>
    <w:uiPriority w:val="0"/>
    <w:pPr>
      <w:ind w:firstLine="627" w:firstLineChars="196"/>
      <w:jc w:val="both"/>
    </w:pPr>
    <w:rPr>
      <w:rFonts w:ascii="黑体" w:eastAsia="黑体"/>
      <w:kern w:val="0"/>
    </w:rPr>
  </w:style>
  <w:style w:type="character" w:customStyle="1" w:styleId="106">
    <w:name w:val="Plain Text Char"/>
    <w:qFormat/>
    <w:locked/>
    <w:uiPriority w:val="0"/>
    <w:rPr>
      <w:rFonts w:ascii="宋体" w:hAnsi="Courier New" w:eastAsia="宋体" w:cs="Courier New"/>
      <w:kern w:val="2"/>
      <w:sz w:val="21"/>
      <w:szCs w:val="21"/>
      <w:lang w:val="en-US" w:eastAsia="zh-CN" w:bidi="ar-SA"/>
    </w:rPr>
  </w:style>
  <w:style w:type="paragraph" w:customStyle="1" w:styleId="107">
    <w:name w:val="Style1"/>
    <w:basedOn w:val="1"/>
    <w:qFormat/>
    <w:uiPriority w:val="0"/>
    <w:pPr>
      <w:adjustRightInd w:val="0"/>
      <w:spacing w:line="581" w:lineRule="exact"/>
    </w:pPr>
    <w:rPr>
      <w:rFonts w:ascii="黑体" w:eastAsia="黑体"/>
      <w:kern w:val="0"/>
      <w:sz w:val="24"/>
    </w:rPr>
  </w:style>
  <w:style w:type="character" w:customStyle="1" w:styleId="108">
    <w:name w:val="Font Style11"/>
    <w:qFormat/>
    <w:uiPriority w:val="0"/>
    <w:rPr>
      <w:rFonts w:ascii="MingLiU" w:eastAsia="MingLiU" w:cs="MingLiU"/>
      <w:spacing w:val="20"/>
      <w:sz w:val="28"/>
      <w:szCs w:val="28"/>
    </w:rPr>
  </w:style>
  <w:style w:type="character" w:customStyle="1" w:styleId="109">
    <w:name w:val="Font Style12"/>
    <w:qFormat/>
    <w:uiPriority w:val="0"/>
    <w:rPr>
      <w:rFonts w:ascii="Times New Roman" w:hAnsi="Times New Roman" w:cs="Times New Roman"/>
      <w:b/>
      <w:bCs/>
      <w:sz w:val="30"/>
      <w:szCs w:val="30"/>
    </w:rPr>
  </w:style>
  <w:style w:type="character" w:customStyle="1" w:styleId="110">
    <w:name w:val="Font Style15"/>
    <w:qFormat/>
    <w:uiPriority w:val="0"/>
    <w:rPr>
      <w:rFonts w:ascii="黑体" w:eastAsia="黑体" w:cs="黑体"/>
      <w:sz w:val="30"/>
      <w:szCs w:val="30"/>
    </w:rPr>
  </w:style>
  <w:style w:type="character" w:customStyle="1" w:styleId="111">
    <w:name w:val="Font Style16"/>
    <w:qFormat/>
    <w:uiPriority w:val="0"/>
    <w:rPr>
      <w:rFonts w:ascii="黑体" w:eastAsia="黑体" w:cs="黑体"/>
      <w:spacing w:val="10"/>
      <w:sz w:val="30"/>
      <w:szCs w:val="30"/>
    </w:rPr>
  </w:style>
  <w:style w:type="character" w:customStyle="1" w:styleId="112">
    <w:name w:val="段落1 Char Char"/>
    <w:link w:val="113"/>
    <w:qFormat/>
    <w:uiPriority w:val="0"/>
    <w:rPr>
      <w:rFonts w:eastAsia="仿宋_GB2312"/>
      <w:kern w:val="2"/>
      <w:sz w:val="28"/>
      <w:szCs w:val="24"/>
      <w:lang w:val="en-US" w:eastAsia="zh-CN" w:bidi="ar-SA"/>
    </w:rPr>
  </w:style>
  <w:style w:type="paragraph" w:customStyle="1" w:styleId="113">
    <w:name w:val="段落1"/>
    <w:basedOn w:val="1"/>
    <w:link w:val="112"/>
    <w:qFormat/>
    <w:uiPriority w:val="0"/>
    <w:pPr>
      <w:ind w:firstLine="560" w:firstLineChars="200"/>
    </w:pPr>
    <w:rPr>
      <w:rFonts w:eastAsia="仿宋_GB2312"/>
      <w:sz w:val="28"/>
    </w:rPr>
  </w:style>
  <w:style w:type="paragraph" w:customStyle="1" w:styleId="114">
    <w:name w:val="图表文字"/>
    <w:basedOn w:val="1"/>
    <w:link w:val="115"/>
    <w:qFormat/>
    <w:uiPriority w:val="0"/>
    <w:pPr>
      <w:widowControl/>
      <w:spacing w:line="360" w:lineRule="auto"/>
      <w:jc w:val="center"/>
    </w:pPr>
    <w:rPr>
      <w:rFonts w:hAnsi="宋体"/>
      <w:kern w:val="0"/>
    </w:rPr>
  </w:style>
  <w:style w:type="character" w:customStyle="1" w:styleId="115">
    <w:name w:val="图表文字 Char"/>
    <w:link w:val="114"/>
    <w:qFormat/>
    <w:uiPriority w:val="0"/>
    <w:rPr>
      <w:rFonts w:hAnsi="宋体" w:eastAsia="宋体"/>
      <w:sz w:val="21"/>
      <w:szCs w:val="24"/>
      <w:lang w:bidi="ar-SA"/>
    </w:rPr>
  </w:style>
  <w:style w:type="character" w:customStyle="1" w:styleId="116">
    <w:name w:val="内封中 Char"/>
    <w:link w:val="117"/>
    <w:qFormat/>
    <w:uiPriority w:val="0"/>
    <w:rPr>
      <w:rFonts w:ascii="宋体" w:hAnsi="宋体" w:eastAsia="宋体"/>
      <w:kern w:val="2"/>
      <w:sz w:val="24"/>
      <w:szCs w:val="28"/>
      <w:lang w:val="en-US" w:eastAsia="zh-CN" w:bidi="ar-SA"/>
    </w:rPr>
  </w:style>
  <w:style w:type="paragraph" w:customStyle="1" w:styleId="117">
    <w:name w:val="内封中"/>
    <w:basedOn w:val="1"/>
    <w:link w:val="116"/>
    <w:qFormat/>
    <w:uiPriority w:val="0"/>
    <w:pPr>
      <w:spacing w:line="240" w:lineRule="atLeast"/>
      <w:ind w:left="4" w:leftChars="2" w:firstLine="540" w:firstLineChars="225"/>
      <w:jc w:val="left"/>
    </w:pPr>
    <w:rPr>
      <w:rFonts w:ascii="宋体" w:hAnsi="宋体"/>
      <w:sz w:val="24"/>
      <w:szCs w:val="28"/>
    </w:rPr>
  </w:style>
  <w:style w:type="paragraph" w:customStyle="1" w:styleId="11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 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20">
    <w:name w:val="p0"/>
    <w:basedOn w:val="1"/>
    <w:qFormat/>
    <w:uiPriority w:val="0"/>
    <w:pPr>
      <w:widowControl/>
    </w:pPr>
    <w:rPr>
      <w:kern w:val="0"/>
      <w:szCs w:val="21"/>
    </w:rPr>
  </w:style>
  <w:style w:type="paragraph" w:customStyle="1" w:styleId="121">
    <w:name w:val="正文1"/>
    <w:basedOn w:val="1"/>
    <w:link w:val="122"/>
    <w:qFormat/>
    <w:uiPriority w:val="0"/>
    <w:pPr>
      <w:spacing w:line="480" w:lineRule="exact"/>
      <w:ind w:firstLine="562" w:firstLineChars="200"/>
    </w:pPr>
    <w:rPr>
      <w:rFonts w:ascii="仿宋_GB2312" w:hAnsi="宋体" w:eastAsia="仿宋_GB2312" w:cs="宋体"/>
      <w:bCs/>
      <w:sz w:val="28"/>
      <w:szCs w:val="28"/>
    </w:rPr>
  </w:style>
  <w:style w:type="character" w:customStyle="1" w:styleId="122">
    <w:name w:val="正文1 Char Char"/>
    <w:link w:val="121"/>
    <w:qFormat/>
    <w:uiPriority w:val="0"/>
    <w:rPr>
      <w:rFonts w:ascii="仿宋_GB2312" w:hAnsi="宋体" w:eastAsia="仿宋_GB2312" w:cs="宋体"/>
      <w:bCs/>
      <w:kern w:val="2"/>
      <w:sz w:val="28"/>
      <w:szCs w:val="28"/>
      <w:lang w:val="en-US" w:eastAsia="zh-CN" w:bidi="ar-SA"/>
    </w:rPr>
  </w:style>
  <w:style w:type="character" w:customStyle="1" w:styleId="123">
    <w:name w:val="页脚 Char"/>
    <w:semiHidden/>
    <w:qFormat/>
    <w:uiPriority w:val="0"/>
    <w:rPr>
      <w:rFonts w:eastAsia="宋体"/>
      <w:kern w:val="2"/>
      <w:sz w:val="18"/>
      <w:szCs w:val="18"/>
      <w:lang w:val="en-US" w:eastAsia="zh-CN" w:bidi="ar-SA"/>
    </w:rPr>
  </w:style>
  <w:style w:type="character" w:customStyle="1" w:styleId="124">
    <w:name w:val="页眉 Char"/>
    <w:semiHidden/>
    <w:qFormat/>
    <w:uiPriority w:val="0"/>
    <w:rPr>
      <w:rFonts w:eastAsia="宋体"/>
      <w:kern w:val="2"/>
      <w:sz w:val="18"/>
      <w:szCs w:val="18"/>
      <w:lang w:val="en-US" w:eastAsia="zh-CN" w:bidi="ar-SA"/>
    </w:rPr>
  </w:style>
  <w:style w:type="paragraph" w:customStyle="1" w:styleId="125">
    <w:name w:val=" Char Char Char Char Zchn Zchn Char Char"/>
    <w:basedOn w:val="6"/>
    <w:qFormat/>
    <w:uiPriority w:val="0"/>
    <w:pPr>
      <w:adjustRightInd w:val="0"/>
      <w:spacing w:line="436" w:lineRule="exact"/>
      <w:ind w:left="357"/>
      <w:jc w:val="left"/>
      <w:outlineLvl w:val="3"/>
    </w:pPr>
    <w:rPr>
      <w:rFonts w:ascii="Tahoma" w:hAnsi="Tahoma"/>
      <w:b/>
      <w:sz w:val="24"/>
    </w:rPr>
  </w:style>
  <w:style w:type="character" w:customStyle="1" w:styleId="126">
    <w:name w:val="Subtle Emphasis"/>
    <w:qFormat/>
    <w:uiPriority w:val="0"/>
    <w:rPr>
      <w:i/>
      <w:color w:val="808080"/>
    </w:rPr>
  </w:style>
  <w:style w:type="character" w:customStyle="1" w:styleId="127">
    <w:name w:val="15"/>
    <w:qFormat/>
    <w:uiPriority w:val="0"/>
    <w:rPr>
      <w:rFonts w:hint="default" w:ascii="Times New Roman" w:hAnsi="Times New Roman" w:cs="Times New Roman"/>
      <w:color w:val="0000FF"/>
      <w:u w:val="single"/>
    </w:rPr>
  </w:style>
  <w:style w:type="character" w:customStyle="1" w:styleId="128">
    <w:name w:val=" Char Char2"/>
    <w:qFormat/>
    <w:locked/>
    <w:uiPriority w:val="0"/>
    <w:rPr>
      <w:rFonts w:eastAsia="仿宋"/>
      <w:kern w:val="2"/>
      <w:sz w:val="18"/>
      <w:szCs w:val="18"/>
      <w:lang w:val="en-US" w:eastAsia="zh-CN" w:bidi="ar-SA"/>
    </w:rPr>
  </w:style>
  <w:style w:type="character" w:customStyle="1" w:styleId="129">
    <w:name w:val=" Char Char1"/>
    <w:semiHidden/>
    <w:qFormat/>
    <w:locked/>
    <w:uiPriority w:val="0"/>
    <w:rPr>
      <w:rFonts w:eastAsia="仿宋"/>
      <w:kern w:val="2"/>
      <w:sz w:val="18"/>
      <w:szCs w:val="18"/>
      <w:lang w:val="en-US" w:eastAsia="zh-CN" w:bidi="ar-SA"/>
    </w:rPr>
  </w:style>
  <w:style w:type="paragraph" w:customStyle="1" w:styleId="130">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table" w:customStyle="1" w:styleId="131">
    <w:name w:val="Table Grid_0"/>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Table Text"/>
    <w:basedOn w:val="1"/>
    <w:semiHidden/>
    <w:qFormat/>
    <w:uiPriority w:val="0"/>
    <w:rPr>
      <w:rFonts w:ascii="宋体" w:hAnsi="宋体" w:eastAsia="宋体" w:cs="宋体"/>
      <w:sz w:val="19"/>
      <w:szCs w:val="19"/>
      <w:lang w:val="en-US" w:eastAsia="en-US" w:bidi="ar-SA"/>
    </w:rPr>
  </w:style>
  <w:style w:type="table" w:customStyle="1" w:styleId="1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2456</Words>
  <Characters>2503</Characters>
  <Lines>1</Lines>
  <Paragraphs>1</Paragraphs>
  <TotalTime>39</TotalTime>
  <ScaleCrop>false</ScaleCrop>
  <LinksUpToDate>false</LinksUpToDate>
  <CharactersWithSpaces>2580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2022-03-16T17:31:00Z</dcterms:created>
  <dc:creator>王丽</dc:creator>
  <cp:lastModifiedBy>xs007</cp:lastModifiedBy>
  <cp:lastPrinted>2025-04-02T11:38:00Z</cp:lastPrinted>
  <dcterms:modified xsi:type="dcterms:W3CDTF">2025-04-07T08:38:29Z</dcterms:modified>
  <dc:title>湖南省国土资源厅办公室文件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54179B35E591496DA1E3BCBDB72945AD_13</vt:lpwstr>
  </property>
  <property fmtid="{D5CDD505-2E9C-101B-9397-08002B2CF9AE}" pid="3" name="KSOProductBuildVer">
    <vt:lpwstr>2052-11.1.0.11719</vt:lpwstr>
  </property>
  <property fmtid="{D5CDD505-2E9C-101B-9397-08002B2CF9AE}" pid="4" name="KSOTemplateDocerSaveRecord">
    <vt:lpwstr>eyJoZGlkIjoiMzNiOWEyMWJkODdlZTdlY2Y1MzM5MjY2Y2YwZWIxOTgiLCJ1c2VySWQiOiIzODM0ODA2MDEifQ==</vt:lpwstr>
  </property>
</Properties>
</file>