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723" w:firstLineChars="200"/>
        <w:jc w:val="center"/>
        <w:rPr>
          <w:rFonts w:ascii="黑体" w:hAnsi="黑体" w:eastAsia="黑体" w:cs="黑体"/>
          <w:b/>
          <w:bCs/>
          <w:sz w:val="36"/>
          <w:szCs w:val="36"/>
        </w:rPr>
      </w:pPr>
      <w:r>
        <w:rPr>
          <w:rFonts w:hint="eastAsia" w:ascii="黑体" w:hAnsi="黑体" w:eastAsia="黑体" w:cs="黑体"/>
          <w:b/>
          <w:bCs/>
          <w:sz w:val="36"/>
          <w:szCs w:val="36"/>
        </w:rPr>
        <w:t>新邵县龙溪铺镇人民政府</w:t>
      </w:r>
    </w:p>
    <w:p>
      <w:pPr>
        <w:spacing w:line="560" w:lineRule="exact"/>
        <w:ind w:firstLine="723" w:firstLineChars="200"/>
        <w:jc w:val="center"/>
        <w:rPr>
          <w:rFonts w:ascii="黑体" w:hAnsi="黑体" w:eastAsia="黑体" w:cs="黑体"/>
          <w:b/>
          <w:bCs/>
          <w:sz w:val="36"/>
          <w:szCs w:val="36"/>
        </w:rPr>
      </w:pPr>
      <w:r>
        <w:rPr>
          <w:rFonts w:hint="eastAsia" w:ascii="黑体" w:hAnsi="黑体" w:eastAsia="黑体" w:cs="黑体"/>
          <w:b/>
          <w:bCs/>
          <w:sz w:val="36"/>
          <w:szCs w:val="36"/>
        </w:rPr>
        <w:t>2020年度部门整体支出绩效自评报告</w:t>
      </w:r>
    </w:p>
    <w:p>
      <w:pPr>
        <w:spacing w:line="560" w:lineRule="exact"/>
        <w:ind w:firstLine="560" w:firstLineChars="200"/>
        <w:jc w:val="center"/>
        <w:rPr>
          <w:rFonts w:ascii="仿宋" w:hAnsi="仿宋" w:eastAsia="仿宋" w:cs="仿宋"/>
          <w:sz w:val="28"/>
          <w:szCs w:val="28"/>
        </w:rPr>
      </w:pPr>
    </w:p>
    <w:p>
      <w:pPr>
        <w:spacing w:line="560" w:lineRule="exact"/>
        <w:ind w:firstLine="560" w:firstLineChars="200"/>
        <w:outlineLvl w:val="0"/>
        <w:rPr>
          <w:rFonts w:ascii="仿宋" w:hAnsi="仿宋" w:eastAsia="仿宋" w:cs="仿宋"/>
          <w:sz w:val="28"/>
          <w:szCs w:val="28"/>
        </w:rPr>
      </w:pPr>
      <w:r>
        <w:rPr>
          <w:rFonts w:hint="eastAsia" w:ascii="仿宋" w:hAnsi="仿宋" w:eastAsia="仿宋" w:cs="仿宋"/>
          <w:sz w:val="28"/>
          <w:szCs w:val="28"/>
        </w:rPr>
        <w:t>一、部门概况</w:t>
      </w:r>
    </w:p>
    <w:p>
      <w:pPr>
        <w:shd w:val="clear" w:color="auto" w:fill="FFFFFF"/>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根据县委县政府印发《新邵县乡镇机构改革实施方案》核定，2020年我镇设6个党政机构、1个综合行政执法大队、3个直属事业单位：党政综合办公室、基层党建办公室、经济发展办公室（加挂农业农村工作办公室牌子）、社会事务办公室（加挂行政审批服务办公室牌子）、社会治安和应急管理办公室、自然资源和生态环境办公室、社会事务综合服务中心（加挂文化综合服务站牌子）、农业综合服务中心、政务服务中心、综合行政执法大队、退役军人服务站。 2020年实有人数173人（含退休人员），其中在职人员121人。单位公车一台，房屋占地面积800平米。</w:t>
      </w:r>
    </w:p>
    <w:p>
      <w:pPr>
        <w:widowControl w:val="0"/>
        <w:numPr>
          <w:ilvl w:val="0"/>
          <w:numId w:val="1"/>
        </w:numPr>
        <w:spacing w:after="0" w:line="560" w:lineRule="exact"/>
        <w:ind w:firstLine="560" w:firstLineChars="200"/>
        <w:jc w:val="both"/>
        <w:rPr>
          <w:rFonts w:ascii="仿宋" w:hAnsi="仿宋" w:eastAsia="仿宋" w:cs="仿宋"/>
          <w:sz w:val="28"/>
          <w:szCs w:val="28"/>
        </w:rPr>
      </w:pPr>
      <w:r>
        <w:rPr>
          <w:rFonts w:hint="eastAsia" w:ascii="仿宋" w:hAnsi="仿宋" w:eastAsia="仿宋" w:cs="仿宋"/>
          <w:sz w:val="28"/>
          <w:szCs w:val="28"/>
        </w:rPr>
        <w:t>主要工作职责。</w:t>
      </w:r>
    </w:p>
    <w:p>
      <w:pPr>
        <w:shd w:val="clear" w:color="auto" w:fill="FFFFFF"/>
        <w:spacing w:line="560" w:lineRule="exact"/>
        <w:ind w:firstLine="562" w:firstLineChars="200"/>
        <w:rPr>
          <w:rFonts w:ascii="仿宋" w:hAnsi="仿宋" w:eastAsia="仿宋" w:cs="仿宋"/>
          <w:b/>
          <w:sz w:val="28"/>
          <w:szCs w:val="28"/>
        </w:rPr>
      </w:pPr>
      <w:r>
        <w:rPr>
          <w:rFonts w:hint="eastAsia" w:ascii="仿宋" w:hAnsi="仿宋" w:eastAsia="仿宋" w:cs="仿宋"/>
          <w:b/>
          <w:sz w:val="28"/>
          <w:szCs w:val="28"/>
        </w:rPr>
        <w:t>1、党委工作职责：</w:t>
      </w:r>
    </w:p>
    <w:p>
      <w:pPr>
        <w:pStyle w:val="18"/>
        <w:widowControl/>
        <w:spacing w:line="560" w:lineRule="exact"/>
        <w:ind w:firstLine="560"/>
        <w:rPr>
          <w:rFonts w:ascii="仿宋" w:hAnsi="仿宋" w:eastAsia="仿宋" w:cs="仿宋"/>
          <w:kern w:val="0"/>
          <w:sz w:val="28"/>
          <w:szCs w:val="28"/>
        </w:rPr>
      </w:pPr>
      <w:r>
        <w:rPr>
          <w:rFonts w:hint="eastAsia" w:ascii="仿宋" w:hAnsi="仿宋" w:eastAsia="仿宋" w:cs="仿宋"/>
          <w:kern w:val="0"/>
          <w:sz w:val="28"/>
          <w:szCs w:val="28"/>
        </w:rPr>
        <w:t>（1）保证党的路线、方针、政策的坚决贯彻执行。</w:t>
      </w:r>
    </w:p>
    <w:p>
      <w:pPr>
        <w:pStyle w:val="18"/>
        <w:widowControl/>
        <w:spacing w:line="560" w:lineRule="exact"/>
        <w:ind w:firstLine="560"/>
        <w:rPr>
          <w:rFonts w:ascii="仿宋" w:hAnsi="仿宋" w:eastAsia="仿宋" w:cs="仿宋"/>
          <w:kern w:val="0"/>
          <w:sz w:val="28"/>
          <w:szCs w:val="28"/>
        </w:rPr>
      </w:pPr>
      <w:r>
        <w:rPr>
          <w:rFonts w:hint="eastAsia" w:ascii="仿宋" w:hAnsi="仿宋" w:eastAsia="仿宋" w:cs="仿宋"/>
          <w:kern w:val="0"/>
          <w:sz w:val="28"/>
          <w:szCs w:val="28"/>
        </w:rPr>
        <w:t>（2）保证监督职能。</w:t>
      </w:r>
    </w:p>
    <w:p>
      <w:pPr>
        <w:pStyle w:val="18"/>
        <w:widowControl/>
        <w:spacing w:line="560" w:lineRule="exact"/>
        <w:ind w:firstLine="560"/>
        <w:rPr>
          <w:rFonts w:ascii="仿宋" w:hAnsi="仿宋" w:eastAsia="仿宋" w:cs="仿宋"/>
          <w:kern w:val="0"/>
          <w:sz w:val="28"/>
          <w:szCs w:val="28"/>
        </w:rPr>
      </w:pPr>
      <w:r>
        <w:rPr>
          <w:rFonts w:hint="eastAsia" w:ascii="仿宋" w:hAnsi="仿宋" w:eastAsia="仿宋" w:cs="仿宋"/>
          <w:kern w:val="0"/>
          <w:sz w:val="28"/>
          <w:szCs w:val="28"/>
        </w:rPr>
        <w:t>（3）教育和管理职能。</w:t>
      </w:r>
    </w:p>
    <w:p>
      <w:pPr>
        <w:pStyle w:val="18"/>
        <w:widowControl/>
        <w:spacing w:line="560" w:lineRule="exact"/>
        <w:ind w:firstLine="560"/>
        <w:rPr>
          <w:rFonts w:ascii="仿宋" w:hAnsi="仿宋" w:eastAsia="仿宋" w:cs="仿宋"/>
          <w:kern w:val="0"/>
          <w:sz w:val="28"/>
          <w:szCs w:val="28"/>
        </w:rPr>
      </w:pPr>
      <w:r>
        <w:rPr>
          <w:rFonts w:hint="eastAsia" w:ascii="仿宋" w:hAnsi="仿宋" w:eastAsia="仿宋" w:cs="仿宋"/>
          <w:kern w:val="0"/>
          <w:sz w:val="28"/>
          <w:szCs w:val="28"/>
        </w:rPr>
        <w:t>（4）服从和服务于经济建设的职能。</w:t>
      </w:r>
    </w:p>
    <w:p>
      <w:pPr>
        <w:pStyle w:val="18"/>
        <w:widowControl/>
        <w:spacing w:line="560" w:lineRule="exact"/>
        <w:ind w:firstLine="560"/>
        <w:rPr>
          <w:rFonts w:ascii="仿宋" w:hAnsi="仿宋" w:eastAsia="仿宋" w:cs="仿宋"/>
          <w:kern w:val="0"/>
          <w:sz w:val="28"/>
          <w:szCs w:val="28"/>
        </w:rPr>
      </w:pPr>
      <w:r>
        <w:rPr>
          <w:rFonts w:hint="eastAsia" w:ascii="仿宋" w:hAnsi="仿宋" w:eastAsia="仿宋" w:cs="仿宋"/>
          <w:kern w:val="0"/>
          <w:sz w:val="28"/>
          <w:szCs w:val="28"/>
        </w:rPr>
        <w:t>（5）负责抓好本镇党建工作、群团工作、精神文明建设工作、新闻宣传工作。</w:t>
      </w:r>
    </w:p>
    <w:p>
      <w:pPr>
        <w:pStyle w:val="18"/>
        <w:widowControl/>
        <w:spacing w:line="560" w:lineRule="exact"/>
        <w:ind w:firstLine="560"/>
        <w:rPr>
          <w:rFonts w:ascii="仿宋" w:hAnsi="仿宋" w:eastAsia="仿宋" w:cs="仿宋"/>
          <w:kern w:val="0"/>
          <w:sz w:val="28"/>
          <w:szCs w:val="28"/>
        </w:rPr>
      </w:pPr>
      <w:r>
        <w:rPr>
          <w:rFonts w:hint="eastAsia" w:ascii="仿宋" w:hAnsi="仿宋" w:eastAsia="仿宋" w:cs="仿宋"/>
          <w:kern w:val="0"/>
          <w:sz w:val="28"/>
          <w:szCs w:val="28"/>
        </w:rPr>
        <w:t>（6）完成上级党委交给的其他工作任务。</w:t>
      </w:r>
    </w:p>
    <w:p>
      <w:pPr>
        <w:shd w:val="clear" w:color="auto" w:fill="FFFFFF"/>
        <w:spacing w:line="560" w:lineRule="exact"/>
        <w:ind w:firstLine="562" w:firstLineChars="200"/>
        <w:rPr>
          <w:rFonts w:ascii="仿宋" w:hAnsi="仿宋" w:eastAsia="仿宋" w:cs="仿宋"/>
          <w:b/>
          <w:sz w:val="28"/>
          <w:szCs w:val="28"/>
        </w:rPr>
      </w:pPr>
      <w:r>
        <w:rPr>
          <w:rFonts w:hint="eastAsia" w:ascii="仿宋" w:hAnsi="仿宋" w:eastAsia="仿宋" w:cs="仿宋"/>
          <w:b/>
          <w:sz w:val="28"/>
          <w:szCs w:val="28"/>
        </w:rPr>
        <w:t>2、政府职能：</w:t>
      </w:r>
    </w:p>
    <w:p>
      <w:pPr>
        <w:pStyle w:val="18"/>
        <w:widowControl/>
        <w:spacing w:line="560" w:lineRule="exact"/>
        <w:ind w:firstLine="560"/>
        <w:rPr>
          <w:rFonts w:ascii="仿宋" w:hAnsi="仿宋" w:eastAsia="仿宋" w:cs="仿宋"/>
          <w:kern w:val="0"/>
          <w:sz w:val="28"/>
          <w:szCs w:val="28"/>
        </w:rPr>
      </w:pPr>
      <w:r>
        <w:rPr>
          <w:rFonts w:hint="eastAsia" w:ascii="仿宋" w:hAnsi="仿宋" w:eastAsia="仿宋" w:cs="仿宋"/>
          <w:kern w:val="0"/>
          <w:sz w:val="28"/>
          <w:szCs w:val="28"/>
        </w:rPr>
        <w:t>（1）制定和组织实施经济、科技和社会发展计划，制定资源开发技术改造和产业结构调整方案，组织指导好各业生产，搞好商品流通，协调好本乡与外地区的经济交流与合作，抓好招商引资，人才引进项目开发，不断培育市场体系，组织经济运行，促进经济发展。</w:t>
      </w:r>
    </w:p>
    <w:p>
      <w:pPr>
        <w:pStyle w:val="18"/>
        <w:widowControl/>
        <w:spacing w:line="560" w:lineRule="exact"/>
        <w:ind w:firstLine="560"/>
        <w:rPr>
          <w:rFonts w:ascii="仿宋" w:hAnsi="仿宋" w:eastAsia="仿宋" w:cs="仿宋"/>
          <w:kern w:val="0"/>
          <w:sz w:val="28"/>
          <w:szCs w:val="28"/>
        </w:rPr>
      </w:pPr>
      <w:r>
        <w:rPr>
          <w:rFonts w:hint="eastAsia" w:ascii="仿宋" w:hAnsi="仿宋" w:eastAsia="仿宋" w:cs="仿宋"/>
          <w:kern w:val="0"/>
          <w:sz w:val="28"/>
          <w:szCs w:val="28"/>
        </w:rPr>
        <w:t>（2）制定并组织实施村镇建设规划，部署重点工程建设，地方道路建设及公共设施，水利设施的管理，负责土地、林木、水等自然资源和生态环境的保护，做好护林防火工作。</w:t>
      </w:r>
    </w:p>
    <w:p>
      <w:pPr>
        <w:pStyle w:val="18"/>
        <w:widowControl/>
        <w:spacing w:line="560" w:lineRule="exact"/>
        <w:ind w:firstLine="560"/>
        <w:rPr>
          <w:rFonts w:ascii="仿宋" w:hAnsi="仿宋" w:eastAsia="仿宋" w:cs="仿宋"/>
          <w:kern w:val="0"/>
          <w:sz w:val="28"/>
          <w:szCs w:val="28"/>
        </w:rPr>
      </w:pPr>
      <w:r>
        <w:rPr>
          <w:rFonts w:hint="eastAsia" w:ascii="仿宋" w:hAnsi="仿宋" w:eastAsia="仿宋" w:cs="仿宋"/>
          <w:kern w:val="0"/>
          <w:sz w:val="28"/>
          <w:szCs w:val="28"/>
        </w:rPr>
        <w:t>（3）负责本行政区域内的民政、计划生育、文化教育、卫生、体育等社会公益事业的综合性工作，维护一切经济单位和个人的正当经济权益，取缔非法经济活动，调解和处理民事纠纷，打击刑事犯罪，维护社会稳定。</w:t>
      </w:r>
    </w:p>
    <w:p>
      <w:pPr>
        <w:pStyle w:val="18"/>
        <w:widowControl/>
        <w:spacing w:line="560" w:lineRule="exact"/>
        <w:ind w:firstLine="560"/>
        <w:rPr>
          <w:rFonts w:ascii="仿宋" w:hAnsi="仿宋" w:eastAsia="仿宋" w:cs="仿宋"/>
          <w:kern w:val="0"/>
          <w:sz w:val="28"/>
          <w:szCs w:val="28"/>
        </w:rPr>
      </w:pPr>
      <w:r>
        <w:rPr>
          <w:rFonts w:hint="eastAsia" w:ascii="仿宋" w:hAnsi="仿宋" w:eastAsia="仿宋" w:cs="仿宋"/>
          <w:kern w:val="0"/>
          <w:sz w:val="28"/>
          <w:szCs w:val="28"/>
        </w:rPr>
        <w:t>（4）按计划组织本级财政收入和地方税的征收，完成国家财政计划，不断培植税源，管好财政资金，增强财政实力。</w:t>
      </w:r>
    </w:p>
    <w:p>
      <w:pPr>
        <w:pStyle w:val="18"/>
        <w:widowControl/>
        <w:spacing w:line="560" w:lineRule="exact"/>
        <w:ind w:firstLine="560"/>
        <w:rPr>
          <w:rFonts w:ascii="仿宋" w:hAnsi="仿宋" w:eastAsia="仿宋" w:cs="仿宋"/>
          <w:kern w:val="0"/>
          <w:sz w:val="28"/>
          <w:szCs w:val="28"/>
        </w:rPr>
      </w:pPr>
      <w:r>
        <w:rPr>
          <w:rFonts w:hint="eastAsia" w:ascii="仿宋" w:hAnsi="仿宋" w:eastAsia="仿宋" w:cs="仿宋"/>
          <w:kern w:val="0"/>
          <w:sz w:val="28"/>
          <w:szCs w:val="28"/>
        </w:rPr>
        <w:t>（5）抓好精神文明建设，丰富群众文化生活，提倡移风易俗，反对封建迷信，破除陈规陋习，树立社会主义新风尚。</w:t>
      </w:r>
    </w:p>
    <w:p>
      <w:pPr>
        <w:pStyle w:val="18"/>
        <w:widowControl/>
        <w:spacing w:line="560" w:lineRule="exact"/>
        <w:ind w:firstLine="560"/>
        <w:rPr>
          <w:rFonts w:ascii="仿宋" w:hAnsi="仿宋" w:eastAsia="仿宋" w:cs="仿宋"/>
          <w:kern w:val="0"/>
          <w:sz w:val="28"/>
          <w:szCs w:val="28"/>
        </w:rPr>
      </w:pPr>
      <w:r>
        <w:rPr>
          <w:rFonts w:hint="eastAsia" w:ascii="仿宋" w:hAnsi="仿宋" w:eastAsia="仿宋" w:cs="仿宋"/>
          <w:kern w:val="0"/>
          <w:sz w:val="28"/>
          <w:szCs w:val="28"/>
        </w:rPr>
        <w:t>（6）完成上级政府交办的其它事项。</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（三）2020年度工作计划。</w:t>
      </w:r>
    </w:p>
    <w:p>
      <w:pPr>
        <w:pStyle w:val="18"/>
        <w:widowControl/>
        <w:spacing w:line="560" w:lineRule="exact"/>
        <w:ind w:firstLine="560"/>
        <w:rPr>
          <w:rFonts w:ascii="仿宋" w:hAnsi="仿宋" w:eastAsia="仿宋" w:cs="仿宋"/>
          <w:kern w:val="0"/>
          <w:sz w:val="28"/>
          <w:szCs w:val="28"/>
        </w:rPr>
      </w:pPr>
      <w:r>
        <w:rPr>
          <w:rFonts w:hint="eastAsia" w:ascii="仿宋" w:hAnsi="仿宋" w:eastAsia="仿宋" w:cs="仿宋"/>
          <w:kern w:val="0"/>
          <w:sz w:val="28"/>
          <w:szCs w:val="28"/>
        </w:rPr>
        <w:t>保障龙溪铺镇在职干部的正常办公、生活秩序，保障辖区内居民安居乐业，政治、经济、文化均衡发展；提升生态环境保护意识，打造浓厚的扫黑除恶氛围，形成良好的公德教育环境，力争稳定的信访态势，建设宜居村庄；进一步降低贫困发生率，确保全镇脱贫，防止返贫，稳定致富；全面贯彻党的十九大和十九届二中、三中、四中全会精神和习近平总书记系列重要讲话精神，以全国特色小城镇建设为契机，以发展全域旅游为抓手，实现“村庄绿化、环境美化、产业强化”战略目标。</w:t>
      </w:r>
    </w:p>
    <w:p>
      <w:pPr>
        <w:spacing w:line="560" w:lineRule="exact"/>
        <w:ind w:firstLine="560" w:firstLineChars="200"/>
        <w:rPr>
          <w:rFonts w:ascii="仿宋" w:hAnsi="仿宋" w:eastAsia="仿宋" w:cs="仿宋"/>
          <w:b/>
          <w:bCs/>
          <w:sz w:val="28"/>
          <w:szCs w:val="28"/>
        </w:rPr>
      </w:pPr>
      <w:r>
        <w:rPr>
          <w:rFonts w:hint="eastAsia" w:ascii="仿宋" w:hAnsi="仿宋" w:eastAsia="仿宋" w:cs="仿宋"/>
          <w:sz w:val="28"/>
          <w:szCs w:val="28"/>
        </w:rPr>
        <w:t>二、部门整体支出规模、使用方向和内容（金额：万元）</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（一）年度预算收支情况</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1.年初预算收支</w:t>
      </w:r>
    </w:p>
    <w:tbl>
      <w:tblPr>
        <w:tblStyle w:val="9"/>
        <w:tblpPr w:leftFromText="180" w:rightFromText="180" w:vertAnchor="text" w:horzAnchor="page" w:tblpXSpec="center" w:tblpY="442"/>
        <w:tblOverlap w:val="never"/>
        <w:tblW w:w="0" w:type="auto"/>
        <w:jc w:val="center"/>
        <w:tblLayout w:type="autofit"/>
        <w:tblCellMar>
          <w:top w:w="0" w:type="dxa"/>
          <w:left w:w="0" w:type="dxa"/>
          <w:bottom w:w="0" w:type="dxa"/>
          <w:right w:w="0" w:type="dxa"/>
        </w:tblCellMar>
      </w:tblPr>
      <w:tblGrid>
        <w:gridCol w:w="2724"/>
        <w:gridCol w:w="1564"/>
        <w:gridCol w:w="1406"/>
        <w:gridCol w:w="1092"/>
        <w:gridCol w:w="1092"/>
      </w:tblGrid>
      <w:tr>
        <w:tblPrEx>
          <w:tblCellMar>
            <w:top w:w="0" w:type="dxa"/>
            <w:left w:w="0" w:type="dxa"/>
            <w:bottom w:w="0" w:type="dxa"/>
            <w:right w:w="0" w:type="dxa"/>
          </w:tblCellMar>
        </w:tblPrEx>
        <w:trPr>
          <w:trHeight w:val="337" w:hRule="atLeast"/>
          <w:jc w:val="center"/>
        </w:trPr>
        <w:tc>
          <w:tcPr>
            <w:tcW w:w="2724" w:type="dxa"/>
            <w:vMerge w:val="restart"/>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spacing w:line="560" w:lineRule="exact"/>
              <w:ind w:firstLine="562" w:firstLineChars="200"/>
              <w:jc w:val="center"/>
              <w:textAlignment w:val="center"/>
              <w:rPr>
                <w:rFonts w:ascii="仿宋" w:hAnsi="仿宋" w:eastAsia="仿宋" w:cs="仿宋"/>
                <w:sz w:val="28"/>
                <w:szCs w:val="28"/>
              </w:rPr>
            </w:pPr>
            <w:r>
              <w:rPr>
                <w:rFonts w:hint="eastAsia" w:ascii="仿宋" w:hAnsi="仿宋" w:eastAsia="仿宋" w:cs="仿宋"/>
                <w:b/>
                <w:sz w:val="28"/>
                <w:szCs w:val="28"/>
              </w:rPr>
              <w:t>预算项目</w:t>
            </w:r>
          </w:p>
        </w:tc>
        <w:tc>
          <w:tcPr>
            <w:tcW w:w="2970" w:type="dxa"/>
            <w:gridSpan w:val="2"/>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spacing w:line="560" w:lineRule="exact"/>
              <w:ind w:firstLine="562" w:firstLineChars="200"/>
              <w:jc w:val="center"/>
              <w:textAlignment w:val="center"/>
              <w:rPr>
                <w:rFonts w:ascii="仿宋" w:hAnsi="仿宋" w:eastAsia="仿宋" w:cs="仿宋"/>
                <w:sz w:val="28"/>
                <w:szCs w:val="28"/>
              </w:rPr>
            </w:pPr>
            <w:r>
              <w:rPr>
                <w:rFonts w:hint="eastAsia" w:ascii="仿宋" w:hAnsi="仿宋" w:eastAsia="仿宋" w:cs="仿宋"/>
                <w:b/>
                <w:sz w:val="28"/>
                <w:szCs w:val="28"/>
              </w:rPr>
              <w:t>预算金额</w:t>
            </w:r>
          </w:p>
        </w:tc>
        <w:tc>
          <w:tcPr>
            <w:tcW w:w="0" w:type="auto"/>
            <w:gridSpan w:val="2"/>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spacing w:line="560" w:lineRule="exact"/>
              <w:textAlignment w:val="center"/>
              <w:rPr>
                <w:rFonts w:ascii="仿宋" w:hAnsi="仿宋" w:eastAsia="仿宋" w:cs="仿宋"/>
                <w:sz w:val="28"/>
                <w:szCs w:val="28"/>
              </w:rPr>
            </w:pPr>
            <w:r>
              <w:rPr>
                <w:rFonts w:hint="eastAsia" w:ascii="仿宋" w:hAnsi="仿宋" w:eastAsia="仿宋" w:cs="仿宋"/>
                <w:b/>
                <w:sz w:val="28"/>
                <w:szCs w:val="28"/>
              </w:rPr>
              <w:t>较上年增减变化</w:t>
            </w:r>
          </w:p>
        </w:tc>
      </w:tr>
      <w:tr>
        <w:tblPrEx>
          <w:tblCellMar>
            <w:top w:w="0" w:type="dxa"/>
            <w:left w:w="0" w:type="dxa"/>
            <w:bottom w:w="0" w:type="dxa"/>
            <w:right w:w="0" w:type="dxa"/>
          </w:tblCellMar>
        </w:tblPrEx>
        <w:trPr>
          <w:trHeight w:val="397" w:hRule="atLeast"/>
          <w:jc w:val="center"/>
        </w:trPr>
        <w:tc>
          <w:tcPr>
            <w:tcW w:w="2724" w:type="dxa"/>
            <w:vMerge w:val="continue"/>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spacing w:line="560" w:lineRule="exact"/>
              <w:ind w:firstLine="560" w:firstLineChars="200"/>
              <w:jc w:val="center"/>
              <w:rPr>
                <w:rFonts w:ascii="仿宋" w:hAnsi="仿宋" w:eastAsia="仿宋" w:cs="仿宋"/>
                <w:sz w:val="28"/>
                <w:szCs w:val="28"/>
              </w:rPr>
            </w:pPr>
          </w:p>
        </w:tc>
        <w:tc>
          <w:tcPr>
            <w:tcW w:w="1564" w:type="dxa"/>
            <w:tcBorders>
              <w:top w:val="nil"/>
              <w:left w:val="nil"/>
              <w:bottom w:val="single" w:color="auto" w:sz="8" w:space="0"/>
              <w:right w:val="single" w:color="auto" w:sz="8" w:space="0"/>
            </w:tcBorders>
            <w:shd w:val="clear" w:color="auto" w:fill="D9D9D9"/>
            <w:tcMar>
              <w:left w:w="108" w:type="dxa"/>
              <w:right w:w="108" w:type="dxa"/>
            </w:tcMar>
            <w:vAlign w:val="center"/>
          </w:tcPr>
          <w:p>
            <w:pPr>
              <w:spacing w:line="560" w:lineRule="exact"/>
              <w:jc w:val="center"/>
              <w:textAlignment w:val="center"/>
              <w:rPr>
                <w:rFonts w:ascii="仿宋" w:hAnsi="仿宋" w:eastAsia="仿宋" w:cs="仿宋"/>
                <w:sz w:val="28"/>
                <w:szCs w:val="28"/>
              </w:rPr>
            </w:pPr>
            <w:r>
              <w:rPr>
                <w:rFonts w:hint="eastAsia" w:ascii="仿宋" w:hAnsi="仿宋" w:eastAsia="仿宋" w:cs="仿宋"/>
                <w:b/>
                <w:sz w:val="28"/>
                <w:szCs w:val="28"/>
              </w:rPr>
              <w:t>2020年</w:t>
            </w:r>
          </w:p>
        </w:tc>
        <w:tc>
          <w:tcPr>
            <w:tcW w:w="0" w:type="auto"/>
            <w:tcBorders>
              <w:top w:val="nil"/>
              <w:left w:val="nil"/>
              <w:bottom w:val="single" w:color="auto" w:sz="8" w:space="0"/>
              <w:right w:val="single" w:color="auto" w:sz="8" w:space="0"/>
            </w:tcBorders>
            <w:shd w:val="clear" w:color="auto" w:fill="D9D9D9"/>
            <w:tcMar>
              <w:left w:w="108" w:type="dxa"/>
              <w:right w:w="108" w:type="dxa"/>
            </w:tcMar>
            <w:vAlign w:val="center"/>
          </w:tcPr>
          <w:p>
            <w:pPr>
              <w:spacing w:line="560" w:lineRule="exact"/>
              <w:jc w:val="center"/>
              <w:textAlignment w:val="center"/>
              <w:rPr>
                <w:rFonts w:ascii="仿宋" w:hAnsi="仿宋" w:eastAsia="仿宋" w:cs="仿宋"/>
                <w:sz w:val="28"/>
                <w:szCs w:val="28"/>
              </w:rPr>
            </w:pPr>
            <w:r>
              <w:rPr>
                <w:rFonts w:hint="eastAsia" w:ascii="仿宋" w:hAnsi="仿宋" w:eastAsia="仿宋" w:cs="仿宋"/>
                <w:b/>
                <w:sz w:val="28"/>
                <w:szCs w:val="28"/>
              </w:rPr>
              <w:t>2019年</w:t>
            </w:r>
          </w:p>
        </w:tc>
        <w:tc>
          <w:tcPr>
            <w:tcW w:w="0" w:type="auto"/>
            <w:tcBorders>
              <w:top w:val="nil"/>
              <w:left w:val="nil"/>
              <w:bottom w:val="single" w:color="auto" w:sz="8" w:space="0"/>
              <w:right w:val="single" w:color="auto" w:sz="8" w:space="0"/>
            </w:tcBorders>
            <w:shd w:val="clear" w:color="auto" w:fill="D9D9D9"/>
            <w:tcMar>
              <w:left w:w="108" w:type="dxa"/>
              <w:right w:w="108" w:type="dxa"/>
            </w:tcMar>
            <w:vAlign w:val="center"/>
          </w:tcPr>
          <w:p>
            <w:pPr>
              <w:spacing w:line="560" w:lineRule="exact"/>
              <w:jc w:val="center"/>
              <w:textAlignment w:val="center"/>
              <w:rPr>
                <w:rFonts w:ascii="仿宋" w:hAnsi="仿宋" w:eastAsia="仿宋" w:cs="仿宋"/>
                <w:sz w:val="28"/>
                <w:szCs w:val="28"/>
              </w:rPr>
            </w:pPr>
            <w:r>
              <w:rPr>
                <w:rFonts w:hint="eastAsia" w:ascii="仿宋" w:hAnsi="仿宋" w:eastAsia="仿宋" w:cs="仿宋"/>
                <w:b/>
                <w:sz w:val="28"/>
                <w:szCs w:val="28"/>
              </w:rPr>
              <w:t>金额</w:t>
            </w:r>
          </w:p>
        </w:tc>
        <w:tc>
          <w:tcPr>
            <w:tcW w:w="0" w:type="auto"/>
            <w:tcBorders>
              <w:top w:val="nil"/>
              <w:left w:val="nil"/>
              <w:bottom w:val="single" w:color="auto" w:sz="8" w:space="0"/>
              <w:right w:val="single" w:color="auto" w:sz="8" w:space="0"/>
            </w:tcBorders>
            <w:shd w:val="clear" w:color="auto" w:fill="D9D9D9"/>
            <w:tcMar>
              <w:left w:w="108" w:type="dxa"/>
              <w:right w:w="108" w:type="dxa"/>
            </w:tcMar>
            <w:vAlign w:val="center"/>
          </w:tcPr>
          <w:p>
            <w:pPr>
              <w:spacing w:line="560" w:lineRule="exact"/>
              <w:jc w:val="center"/>
              <w:textAlignment w:val="center"/>
              <w:rPr>
                <w:rFonts w:ascii="仿宋" w:hAnsi="仿宋" w:eastAsia="仿宋" w:cs="仿宋"/>
                <w:sz w:val="28"/>
                <w:szCs w:val="28"/>
              </w:rPr>
            </w:pPr>
            <w:r>
              <w:rPr>
                <w:rFonts w:hint="eastAsia" w:ascii="仿宋" w:hAnsi="仿宋" w:eastAsia="仿宋" w:cs="仿宋"/>
                <w:b/>
                <w:sz w:val="28"/>
                <w:szCs w:val="28"/>
              </w:rPr>
              <w:t>比例</w:t>
            </w:r>
          </w:p>
        </w:tc>
      </w:tr>
      <w:tr>
        <w:tblPrEx>
          <w:tblCellMar>
            <w:top w:w="0" w:type="dxa"/>
            <w:left w:w="0" w:type="dxa"/>
            <w:bottom w:w="0" w:type="dxa"/>
            <w:right w:w="0" w:type="dxa"/>
          </w:tblCellMar>
        </w:tblPrEx>
        <w:trPr>
          <w:trHeight w:val="90" w:hRule="atLeast"/>
          <w:jc w:val="center"/>
        </w:trPr>
        <w:tc>
          <w:tcPr>
            <w:tcW w:w="2724" w:type="dxa"/>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ind w:firstLine="562" w:firstLineChars="200"/>
              <w:jc w:val="center"/>
              <w:rPr>
                <w:rFonts w:ascii="仿宋" w:hAnsi="仿宋" w:eastAsia="仿宋" w:cs="仿宋"/>
                <w:sz w:val="28"/>
                <w:szCs w:val="28"/>
              </w:rPr>
            </w:pPr>
            <w:r>
              <w:rPr>
                <w:rFonts w:hint="eastAsia" w:ascii="仿宋" w:hAnsi="仿宋" w:eastAsia="仿宋" w:cs="仿宋"/>
                <w:b/>
                <w:sz w:val="28"/>
                <w:szCs w:val="28"/>
              </w:rPr>
              <w:t>收入预算</w:t>
            </w:r>
          </w:p>
        </w:tc>
        <w:tc>
          <w:tcPr>
            <w:tcW w:w="1564"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r>
              <w:rPr>
                <w:rFonts w:hint="eastAsia" w:ascii="仿宋" w:hAnsi="仿宋" w:eastAsia="仿宋" w:cs="仿宋"/>
              </w:rPr>
              <w:t>3720</w:t>
            </w:r>
          </w:p>
        </w:tc>
        <w:tc>
          <w:tcPr>
            <w:tcW w:w="0" w:type="auto"/>
            <w:tcBorders>
              <w:top w:val="nil"/>
              <w:left w:val="nil"/>
              <w:bottom w:val="single" w:color="auto" w:sz="8" w:space="0"/>
              <w:right w:val="single" w:color="auto" w:sz="8" w:space="0"/>
            </w:tcBorders>
            <w:tcMar>
              <w:left w:w="108" w:type="dxa"/>
              <w:right w:w="108" w:type="dxa"/>
            </w:tcMar>
            <w:vAlign w:val="center"/>
          </w:tcPr>
          <w:p>
            <w:pPr>
              <w:spacing w:line="560" w:lineRule="exact"/>
              <w:jc w:val="center"/>
              <w:rPr>
                <w:rFonts w:ascii="仿宋" w:hAnsi="仿宋" w:eastAsia="仿宋" w:cs="仿宋"/>
              </w:rPr>
            </w:pPr>
            <w:r>
              <w:rPr>
                <w:rFonts w:hint="eastAsia" w:ascii="仿宋" w:hAnsi="仿宋" w:eastAsia="仿宋" w:cs="仿宋"/>
              </w:rPr>
              <w:t>1083.91</w:t>
            </w:r>
          </w:p>
        </w:tc>
        <w:tc>
          <w:tcPr>
            <w:tcW w:w="0" w:type="auto"/>
            <w:tcBorders>
              <w:top w:val="nil"/>
              <w:left w:val="nil"/>
              <w:bottom w:val="single" w:color="auto" w:sz="8" w:space="0"/>
              <w:right w:val="single" w:color="auto" w:sz="8" w:space="0"/>
            </w:tcBorders>
            <w:tcMar>
              <w:left w:w="108" w:type="dxa"/>
              <w:right w:w="108" w:type="dxa"/>
            </w:tcMar>
            <w:vAlign w:val="center"/>
          </w:tcPr>
          <w:p>
            <w:pPr>
              <w:spacing w:line="560" w:lineRule="exact"/>
              <w:jc w:val="center"/>
              <w:rPr>
                <w:rFonts w:ascii="仿宋" w:hAnsi="仿宋" w:eastAsia="仿宋" w:cs="仿宋"/>
              </w:rPr>
            </w:pPr>
            <w:r>
              <w:rPr>
                <w:rFonts w:hint="eastAsia" w:ascii="仿宋" w:hAnsi="仿宋" w:eastAsia="仿宋" w:cs="仿宋"/>
              </w:rPr>
              <w:t>2636.09</w:t>
            </w:r>
          </w:p>
        </w:tc>
        <w:tc>
          <w:tcPr>
            <w:tcW w:w="0" w:type="auto"/>
            <w:tcBorders>
              <w:top w:val="nil"/>
              <w:left w:val="nil"/>
              <w:bottom w:val="single" w:color="auto" w:sz="8" w:space="0"/>
              <w:right w:val="single" w:color="auto" w:sz="8" w:space="0"/>
            </w:tcBorders>
            <w:tcMar>
              <w:left w:w="108" w:type="dxa"/>
              <w:right w:w="108" w:type="dxa"/>
            </w:tcMar>
            <w:vAlign w:val="center"/>
          </w:tcPr>
          <w:p>
            <w:pPr>
              <w:spacing w:line="560" w:lineRule="exact"/>
              <w:rPr>
                <w:rFonts w:ascii="仿宋" w:hAnsi="仿宋" w:eastAsia="仿宋" w:cs="仿宋"/>
              </w:rPr>
            </w:pPr>
            <w:r>
              <w:rPr>
                <w:rFonts w:hint="eastAsia" w:ascii="仿宋" w:hAnsi="仿宋" w:eastAsia="仿宋" w:cs="仿宋"/>
              </w:rPr>
              <w:t>243.2%</w:t>
            </w:r>
          </w:p>
        </w:tc>
      </w:tr>
      <w:tr>
        <w:tblPrEx>
          <w:tblCellMar>
            <w:top w:w="0" w:type="dxa"/>
            <w:left w:w="0" w:type="dxa"/>
            <w:bottom w:w="0" w:type="dxa"/>
            <w:right w:w="0" w:type="dxa"/>
          </w:tblCellMar>
        </w:tblPrEx>
        <w:trPr>
          <w:trHeight w:val="534" w:hRule="atLeast"/>
          <w:jc w:val="center"/>
        </w:trPr>
        <w:tc>
          <w:tcPr>
            <w:tcW w:w="2724" w:type="dxa"/>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其中：财政经费拨款</w:t>
            </w:r>
          </w:p>
        </w:tc>
        <w:tc>
          <w:tcPr>
            <w:tcW w:w="1564"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r>
              <w:rPr>
                <w:rFonts w:hint="eastAsia" w:ascii="仿宋" w:hAnsi="仿宋" w:eastAsia="仿宋" w:cs="仿宋"/>
              </w:rPr>
              <w:t>3440</w:t>
            </w:r>
          </w:p>
        </w:tc>
        <w:tc>
          <w:tcPr>
            <w:tcW w:w="0" w:type="auto"/>
            <w:tcBorders>
              <w:top w:val="nil"/>
              <w:left w:val="nil"/>
              <w:bottom w:val="single" w:color="auto" w:sz="8" w:space="0"/>
              <w:right w:val="single" w:color="auto" w:sz="8" w:space="0"/>
            </w:tcBorders>
            <w:tcMar>
              <w:left w:w="108" w:type="dxa"/>
              <w:right w:w="108" w:type="dxa"/>
            </w:tcMar>
            <w:vAlign w:val="center"/>
          </w:tcPr>
          <w:p>
            <w:pPr>
              <w:spacing w:line="560" w:lineRule="exact"/>
              <w:jc w:val="center"/>
              <w:rPr>
                <w:rFonts w:ascii="仿宋" w:hAnsi="仿宋" w:eastAsia="仿宋" w:cs="仿宋"/>
              </w:rPr>
            </w:pPr>
            <w:r>
              <w:rPr>
                <w:rFonts w:hint="eastAsia" w:ascii="仿宋" w:hAnsi="仿宋" w:eastAsia="仿宋" w:cs="仿宋"/>
              </w:rPr>
              <w:t>1083.91</w:t>
            </w:r>
          </w:p>
        </w:tc>
        <w:tc>
          <w:tcPr>
            <w:tcW w:w="0" w:type="auto"/>
            <w:tcBorders>
              <w:top w:val="nil"/>
              <w:left w:val="nil"/>
              <w:bottom w:val="single" w:color="auto" w:sz="8" w:space="0"/>
              <w:right w:val="single" w:color="auto" w:sz="8" w:space="0"/>
            </w:tcBorders>
            <w:tcMar>
              <w:left w:w="108" w:type="dxa"/>
              <w:right w:w="108" w:type="dxa"/>
            </w:tcMar>
            <w:vAlign w:val="center"/>
          </w:tcPr>
          <w:p>
            <w:pPr>
              <w:spacing w:line="560" w:lineRule="exact"/>
              <w:jc w:val="center"/>
              <w:rPr>
                <w:rFonts w:ascii="仿宋" w:hAnsi="仿宋" w:eastAsia="仿宋" w:cs="仿宋"/>
              </w:rPr>
            </w:pPr>
            <w:r>
              <w:rPr>
                <w:rFonts w:hint="eastAsia" w:ascii="仿宋" w:hAnsi="仿宋" w:eastAsia="仿宋" w:cs="仿宋"/>
              </w:rPr>
              <w:t>2356.09</w:t>
            </w:r>
          </w:p>
        </w:tc>
        <w:tc>
          <w:tcPr>
            <w:tcW w:w="0" w:type="auto"/>
            <w:tcBorders>
              <w:top w:val="nil"/>
              <w:left w:val="nil"/>
              <w:bottom w:val="single" w:color="auto" w:sz="8" w:space="0"/>
              <w:right w:val="single" w:color="auto" w:sz="8" w:space="0"/>
            </w:tcBorders>
            <w:tcMar>
              <w:left w:w="108" w:type="dxa"/>
              <w:right w:w="108" w:type="dxa"/>
            </w:tcMar>
            <w:vAlign w:val="center"/>
          </w:tcPr>
          <w:p>
            <w:pPr>
              <w:spacing w:line="560" w:lineRule="exact"/>
              <w:rPr>
                <w:rFonts w:ascii="仿宋" w:hAnsi="仿宋" w:eastAsia="仿宋" w:cs="仿宋"/>
              </w:rPr>
            </w:pPr>
            <w:r>
              <w:rPr>
                <w:rFonts w:hint="eastAsia" w:ascii="仿宋" w:hAnsi="仿宋" w:eastAsia="仿宋" w:cs="仿宋"/>
              </w:rPr>
              <w:t>217.37%</w:t>
            </w:r>
          </w:p>
        </w:tc>
      </w:tr>
      <w:tr>
        <w:tblPrEx>
          <w:tblCellMar>
            <w:top w:w="0" w:type="dxa"/>
            <w:left w:w="0" w:type="dxa"/>
            <w:bottom w:w="0" w:type="dxa"/>
            <w:right w:w="0" w:type="dxa"/>
          </w:tblCellMar>
        </w:tblPrEx>
        <w:trPr>
          <w:trHeight w:val="534" w:hRule="atLeast"/>
          <w:jc w:val="center"/>
        </w:trPr>
        <w:tc>
          <w:tcPr>
            <w:tcW w:w="2724" w:type="dxa"/>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ind w:firstLine="562" w:firstLineChars="200"/>
              <w:jc w:val="center"/>
              <w:rPr>
                <w:rFonts w:ascii="仿宋" w:hAnsi="仿宋" w:eastAsia="仿宋" w:cs="仿宋"/>
                <w:sz w:val="28"/>
                <w:szCs w:val="28"/>
              </w:rPr>
            </w:pPr>
            <w:r>
              <w:rPr>
                <w:rFonts w:hint="eastAsia" w:ascii="仿宋" w:hAnsi="仿宋" w:eastAsia="仿宋" w:cs="仿宋"/>
                <w:b/>
                <w:sz w:val="28"/>
                <w:szCs w:val="28"/>
              </w:rPr>
              <w:t>支出预算</w:t>
            </w:r>
          </w:p>
        </w:tc>
        <w:tc>
          <w:tcPr>
            <w:tcW w:w="1564"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p>
        </w:tc>
        <w:tc>
          <w:tcPr>
            <w:tcW w:w="0" w:type="auto"/>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p>
        </w:tc>
        <w:tc>
          <w:tcPr>
            <w:tcW w:w="0" w:type="auto"/>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p>
        </w:tc>
        <w:tc>
          <w:tcPr>
            <w:tcW w:w="0" w:type="auto"/>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p>
        </w:tc>
      </w:tr>
      <w:tr>
        <w:tblPrEx>
          <w:tblCellMar>
            <w:top w:w="0" w:type="dxa"/>
            <w:left w:w="0" w:type="dxa"/>
            <w:bottom w:w="0" w:type="dxa"/>
            <w:right w:w="0" w:type="dxa"/>
          </w:tblCellMar>
        </w:tblPrEx>
        <w:trPr>
          <w:trHeight w:val="534" w:hRule="atLeast"/>
          <w:jc w:val="center"/>
        </w:trPr>
        <w:tc>
          <w:tcPr>
            <w:tcW w:w="2724" w:type="dxa"/>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其中：基本支出</w:t>
            </w:r>
          </w:p>
        </w:tc>
        <w:tc>
          <w:tcPr>
            <w:tcW w:w="1564"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r>
              <w:rPr>
                <w:rFonts w:hint="eastAsia" w:ascii="仿宋" w:hAnsi="仿宋" w:eastAsia="仿宋" w:cs="仿宋"/>
              </w:rPr>
              <w:t>3720</w:t>
            </w:r>
          </w:p>
        </w:tc>
        <w:tc>
          <w:tcPr>
            <w:tcW w:w="0" w:type="auto"/>
            <w:tcBorders>
              <w:top w:val="nil"/>
              <w:left w:val="nil"/>
              <w:bottom w:val="single" w:color="auto" w:sz="8" w:space="0"/>
              <w:right w:val="single" w:color="auto" w:sz="8" w:space="0"/>
            </w:tcBorders>
            <w:tcMar>
              <w:left w:w="108" w:type="dxa"/>
              <w:right w:w="108" w:type="dxa"/>
            </w:tcMar>
            <w:vAlign w:val="center"/>
          </w:tcPr>
          <w:p>
            <w:pPr>
              <w:spacing w:line="560" w:lineRule="exact"/>
              <w:jc w:val="center"/>
              <w:rPr>
                <w:rFonts w:ascii="仿宋" w:hAnsi="仿宋" w:eastAsia="仿宋" w:cs="仿宋"/>
              </w:rPr>
            </w:pPr>
            <w:r>
              <w:rPr>
                <w:rFonts w:hint="eastAsia" w:ascii="仿宋" w:hAnsi="仿宋" w:eastAsia="仿宋" w:cs="仿宋"/>
              </w:rPr>
              <w:t>1083.91</w:t>
            </w:r>
          </w:p>
        </w:tc>
        <w:tc>
          <w:tcPr>
            <w:tcW w:w="0" w:type="auto"/>
            <w:tcBorders>
              <w:top w:val="nil"/>
              <w:left w:val="nil"/>
              <w:bottom w:val="single" w:color="auto" w:sz="8" w:space="0"/>
              <w:right w:val="single" w:color="auto" w:sz="8" w:space="0"/>
            </w:tcBorders>
            <w:tcMar>
              <w:left w:w="108" w:type="dxa"/>
              <w:right w:w="108" w:type="dxa"/>
            </w:tcMar>
            <w:vAlign w:val="center"/>
          </w:tcPr>
          <w:p>
            <w:pPr>
              <w:spacing w:line="560" w:lineRule="exact"/>
              <w:jc w:val="center"/>
              <w:rPr>
                <w:rFonts w:ascii="仿宋" w:hAnsi="仿宋" w:eastAsia="仿宋" w:cs="仿宋"/>
              </w:rPr>
            </w:pPr>
            <w:r>
              <w:rPr>
                <w:rFonts w:hint="eastAsia" w:ascii="仿宋" w:hAnsi="仿宋" w:eastAsia="仿宋" w:cs="仿宋"/>
              </w:rPr>
              <w:t>2636.09</w:t>
            </w:r>
          </w:p>
        </w:tc>
        <w:tc>
          <w:tcPr>
            <w:tcW w:w="0" w:type="auto"/>
            <w:tcBorders>
              <w:top w:val="nil"/>
              <w:left w:val="nil"/>
              <w:bottom w:val="single" w:color="auto" w:sz="8" w:space="0"/>
              <w:right w:val="single" w:color="auto" w:sz="8" w:space="0"/>
            </w:tcBorders>
            <w:tcMar>
              <w:left w:w="108" w:type="dxa"/>
              <w:right w:w="108" w:type="dxa"/>
            </w:tcMar>
            <w:vAlign w:val="center"/>
          </w:tcPr>
          <w:p>
            <w:pPr>
              <w:spacing w:line="560" w:lineRule="exact"/>
              <w:rPr>
                <w:rFonts w:ascii="仿宋" w:hAnsi="仿宋" w:eastAsia="仿宋" w:cs="仿宋"/>
              </w:rPr>
            </w:pPr>
            <w:r>
              <w:rPr>
                <w:rFonts w:hint="eastAsia" w:ascii="仿宋" w:hAnsi="仿宋" w:eastAsia="仿宋" w:cs="仿宋"/>
              </w:rPr>
              <w:t>243.2%</w:t>
            </w:r>
          </w:p>
        </w:tc>
      </w:tr>
      <w:tr>
        <w:tblPrEx>
          <w:tblCellMar>
            <w:top w:w="0" w:type="dxa"/>
            <w:left w:w="0" w:type="dxa"/>
            <w:bottom w:w="0" w:type="dxa"/>
            <w:right w:w="0" w:type="dxa"/>
          </w:tblCellMar>
        </w:tblPrEx>
        <w:trPr>
          <w:trHeight w:val="512" w:hRule="atLeast"/>
          <w:jc w:val="center"/>
        </w:trPr>
        <w:tc>
          <w:tcPr>
            <w:tcW w:w="2724" w:type="dxa"/>
            <w:tcBorders>
              <w:top w:val="nil"/>
              <w:left w:val="single" w:color="auto" w:sz="8" w:space="0"/>
              <w:bottom w:val="single" w:color="auto" w:sz="4" w:space="0"/>
              <w:right w:val="single" w:color="auto" w:sz="8" w:space="0"/>
            </w:tcBorders>
            <w:tcMar>
              <w:left w:w="108" w:type="dxa"/>
              <w:right w:w="108" w:type="dxa"/>
            </w:tcMar>
            <w:vAlign w:val="center"/>
          </w:tcPr>
          <w:p>
            <w:pPr>
              <w:spacing w:line="56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其中：项目支出</w:t>
            </w:r>
          </w:p>
        </w:tc>
        <w:tc>
          <w:tcPr>
            <w:tcW w:w="1564" w:type="dxa"/>
            <w:tcBorders>
              <w:top w:val="nil"/>
              <w:left w:val="nil"/>
              <w:bottom w:val="single" w:color="auto" w:sz="4"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szCs w:val="21"/>
              </w:rPr>
            </w:pPr>
          </w:p>
        </w:tc>
        <w:tc>
          <w:tcPr>
            <w:tcW w:w="0" w:type="auto"/>
            <w:tcBorders>
              <w:top w:val="nil"/>
              <w:left w:val="nil"/>
              <w:bottom w:val="single" w:color="auto" w:sz="4"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szCs w:val="21"/>
              </w:rPr>
            </w:pPr>
          </w:p>
        </w:tc>
        <w:tc>
          <w:tcPr>
            <w:tcW w:w="0" w:type="auto"/>
            <w:tcBorders>
              <w:top w:val="nil"/>
              <w:left w:val="nil"/>
              <w:bottom w:val="single" w:color="auto" w:sz="4"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szCs w:val="21"/>
              </w:rPr>
            </w:pPr>
          </w:p>
        </w:tc>
        <w:tc>
          <w:tcPr>
            <w:tcW w:w="0" w:type="auto"/>
            <w:tcBorders>
              <w:top w:val="nil"/>
              <w:left w:val="nil"/>
              <w:bottom w:val="single" w:color="auto" w:sz="4"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szCs w:val="21"/>
              </w:rPr>
            </w:pPr>
          </w:p>
        </w:tc>
      </w:tr>
    </w:tbl>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2020年重点工作较多，例如扶贫工作、城乡环境卫生整治工作、下源水库集中供水工程等，因此增加了年度收入预算和支出预算。</w:t>
      </w:r>
    </w:p>
    <w:p>
      <w:pPr>
        <w:spacing w:line="560" w:lineRule="exact"/>
        <w:ind w:firstLine="560" w:firstLineChars="200"/>
        <w:rPr>
          <w:rFonts w:ascii="仿宋" w:hAnsi="仿宋" w:eastAsia="仿宋" w:cs="仿宋"/>
          <w:sz w:val="28"/>
          <w:szCs w:val="28"/>
        </w:rPr>
      </w:pP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2.财政预算整体支出使用范围、方向和内容</w:t>
      </w:r>
    </w:p>
    <w:tbl>
      <w:tblPr>
        <w:tblStyle w:val="9"/>
        <w:tblW w:w="0" w:type="auto"/>
        <w:jc w:val="center"/>
        <w:tblLayout w:type="fixed"/>
        <w:tblCellMar>
          <w:top w:w="0" w:type="dxa"/>
          <w:left w:w="0" w:type="dxa"/>
          <w:bottom w:w="0" w:type="dxa"/>
          <w:right w:w="0" w:type="dxa"/>
        </w:tblCellMar>
      </w:tblPr>
      <w:tblGrid>
        <w:gridCol w:w="2859"/>
        <w:gridCol w:w="1748"/>
        <w:gridCol w:w="1682"/>
        <w:gridCol w:w="2028"/>
      </w:tblGrid>
      <w:tr>
        <w:tblPrEx>
          <w:tblCellMar>
            <w:top w:w="0" w:type="dxa"/>
            <w:left w:w="0" w:type="dxa"/>
            <w:bottom w:w="0" w:type="dxa"/>
            <w:right w:w="0" w:type="dxa"/>
          </w:tblCellMar>
        </w:tblPrEx>
        <w:trPr>
          <w:trHeight w:val="276" w:hRule="atLeast"/>
          <w:jc w:val="center"/>
        </w:trPr>
        <w:tc>
          <w:tcPr>
            <w:tcW w:w="2859" w:type="dxa"/>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spacing w:line="560" w:lineRule="exact"/>
              <w:ind w:firstLine="560" w:firstLineChars="200"/>
              <w:jc w:val="center"/>
              <w:textAlignment w:val="center"/>
              <w:rPr>
                <w:rFonts w:ascii="仿宋" w:hAnsi="仿宋" w:eastAsia="仿宋" w:cs="仿宋"/>
                <w:bCs/>
                <w:sz w:val="28"/>
                <w:szCs w:val="28"/>
              </w:rPr>
            </w:pPr>
            <w:r>
              <w:rPr>
                <w:rFonts w:hint="eastAsia" w:ascii="仿宋" w:hAnsi="仿宋" w:eastAsia="仿宋" w:cs="仿宋"/>
                <w:bCs/>
                <w:sz w:val="28"/>
                <w:szCs w:val="28"/>
              </w:rPr>
              <w:t>支出项目</w:t>
            </w:r>
          </w:p>
        </w:tc>
        <w:tc>
          <w:tcPr>
            <w:tcW w:w="1748"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spacing w:line="560" w:lineRule="exact"/>
              <w:jc w:val="center"/>
              <w:textAlignment w:val="center"/>
              <w:rPr>
                <w:rFonts w:ascii="仿宋" w:hAnsi="仿宋" w:eastAsia="仿宋" w:cs="仿宋"/>
                <w:bCs/>
                <w:sz w:val="28"/>
                <w:szCs w:val="28"/>
              </w:rPr>
            </w:pPr>
            <w:r>
              <w:rPr>
                <w:rFonts w:hint="eastAsia" w:ascii="仿宋" w:hAnsi="仿宋" w:eastAsia="仿宋" w:cs="仿宋"/>
                <w:bCs/>
                <w:sz w:val="28"/>
                <w:szCs w:val="28"/>
              </w:rPr>
              <w:t>基本支出</w:t>
            </w:r>
          </w:p>
        </w:tc>
        <w:tc>
          <w:tcPr>
            <w:tcW w:w="1682"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spacing w:line="560" w:lineRule="exact"/>
              <w:jc w:val="center"/>
              <w:textAlignment w:val="center"/>
              <w:rPr>
                <w:rFonts w:ascii="仿宋" w:hAnsi="仿宋" w:eastAsia="仿宋" w:cs="仿宋"/>
                <w:bCs/>
                <w:sz w:val="28"/>
                <w:szCs w:val="28"/>
              </w:rPr>
            </w:pPr>
            <w:r>
              <w:rPr>
                <w:rFonts w:hint="eastAsia" w:ascii="仿宋" w:hAnsi="仿宋" w:eastAsia="仿宋" w:cs="仿宋"/>
                <w:bCs/>
                <w:sz w:val="28"/>
                <w:szCs w:val="28"/>
              </w:rPr>
              <w:t>项目支出</w:t>
            </w:r>
          </w:p>
        </w:tc>
        <w:tc>
          <w:tcPr>
            <w:tcW w:w="2028"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spacing w:line="560" w:lineRule="exact"/>
              <w:ind w:firstLine="560" w:firstLineChars="200"/>
              <w:jc w:val="center"/>
              <w:textAlignment w:val="center"/>
              <w:rPr>
                <w:rFonts w:ascii="仿宋" w:hAnsi="仿宋" w:eastAsia="仿宋" w:cs="仿宋"/>
                <w:bCs/>
                <w:sz w:val="28"/>
                <w:szCs w:val="28"/>
              </w:rPr>
            </w:pPr>
            <w:r>
              <w:rPr>
                <w:rFonts w:hint="eastAsia" w:ascii="仿宋" w:hAnsi="仿宋" w:eastAsia="仿宋" w:cs="仿宋"/>
                <w:bCs/>
                <w:sz w:val="28"/>
                <w:szCs w:val="28"/>
              </w:rPr>
              <w:t>合计</w:t>
            </w:r>
          </w:p>
        </w:tc>
      </w:tr>
      <w:tr>
        <w:tblPrEx>
          <w:tblCellMar>
            <w:top w:w="0" w:type="dxa"/>
            <w:left w:w="0" w:type="dxa"/>
            <w:bottom w:w="0" w:type="dxa"/>
            <w:right w:w="0" w:type="dxa"/>
          </w:tblCellMar>
        </w:tblPrEx>
        <w:trPr>
          <w:trHeight w:val="437" w:hRule="atLeast"/>
          <w:jc w:val="center"/>
        </w:trPr>
        <w:tc>
          <w:tcPr>
            <w:tcW w:w="2859" w:type="dxa"/>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ind w:firstLine="560" w:firstLineChars="200"/>
              <w:jc w:val="center"/>
              <w:textAlignment w:val="center"/>
              <w:rPr>
                <w:rFonts w:ascii="仿宋" w:hAnsi="仿宋" w:eastAsia="仿宋" w:cs="仿宋"/>
                <w:bCs/>
                <w:sz w:val="28"/>
                <w:szCs w:val="28"/>
              </w:rPr>
            </w:pPr>
            <w:r>
              <w:rPr>
                <w:rFonts w:hint="eastAsia" w:ascii="仿宋" w:hAnsi="仿宋" w:eastAsia="仿宋" w:cs="仿宋"/>
                <w:bCs/>
                <w:sz w:val="28"/>
                <w:szCs w:val="28"/>
              </w:rPr>
              <w:t>工资福利支出</w:t>
            </w:r>
          </w:p>
        </w:tc>
        <w:tc>
          <w:tcPr>
            <w:tcW w:w="1748"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80" w:firstLineChars="200"/>
              <w:jc w:val="center"/>
              <w:textAlignment w:val="center"/>
              <w:rPr>
                <w:rFonts w:ascii="仿宋" w:hAnsi="仿宋" w:eastAsia="仿宋" w:cs="仿宋"/>
                <w:bCs/>
                <w:sz w:val="24"/>
                <w:szCs w:val="24"/>
              </w:rPr>
            </w:pPr>
            <w:r>
              <w:rPr>
                <w:rFonts w:hint="eastAsia" w:ascii="仿宋" w:hAnsi="仿宋" w:eastAsia="仿宋" w:cs="仿宋"/>
                <w:sz w:val="24"/>
                <w:szCs w:val="24"/>
              </w:rPr>
              <w:t>999.19</w:t>
            </w:r>
          </w:p>
        </w:tc>
        <w:tc>
          <w:tcPr>
            <w:tcW w:w="1682"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560" w:firstLineChars="200"/>
              <w:jc w:val="center"/>
              <w:textAlignment w:val="center"/>
              <w:rPr>
                <w:rFonts w:ascii="仿宋" w:hAnsi="仿宋" w:eastAsia="仿宋" w:cs="仿宋"/>
                <w:bCs/>
                <w:sz w:val="28"/>
                <w:szCs w:val="28"/>
              </w:rPr>
            </w:pPr>
          </w:p>
        </w:tc>
        <w:tc>
          <w:tcPr>
            <w:tcW w:w="2028"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80" w:firstLineChars="200"/>
              <w:jc w:val="center"/>
              <w:textAlignment w:val="center"/>
              <w:rPr>
                <w:rFonts w:ascii="仿宋" w:hAnsi="仿宋" w:eastAsia="仿宋" w:cs="仿宋"/>
                <w:bCs/>
                <w:sz w:val="24"/>
                <w:szCs w:val="24"/>
              </w:rPr>
            </w:pPr>
            <w:r>
              <w:rPr>
                <w:rFonts w:hint="eastAsia" w:ascii="仿宋" w:hAnsi="仿宋" w:eastAsia="仿宋" w:cs="仿宋"/>
                <w:sz w:val="24"/>
                <w:szCs w:val="24"/>
              </w:rPr>
              <w:t>999.19</w:t>
            </w:r>
          </w:p>
        </w:tc>
      </w:tr>
      <w:tr>
        <w:tblPrEx>
          <w:tblCellMar>
            <w:top w:w="0" w:type="dxa"/>
            <w:left w:w="0" w:type="dxa"/>
            <w:bottom w:w="0" w:type="dxa"/>
            <w:right w:w="0" w:type="dxa"/>
          </w:tblCellMar>
        </w:tblPrEx>
        <w:trPr>
          <w:trHeight w:val="437" w:hRule="atLeast"/>
          <w:jc w:val="center"/>
        </w:trPr>
        <w:tc>
          <w:tcPr>
            <w:tcW w:w="2859" w:type="dxa"/>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ind w:firstLine="560" w:firstLineChars="200"/>
              <w:jc w:val="center"/>
              <w:textAlignment w:val="center"/>
              <w:rPr>
                <w:rFonts w:ascii="仿宋" w:hAnsi="仿宋" w:eastAsia="仿宋" w:cs="仿宋"/>
                <w:bCs/>
                <w:sz w:val="28"/>
                <w:szCs w:val="28"/>
              </w:rPr>
            </w:pPr>
            <w:r>
              <w:rPr>
                <w:rFonts w:hint="eastAsia" w:ascii="仿宋" w:hAnsi="仿宋" w:eastAsia="仿宋" w:cs="仿宋"/>
                <w:bCs/>
                <w:sz w:val="28"/>
                <w:szCs w:val="28"/>
              </w:rPr>
              <w:t>商品和服务支出</w:t>
            </w:r>
          </w:p>
        </w:tc>
        <w:tc>
          <w:tcPr>
            <w:tcW w:w="1748"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80" w:firstLineChars="200"/>
              <w:jc w:val="center"/>
              <w:textAlignment w:val="center"/>
              <w:rPr>
                <w:rFonts w:ascii="仿宋" w:hAnsi="仿宋" w:eastAsia="仿宋" w:cs="仿宋"/>
                <w:bCs/>
                <w:sz w:val="24"/>
                <w:szCs w:val="24"/>
              </w:rPr>
            </w:pPr>
            <w:r>
              <w:rPr>
                <w:rFonts w:hint="eastAsia" w:ascii="仿宋" w:hAnsi="仿宋" w:eastAsia="仿宋" w:cs="仿宋"/>
                <w:sz w:val="24"/>
                <w:szCs w:val="24"/>
              </w:rPr>
              <w:t>1260</w:t>
            </w:r>
          </w:p>
        </w:tc>
        <w:tc>
          <w:tcPr>
            <w:tcW w:w="1682"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560" w:firstLineChars="200"/>
              <w:jc w:val="center"/>
              <w:textAlignment w:val="center"/>
              <w:rPr>
                <w:rFonts w:ascii="仿宋" w:hAnsi="仿宋" w:eastAsia="仿宋" w:cs="仿宋"/>
                <w:bCs/>
                <w:sz w:val="28"/>
                <w:szCs w:val="28"/>
              </w:rPr>
            </w:pPr>
          </w:p>
        </w:tc>
        <w:tc>
          <w:tcPr>
            <w:tcW w:w="2028"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80" w:firstLineChars="200"/>
              <w:jc w:val="center"/>
              <w:textAlignment w:val="center"/>
              <w:rPr>
                <w:rFonts w:ascii="仿宋" w:hAnsi="仿宋" w:eastAsia="仿宋" w:cs="仿宋"/>
                <w:bCs/>
                <w:sz w:val="24"/>
                <w:szCs w:val="24"/>
              </w:rPr>
            </w:pPr>
            <w:r>
              <w:rPr>
                <w:rFonts w:hint="eastAsia" w:ascii="仿宋" w:hAnsi="仿宋" w:eastAsia="仿宋" w:cs="仿宋"/>
                <w:sz w:val="24"/>
                <w:szCs w:val="24"/>
              </w:rPr>
              <w:t>1260</w:t>
            </w:r>
          </w:p>
        </w:tc>
      </w:tr>
      <w:tr>
        <w:tblPrEx>
          <w:tblCellMar>
            <w:top w:w="0" w:type="dxa"/>
            <w:left w:w="0" w:type="dxa"/>
            <w:bottom w:w="0" w:type="dxa"/>
            <w:right w:w="0" w:type="dxa"/>
          </w:tblCellMar>
        </w:tblPrEx>
        <w:trPr>
          <w:trHeight w:val="437" w:hRule="atLeast"/>
          <w:jc w:val="center"/>
        </w:trPr>
        <w:tc>
          <w:tcPr>
            <w:tcW w:w="2859" w:type="dxa"/>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jc w:val="center"/>
              <w:textAlignment w:val="center"/>
              <w:rPr>
                <w:rFonts w:ascii="仿宋" w:hAnsi="仿宋" w:eastAsia="仿宋" w:cs="仿宋"/>
                <w:bCs/>
                <w:sz w:val="28"/>
                <w:szCs w:val="28"/>
              </w:rPr>
            </w:pPr>
            <w:r>
              <w:rPr>
                <w:rFonts w:hint="eastAsia" w:ascii="仿宋" w:hAnsi="仿宋" w:eastAsia="仿宋" w:cs="仿宋"/>
                <w:bCs/>
                <w:sz w:val="28"/>
                <w:szCs w:val="28"/>
              </w:rPr>
              <w:t>对个人和家庭的补助</w:t>
            </w:r>
          </w:p>
        </w:tc>
        <w:tc>
          <w:tcPr>
            <w:tcW w:w="1748"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80" w:firstLineChars="200"/>
              <w:jc w:val="center"/>
              <w:textAlignment w:val="center"/>
              <w:rPr>
                <w:rFonts w:ascii="仿宋" w:hAnsi="仿宋" w:eastAsia="仿宋" w:cs="仿宋"/>
                <w:bCs/>
                <w:sz w:val="24"/>
                <w:szCs w:val="24"/>
              </w:rPr>
            </w:pPr>
            <w:r>
              <w:rPr>
                <w:rFonts w:hint="eastAsia" w:ascii="仿宋" w:hAnsi="仿宋" w:eastAsia="仿宋" w:cs="仿宋"/>
                <w:sz w:val="24"/>
                <w:szCs w:val="24"/>
              </w:rPr>
              <w:t>1460.81</w:t>
            </w:r>
          </w:p>
        </w:tc>
        <w:tc>
          <w:tcPr>
            <w:tcW w:w="1682"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560" w:firstLineChars="200"/>
              <w:jc w:val="center"/>
              <w:textAlignment w:val="center"/>
              <w:rPr>
                <w:rFonts w:ascii="仿宋" w:hAnsi="仿宋" w:eastAsia="仿宋" w:cs="仿宋"/>
                <w:bCs/>
                <w:sz w:val="28"/>
                <w:szCs w:val="28"/>
              </w:rPr>
            </w:pPr>
          </w:p>
        </w:tc>
        <w:tc>
          <w:tcPr>
            <w:tcW w:w="2028"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80" w:firstLineChars="200"/>
              <w:jc w:val="center"/>
              <w:textAlignment w:val="center"/>
              <w:rPr>
                <w:rFonts w:ascii="仿宋" w:hAnsi="仿宋" w:eastAsia="仿宋" w:cs="仿宋"/>
                <w:bCs/>
                <w:sz w:val="24"/>
                <w:szCs w:val="24"/>
              </w:rPr>
            </w:pPr>
            <w:r>
              <w:rPr>
                <w:rFonts w:hint="eastAsia" w:ascii="仿宋" w:hAnsi="仿宋" w:eastAsia="仿宋" w:cs="仿宋"/>
                <w:sz w:val="24"/>
                <w:szCs w:val="24"/>
              </w:rPr>
              <w:t>1460.81</w:t>
            </w:r>
          </w:p>
        </w:tc>
      </w:tr>
      <w:tr>
        <w:tblPrEx>
          <w:tblCellMar>
            <w:top w:w="0" w:type="dxa"/>
            <w:left w:w="0" w:type="dxa"/>
            <w:bottom w:w="0" w:type="dxa"/>
            <w:right w:w="0" w:type="dxa"/>
          </w:tblCellMar>
        </w:tblPrEx>
        <w:trPr>
          <w:trHeight w:val="467" w:hRule="atLeast"/>
          <w:jc w:val="center"/>
        </w:trPr>
        <w:tc>
          <w:tcPr>
            <w:tcW w:w="2859" w:type="dxa"/>
            <w:tcBorders>
              <w:top w:val="nil"/>
              <w:left w:val="single" w:color="auto" w:sz="8" w:space="0"/>
              <w:bottom w:val="single" w:color="auto" w:sz="8" w:space="0"/>
              <w:right w:val="single" w:color="auto" w:sz="8" w:space="0"/>
            </w:tcBorders>
            <w:shd w:val="clear" w:color="auto" w:fill="D9D9D9"/>
            <w:tcMar>
              <w:left w:w="108" w:type="dxa"/>
              <w:right w:w="108" w:type="dxa"/>
            </w:tcMar>
            <w:vAlign w:val="center"/>
          </w:tcPr>
          <w:p>
            <w:pPr>
              <w:spacing w:line="560" w:lineRule="exact"/>
              <w:ind w:firstLine="560" w:firstLineChars="200"/>
              <w:jc w:val="center"/>
              <w:textAlignment w:val="center"/>
              <w:rPr>
                <w:rFonts w:ascii="仿宋" w:hAnsi="仿宋" w:eastAsia="仿宋" w:cs="仿宋"/>
                <w:bCs/>
                <w:sz w:val="28"/>
                <w:szCs w:val="28"/>
              </w:rPr>
            </w:pPr>
            <w:r>
              <w:rPr>
                <w:rFonts w:hint="eastAsia" w:ascii="仿宋" w:hAnsi="仿宋" w:eastAsia="仿宋" w:cs="仿宋"/>
                <w:bCs/>
                <w:sz w:val="28"/>
                <w:szCs w:val="28"/>
              </w:rPr>
              <w:t>合 计</w:t>
            </w:r>
          </w:p>
        </w:tc>
        <w:tc>
          <w:tcPr>
            <w:tcW w:w="1748" w:type="dxa"/>
            <w:tcBorders>
              <w:top w:val="nil"/>
              <w:left w:val="nil"/>
              <w:bottom w:val="single" w:color="auto" w:sz="8" w:space="0"/>
              <w:right w:val="single" w:color="auto" w:sz="8" w:space="0"/>
            </w:tcBorders>
            <w:shd w:val="clear" w:color="auto" w:fill="D9D9D9"/>
            <w:tcMar>
              <w:left w:w="108" w:type="dxa"/>
              <w:right w:w="108" w:type="dxa"/>
            </w:tcMar>
            <w:vAlign w:val="center"/>
          </w:tcPr>
          <w:p>
            <w:pPr>
              <w:spacing w:line="560" w:lineRule="exact"/>
              <w:ind w:firstLine="480" w:firstLineChars="200"/>
              <w:jc w:val="center"/>
              <w:textAlignment w:val="center"/>
              <w:rPr>
                <w:rFonts w:ascii="仿宋" w:hAnsi="仿宋" w:eastAsia="仿宋" w:cs="仿宋"/>
                <w:bCs/>
                <w:sz w:val="24"/>
                <w:szCs w:val="24"/>
              </w:rPr>
            </w:pPr>
            <w:r>
              <w:rPr>
                <w:rFonts w:hint="eastAsia" w:ascii="仿宋" w:hAnsi="仿宋" w:eastAsia="仿宋" w:cs="仿宋"/>
                <w:bCs/>
                <w:sz w:val="24"/>
                <w:szCs w:val="24"/>
              </w:rPr>
              <w:t>3720</w:t>
            </w:r>
          </w:p>
        </w:tc>
        <w:tc>
          <w:tcPr>
            <w:tcW w:w="1682" w:type="dxa"/>
            <w:tcBorders>
              <w:top w:val="nil"/>
              <w:left w:val="nil"/>
              <w:bottom w:val="single" w:color="auto" w:sz="8" w:space="0"/>
              <w:right w:val="single" w:color="auto" w:sz="8" w:space="0"/>
            </w:tcBorders>
            <w:shd w:val="clear" w:color="auto" w:fill="D9D9D9"/>
            <w:tcMar>
              <w:left w:w="108" w:type="dxa"/>
              <w:right w:w="108" w:type="dxa"/>
            </w:tcMar>
            <w:vAlign w:val="center"/>
          </w:tcPr>
          <w:p>
            <w:pPr>
              <w:spacing w:line="560" w:lineRule="exact"/>
              <w:ind w:firstLine="480" w:firstLineChars="200"/>
              <w:jc w:val="center"/>
              <w:textAlignment w:val="center"/>
              <w:rPr>
                <w:rFonts w:ascii="仿宋" w:hAnsi="仿宋" w:eastAsia="仿宋" w:cs="仿宋"/>
                <w:bCs/>
                <w:sz w:val="24"/>
                <w:szCs w:val="24"/>
              </w:rPr>
            </w:pPr>
          </w:p>
        </w:tc>
        <w:tc>
          <w:tcPr>
            <w:tcW w:w="2028" w:type="dxa"/>
            <w:tcBorders>
              <w:top w:val="nil"/>
              <w:left w:val="nil"/>
              <w:bottom w:val="single" w:color="auto" w:sz="8" w:space="0"/>
              <w:right w:val="single" w:color="auto" w:sz="8" w:space="0"/>
            </w:tcBorders>
            <w:shd w:val="clear" w:color="auto" w:fill="D9D9D9"/>
            <w:tcMar>
              <w:left w:w="108" w:type="dxa"/>
              <w:right w:w="108" w:type="dxa"/>
            </w:tcMar>
            <w:vAlign w:val="center"/>
          </w:tcPr>
          <w:p>
            <w:pPr>
              <w:spacing w:line="560" w:lineRule="exact"/>
              <w:ind w:firstLine="480" w:firstLineChars="200"/>
              <w:jc w:val="center"/>
              <w:textAlignment w:val="center"/>
              <w:rPr>
                <w:rFonts w:ascii="仿宋" w:hAnsi="仿宋" w:eastAsia="仿宋" w:cs="仿宋"/>
                <w:bCs/>
                <w:sz w:val="24"/>
                <w:szCs w:val="24"/>
              </w:rPr>
            </w:pPr>
            <w:r>
              <w:rPr>
                <w:rFonts w:hint="eastAsia" w:ascii="仿宋" w:hAnsi="仿宋" w:eastAsia="仿宋" w:cs="仿宋"/>
                <w:bCs/>
                <w:sz w:val="24"/>
                <w:szCs w:val="24"/>
              </w:rPr>
              <w:t>3720</w:t>
            </w:r>
          </w:p>
        </w:tc>
      </w:tr>
    </w:tbl>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（二）年度收支决算情况</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1.年度收入决算</w:t>
      </w:r>
    </w:p>
    <w:tbl>
      <w:tblPr>
        <w:tblStyle w:val="9"/>
        <w:tblW w:w="0" w:type="auto"/>
        <w:jc w:val="center"/>
        <w:tblLayout w:type="fixed"/>
        <w:tblCellMar>
          <w:top w:w="0" w:type="dxa"/>
          <w:left w:w="0" w:type="dxa"/>
          <w:bottom w:w="0" w:type="dxa"/>
          <w:right w:w="0" w:type="dxa"/>
        </w:tblCellMar>
      </w:tblPr>
      <w:tblGrid>
        <w:gridCol w:w="2063"/>
        <w:gridCol w:w="1693"/>
        <w:gridCol w:w="1820"/>
        <w:gridCol w:w="2264"/>
      </w:tblGrid>
      <w:tr>
        <w:tblPrEx>
          <w:tblCellMar>
            <w:top w:w="0" w:type="dxa"/>
            <w:left w:w="0" w:type="dxa"/>
            <w:bottom w:w="0" w:type="dxa"/>
            <w:right w:w="0" w:type="dxa"/>
          </w:tblCellMar>
        </w:tblPrEx>
        <w:trPr>
          <w:trHeight w:val="564" w:hRule="atLeast"/>
          <w:jc w:val="center"/>
        </w:trPr>
        <w:tc>
          <w:tcPr>
            <w:tcW w:w="2063" w:type="dxa"/>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spacing w:line="560" w:lineRule="exact"/>
              <w:ind w:firstLine="560" w:firstLineChars="200"/>
              <w:textAlignment w:val="center"/>
              <w:rPr>
                <w:rFonts w:ascii="仿宋" w:hAnsi="仿宋" w:eastAsia="仿宋" w:cs="仿宋"/>
                <w:bCs/>
                <w:sz w:val="28"/>
                <w:szCs w:val="28"/>
              </w:rPr>
            </w:pPr>
            <w:r>
              <w:rPr>
                <w:rFonts w:hint="eastAsia" w:ascii="仿宋" w:hAnsi="仿宋" w:eastAsia="仿宋" w:cs="仿宋"/>
                <w:bCs/>
                <w:sz w:val="28"/>
                <w:szCs w:val="28"/>
              </w:rPr>
              <w:t>收入来源</w:t>
            </w:r>
          </w:p>
        </w:tc>
        <w:tc>
          <w:tcPr>
            <w:tcW w:w="1693"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spacing w:line="560" w:lineRule="exact"/>
              <w:jc w:val="center"/>
              <w:textAlignment w:val="center"/>
              <w:rPr>
                <w:rFonts w:ascii="仿宋" w:hAnsi="仿宋" w:eastAsia="仿宋" w:cs="仿宋"/>
                <w:bCs/>
                <w:sz w:val="28"/>
                <w:szCs w:val="28"/>
              </w:rPr>
            </w:pPr>
            <w:r>
              <w:rPr>
                <w:rFonts w:hint="eastAsia" w:ascii="仿宋" w:hAnsi="仿宋" w:eastAsia="仿宋" w:cs="仿宋"/>
                <w:bCs/>
                <w:sz w:val="28"/>
                <w:szCs w:val="28"/>
              </w:rPr>
              <w:t>预算金额</w:t>
            </w:r>
          </w:p>
        </w:tc>
        <w:tc>
          <w:tcPr>
            <w:tcW w:w="1820"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spacing w:line="560" w:lineRule="exact"/>
              <w:jc w:val="center"/>
              <w:textAlignment w:val="center"/>
              <w:rPr>
                <w:rFonts w:ascii="仿宋" w:hAnsi="仿宋" w:eastAsia="仿宋" w:cs="仿宋"/>
                <w:bCs/>
                <w:sz w:val="28"/>
                <w:szCs w:val="28"/>
              </w:rPr>
            </w:pPr>
            <w:r>
              <w:rPr>
                <w:rFonts w:hint="eastAsia" w:ascii="仿宋" w:hAnsi="仿宋" w:eastAsia="仿宋" w:cs="仿宋"/>
                <w:bCs/>
                <w:sz w:val="28"/>
                <w:szCs w:val="28"/>
              </w:rPr>
              <w:t>决算金额</w:t>
            </w:r>
          </w:p>
        </w:tc>
        <w:tc>
          <w:tcPr>
            <w:tcW w:w="2264"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spacing w:line="560" w:lineRule="exact"/>
              <w:ind w:firstLine="560" w:firstLineChars="200"/>
              <w:jc w:val="center"/>
              <w:textAlignment w:val="center"/>
              <w:rPr>
                <w:rFonts w:ascii="仿宋" w:hAnsi="仿宋" w:eastAsia="仿宋" w:cs="仿宋"/>
                <w:bCs/>
                <w:sz w:val="28"/>
                <w:szCs w:val="28"/>
              </w:rPr>
            </w:pPr>
            <w:r>
              <w:rPr>
                <w:rFonts w:hint="eastAsia" w:ascii="仿宋" w:hAnsi="仿宋" w:eastAsia="仿宋" w:cs="仿宋"/>
                <w:bCs/>
                <w:sz w:val="28"/>
                <w:szCs w:val="28"/>
              </w:rPr>
              <w:t>差额</w:t>
            </w:r>
          </w:p>
        </w:tc>
      </w:tr>
      <w:tr>
        <w:tblPrEx>
          <w:tblCellMar>
            <w:top w:w="0" w:type="dxa"/>
            <w:left w:w="0" w:type="dxa"/>
            <w:bottom w:w="0" w:type="dxa"/>
            <w:right w:w="0" w:type="dxa"/>
          </w:tblCellMar>
        </w:tblPrEx>
        <w:trPr>
          <w:trHeight w:val="599" w:hRule="atLeast"/>
          <w:jc w:val="center"/>
        </w:trPr>
        <w:tc>
          <w:tcPr>
            <w:tcW w:w="2063" w:type="dxa"/>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jc w:val="center"/>
              <w:textAlignment w:val="center"/>
              <w:rPr>
                <w:rFonts w:ascii="仿宋" w:hAnsi="仿宋" w:eastAsia="仿宋" w:cs="仿宋"/>
                <w:bCs/>
                <w:sz w:val="28"/>
                <w:szCs w:val="28"/>
              </w:rPr>
            </w:pPr>
            <w:r>
              <w:rPr>
                <w:rFonts w:hint="eastAsia" w:ascii="仿宋" w:hAnsi="仿宋" w:eastAsia="仿宋" w:cs="仿宋"/>
                <w:bCs/>
                <w:sz w:val="28"/>
                <w:szCs w:val="28"/>
              </w:rPr>
              <w:t>财政拨款收入</w:t>
            </w:r>
          </w:p>
        </w:tc>
        <w:tc>
          <w:tcPr>
            <w:tcW w:w="1693"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80" w:firstLineChars="200"/>
              <w:textAlignment w:val="center"/>
              <w:rPr>
                <w:rFonts w:ascii="仿宋" w:hAnsi="仿宋" w:eastAsia="仿宋" w:cs="仿宋"/>
                <w:bCs/>
                <w:sz w:val="24"/>
                <w:szCs w:val="24"/>
              </w:rPr>
            </w:pPr>
            <w:r>
              <w:rPr>
                <w:rFonts w:hint="eastAsia" w:ascii="仿宋" w:hAnsi="仿宋" w:eastAsia="仿宋" w:cs="仿宋"/>
                <w:sz w:val="24"/>
                <w:szCs w:val="24"/>
              </w:rPr>
              <w:t>3720</w:t>
            </w:r>
          </w:p>
        </w:tc>
        <w:tc>
          <w:tcPr>
            <w:tcW w:w="1820"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80" w:firstLineChars="200"/>
              <w:textAlignment w:val="center"/>
              <w:rPr>
                <w:rFonts w:ascii="仿宋" w:hAnsi="仿宋" w:eastAsia="仿宋" w:cs="仿宋"/>
                <w:bCs/>
                <w:sz w:val="24"/>
                <w:szCs w:val="24"/>
              </w:rPr>
            </w:pPr>
            <w:r>
              <w:rPr>
                <w:rFonts w:hint="eastAsia" w:ascii="仿宋" w:hAnsi="仿宋" w:eastAsia="仿宋" w:cs="仿宋"/>
                <w:bCs/>
                <w:sz w:val="24"/>
                <w:szCs w:val="24"/>
              </w:rPr>
              <w:t>3887.67</w:t>
            </w:r>
          </w:p>
        </w:tc>
        <w:tc>
          <w:tcPr>
            <w:tcW w:w="2264"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80" w:firstLineChars="200"/>
              <w:textAlignment w:val="center"/>
              <w:rPr>
                <w:rFonts w:ascii="仿宋" w:hAnsi="仿宋" w:eastAsia="仿宋" w:cs="仿宋"/>
                <w:bCs/>
                <w:sz w:val="24"/>
                <w:szCs w:val="24"/>
              </w:rPr>
            </w:pPr>
            <w:r>
              <w:rPr>
                <w:rFonts w:hint="eastAsia" w:ascii="仿宋" w:hAnsi="仿宋" w:eastAsia="仿宋" w:cs="仿宋"/>
                <w:bCs/>
                <w:sz w:val="24"/>
                <w:szCs w:val="24"/>
              </w:rPr>
              <w:t>167.67</w:t>
            </w:r>
          </w:p>
        </w:tc>
      </w:tr>
      <w:tr>
        <w:tblPrEx>
          <w:tblCellMar>
            <w:top w:w="0" w:type="dxa"/>
            <w:left w:w="0" w:type="dxa"/>
            <w:bottom w:w="0" w:type="dxa"/>
            <w:right w:w="0" w:type="dxa"/>
          </w:tblCellMar>
        </w:tblPrEx>
        <w:trPr>
          <w:trHeight w:val="599" w:hRule="atLeast"/>
          <w:jc w:val="center"/>
        </w:trPr>
        <w:tc>
          <w:tcPr>
            <w:tcW w:w="2063" w:type="dxa"/>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ind w:firstLine="560" w:firstLineChars="200"/>
              <w:jc w:val="center"/>
              <w:textAlignment w:val="center"/>
              <w:rPr>
                <w:rFonts w:ascii="仿宋" w:hAnsi="仿宋" w:eastAsia="仿宋" w:cs="仿宋"/>
                <w:bCs/>
                <w:sz w:val="28"/>
                <w:szCs w:val="28"/>
              </w:rPr>
            </w:pPr>
          </w:p>
        </w:tc>
        <w:tc>
          <w:tcPr>
            <w:tcW w:w="1693"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560" w:firstLineChars="200"/>
              <w:jc w:val="center"/>
              <w:textAlignment w:val="center"/>
              <w:rPr>
                <w:rFonts w:ascii="仿宋" w:hAnsi="仿宋" w:eastAsia="仿宋" w:cs="仿宋"/>
                <w:bCs/>
                <w:sz w:val="28"/>
                <w:szCs w:val="28"/>
              </w:rPr>
            </w:pPr>
          </w:p>
        </w:tc>
        <w:tc>
          <w:tcPr>
            <w:tcW w:w="1820"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560" w:firstLineChars="200"/>
              <w:jc w:val="center"/>
              <w:textAlignment w:val="center"/>
              <w:rPr>
                <w:rFonts w:ascii="仿宋" w:hAnsi="仿宋" w:eastAsia="仿宋" w:cs="仿宋"/>
                <w:bCs/>
                <w:sz w:val="28"/>
                <w:szCs w:val="28"/>
              </w:rPr>
            </w:pPr>
          </w:p>
        </w:tc>
        <w:tc>
          <w:tcPr>
            <w:tcW w:w="2264"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560" w:firstLineChars="200"/>
              <w:jc w:val="center"/>
              <w:textAlignment w:val="center"/>
              <w:rPr>
                <w:rFonts w:ascii="仿宋" w:hAnsi="仿宋" w:eastAsia="仿宋" w:cs="仿宋"/>
                <w:bCs/>
                <w:sz w:val="28"/>
                <w:szCs w:val="28"/>
              </w:rPr>
            </w:pPr>
          </w:p>
        </w:tc>
      </w:tr>
    </w:tbl>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上级拨款超出预算，导致年度决算金额比预算金额多。</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2.年度预算支出决算及结余</w:t>
      </w:r>
    </w:p>
    <w:tbl>
      <w:tblPr>
        <w:tblStyle w:val="9"/>
        <w:tblW w:w="7953" w:type="dxa"/>
        <w:tblInd w:w="185" w:type="dxa"/>
        <w:tblLayout w:type="fixed"/>
        <w:tblCellMar>
          <w:top w:w="0" w:type="dxa"/>
          <w:left w:w="0" w:type="dxa"/>
          <w:bottom w:w="0" w:type="dxa"/>
          <w:right w:w="0" w:type="dxa"/>
        </w:tblCellMar>
      </w:tblPr>
      <w:tblGrid>
        <w:gridCol w:w="1739"/>
        <w:gridCol w:w="2268"/>
        <w:gridCol w:w="1984"/>
        <w:gridCol w:w="1962"/>
      </w:tblGrid>
      <w:tr>
        <w:tblPrEx>
          <w:tblCellMar>
            <w:top w:w="0" w:type="dxa"/>
            <w:left w:w="0" w:type="dxa"/>
            <w:bottom w:w="0" w:type="dxa"/>
            <w:right w:w="0" w:type="dxa"/>
          </w:tblCellMar>
        </w:tblPrEx>
        <w:trPr>
          <w:trHeight w:val="517" w:hRule="atLeast"/>
        </w:trPr>
        <w:tc>
          <w:tcPr>
            <w:tcW w:w="1739" w:type="dxa"/>
            <w:tcBorders>
              <w:top w:val="single" w:color="000000" w:sz="8" w:space="0"/>
              <w:left w:val="single" w:color="000000" w:sz="8" w:space="0"/>
              <w:bottom w:val="single" w:color="000000" w:sz="8" w:space="0"/>
              <w:right w:val="single" w:color="000000" w:sz="8" w:space="0"/>
            </w:tcBorders>
            <w:shd w:val="clear" w:color="auto" w:fill="C0C0C0"/>
            <w:tcMar>
              <w:top w:w="15" w:type="dxa"/>
              <w:left w:w="15" w:type="dxa"/>
              <w:bottom w:w="15" w:type="dxa"/>
              <w:right w:w="15" w:type="dxa"/>
            </w:tcMar>
            <w:vAlign w:val="center"/>
          </w:tcPr>
          <w:p>
            <w:pPr>
              <w:spacing w:line="560" w:lineRule="exact"/>
              <w:textAlignment w:val="center"/>
              <w:rPr>
                <w:rFonts w:ascii="仿宋" w:hAnsi="仿宋" w:eastAsia="仿宋" w:cs="仿宋"/>
                <w:bCs/>
                <w:sz w:val="28"/>
                <w:szCs w:val="28"/>
              </w:rPr>
            </w:pPr>
            <w:r>
              <w:rPr>
                <w:rFonts w:hint="eastAsia" w:ascii="仿宋" w:hAnsi="仿宋" w:eastAsia="仿宋" w:cs="仿宋"/>
                <w:bCs/>
                <w:sz w:val="28"/>
                <w:szCs w:val="28"/>
              </w:rPr>
              <w:t>预算支出类别</w:t>
            </w:r>
          </w:p>
        </w:tc>
        <w:tc>
          <w:tcPr>
            <w:tcW w:w="2268" w:type="dxa"/>
            <w:tcBorders>
              <w:top w:val="single" w:color="000000" w:sz="8" w:space="0"/>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spacing w:line="560" w:lineRule="exact"/>
              <w:ind w:firstLine="560" w:firstLineChars="200"/>
              <w:textAlignment w:val="center"/>
              <w:rPr>
                <w:rFonts w:ascii="仿宋" w:hAnsi="仿宋" w:eastAsia="仿宋" w:cs="仿宋"/>
                <w:bCs/>
                <w:sz w:val="28"/>
                <w:szCs w:val="28"/>
              </w:rPr>
            </w:pPr>
            <w:r>
              <w:rPr>
                <w:rFonts w:hint="eastAsia" w:ascii="仿宋" w:hAnsi="仿宋" w:eastAsia="仿宋" w:cs="仿宋"/>
                <w:bCs/>
                <w:sz w:val="28"/>
                <w:szCs w:val="28"/>
              </w:rPr>
              <w:t>预算金额</w:t>
            </w:r>
          </w:p>
        </w:tc>
        <w:tc>
          <w:tcPr>
            <w:tcW w:w="1984" w:type="dxa"/>
            <w:tcBorders>
              <w:top w:val="single" w:color="000000" w:sz="8" w:space="0"/>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spacing w:line="560" w:lineRule="exact"/>
              <w:ind w:firstLine="560" w:firstLineChars="200"/>
              <w:textAlignment w:val="center"/>
              <w:rPr>
                <w:rFonts w:ascii="仿宋" w:hAnsi="仿宋" w:eastAsia="仿宋" w:cs="仿宋"/>
                <w:bCs/>
                <w:sz w:val="28"/>
                <w:szCs w:val="28"/>
              </w:rPr>
            </w:pPr>
            <w:r>
              <w:rPr>
                <w:rFonts w:hint="eastAsia" w:ascii="仿宋" w:hAnsi="仿宋" w:eastAsia="仿宋" w:cs="仿宋"/>
                <w:bCs/>
                <w:sz w:val="28"/>
                <w:szCs w:val="28"/>
              </w:rPr>
              <w:t>决算金额</w:t>
            </w:r>
          </w:p>
        </w:tc>
        <w:tc>
          <w:tcPr>
            <w:tcW w:w="1962" w:type="dxa"/>
            <w:tcBorders>
              <w:top w:val="single" w:color="000000" w:sz="8" w:space="0"/>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spacing w:line="560" w:lineRule="exact"/>
              <w:ind w:firstLine="560" w:firstLineChars="200"/>
              <w:textAlignment w:val="center"/>
              <w:rPr>
                <w:rFonts w:ascii="仿宋" w:hAnsi="仿宋" w:eastAsia="仿宋" w:cs="仿宋"/>
                <w:bCs/>
                <w:sz w:val="28"/>
                <w:szCs w:val="28"/>
              </w:rPr>
            </w:pPr>
            <w:r>
              <w:rPr>
                <w:rFonts w:hint="eastAsia" w:ascii="仿宋" w:hAnsi="仿宋" w:eastAsia="仿宋" w:cs="仿宋"/>
                <w:bCs/>
                <w:sz w:val="28"/>
                <w:szCs w:val="28"/>
              </w:rPr>
              <w:t>增减金额</w:t>
            </w:r>
          </w:p>
        </w:tc>
      </w:tr>
      <w:tr>
        <w:tblPrEx>
          <w:tblCellMar>
            <w:top w:w="0" w:type="dxa"/>
            <w:left w:w="0" w:type="dxa"/>
            <w:bottom w:w="0" w:type="dxa"/>
            <w:right w:w="0" w:type="dxa"/>
          </w:tblCellMar>
        </w:tblPrEx>
        <w:trPr>
          <w:trHeight w:val="523" w:hRule="atLeast"/>
        </w:trPr>
        <w:tc>
          <w:tcPr>
            <w:tcW w:w="1739"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spacing w:line="560" w:lineRule="exact"/>
              <w:ind w:left="433" w:leftChars="133" w:hanging="140" w:hangingChars="50"/>
              <w:textAlignment w:val="center"/>
              <w:rPr>
                <w:rFonts w:ascii="仿宋" w:hAnsi="仿宋" w:eastAsia="仿宋" w:cs="仿宋"/>
                <w:bCs/>
                <w:sz w:val="28"/>
                <w:szCs w:val="28"/>
              </w:rPr>
            </w:pPr>
            <w:r>
              <w:rPr>
                <w:rFonts w:hint="eastAsia" w:ascii="仿宋" w:hAnsi="仿宋" w:eastAsia="仿宋" w:cs="仿宋"/>
                <w:bCs/>
                <w:sz w:val="28"/>
                <w:szCs w:val="28"/>
              </w:rPr>
              <w:t>基本支出</w:t>
            </w:r>
          </w:p>
        </w:tc>
        <w:tc>
          <w:tcPr>
            <w:tcW w:w="2268"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720" w:firstLineChars="300"/>
              <w:textAlignment w:val="center"/>
              <w:rPr>
                <w:rFonts w:ascii="仿宋" w:hAnsi="仿宋" w:eastAsia="仿宋" w:cs="仿宋"/>
                <w:bCs/>
                <w:sz w:val="24"/>
                <w:szCs w:val="24"/>
              </w:rPr>
            </w:pPr>
            <w:r>
              <w:rPr>
                <w:rFonts w:hint="eastAsia" w:ascii="仿宋" w:hAnsi="仿宋" w:eastAsia="仿宋" w:cs="仿宋"/>
                <w:sz w:val="24"/>
                <w:szCs w:val="24"/>
              </w:rPr>
              <w:t>3720</w:t>
            </w:r>
          </w:p>
        </w:tc>
        <w:tc>
          <w:tcPr>
            <w:tcW w:w="1984"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720" w:firstLineChars="300"/>
              <w:textAlignment w:val="center"/>
              <w:rPr>
                <w:rFonts w:ascii="仿宋" w:hAnsi="仿宋" w:eastAsia="仿宋" w:cs="仿宋"/>
                <w:bCs/>
                <w:sz w:val="24"/>
                <w:szCs w:val="24"/>
              </w:rPr>
            </w:pPr>
            <w:r>
              <w:rPr>
                <w:rFonts w:hint="eastAsia" w:ascii="仿宋" w:hAnsi="仿宋" w:eastAsia="仿宋" w:cs="仿宋"/>
                <w:bCs/>
                <w:sz w:val="24"/>
                <w:szCs w:val="24"/>
              </w:rPr>
              <w:t>3887.67</w:t>
            </w:r>
          </w:p>
        </w:tc>
        <w:tc>
          <w:tcPr>
            <w:tcW w:w="1962"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720" w:firstLineChars="300"/>
              <w:textAlignment w:val="center"/>
              <w:rPr>
                <w:rFonts w:ascii="仿宋" w:hAnsi="仿宋" w:eastAsia="仿宋" w:cs="仿宋"/>
                <w:bCs/>
                <w:sz w:val="24"/>
                <w:szCs w:val="24"/>
              </w:rPr>
            </w:pPr>
            <w:r>
              <w:rPr>
                <w:rFonts w:hint="eastAsia" w:ascii="仿宋" w:hAnsi="仿宋" w:eastAsia="仿宋" w:cs="仿宋"/>
                <w:bCs/>
                <w:sz w:val="24"/>
                <w:szCs w:val="24"/>
              </w:rPr>
              <w:t>167.67</w:t>
            </w:r>
          </w:p>
        </w:tc>
      </w:tr>
      <w:tr>
        <w:tblPrEx>
          <w:tblCellMar>
            <w:top w:w="0" w:type="dxa"/>
            <w:left w:w="0" w:type="dxa"/>
            <w:bottom w:w="0" w:type="dxa"/>
            <w:right w:w="0" w:type="dxa"/>
          </w:tblCellMar>
        </w:tblPrEx>
        <w:trPr>
          <w:trHeight w:val="523" w:hRule="atLeast"/>
        </w:trPr>
        <w:tc>
          <w:tcPr>
            <w:tcW w:w="1739"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spacing w:line="560" w:lineRule="exact"/>
              <w:ind w:left="433" w:leftChars="133" w:hanging="140" w:hangingChars="50"/>
              <w:textAlignment w:val="center"/>
              <w:rPr>
                <w:rFonts w:ascii="仿宋" w:hAnsi="仿宋" w:eastAsia="仿宋" w:cs="仿宋"/>
                <w:bCs/>
                <w:sz w:val="28"/>
                <w:szCs w:val="28"/>
              </w:rPr>
            </w:pPr>
            <w:r>
              <w:rPr>
                <w:rFonts w:hint="eastAsia" w:ascii="仿宋" w:hAnsi="仿宋" w:eastAsia="仿宋" w:cs="仿宋"/>
                <w:bCs/>
                <w:sz w:val="28"/>
                <w:szCs w:val="28"/>
              </w:rPr>
              <w:t>项目支出</w:t>
            </w:r>
          </w:p>
        </w:tc>
        <w:tc>
          <w:tcPr>
            <w:tcW w:w="2268"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560" w:firstLineChars="200"/>
              <w:jc w:val="center"/>
              <w:textAlignment w:val="center"/>
              <w:rPr>
                <w:rFonts w:ascii="仿宋" w:hAnsi="仿宋" w:eastAsia="仿宋" w:cs="仿宋"/>
                <w:bCs/>
                <w:sz w:val="28"/>
                <w:szCs w:val="28"/>
              </w:rPr>
            </w:pPr>
          </w:p>
        </w:tc>
        <w:tc>
          <w:tcPr>
            <w:tcW w:w="1984"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560" w:firstLineChars="200"/>
              <w:jc w:val="center"/>
              <w:textAlignment w:val="center"/>
              <w:rPr>
                <w:rFonts w:ascii="仿宋" w:hAnsi="仿宋" w:eastAsia="仿宋" w:cs="仿宋"/>
                <w:bCs/>
                <w:sz w:val="28"/>
                <w:szCs w:val="28"/>
              </w:rPr>
            </w:pPr>
          </w:p>
        </w:tc>
        <w:tc>
          <w:tcPr>
            <w:tcW w:w="1962"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560" w:firstLineChars="200"/>
              <w:jc w:val="center"/>
              <w:textAlignment w:val="center"/>
              <w:rPr>
                <w:rFonts w:ascii="仿宋" w:hAnsi="仿宋" w:eastAsia="仿宋" w:cs="仿宋"/>
                <w:bCs/>
                <w:sz w:val="28"/>
                <w:szCs w:val="28"/>
              </w:rPr>
            </w:pPr>
          </w:p>
        </w:tc>
      </w:tr>
      <w:tr>
        <w:tblPrEx>
          <w:tblCellMar>
            <w:top w:w="0" w:type="dxa"/>
            <w:left w:w="0" w:type="dxa"/>
            <w:bottom w:w="0" w:type="dxa"/>
            <w:right w:w="0" w:type="dxa"/>
          </w:tblCellMar>
        </w:tblPrEx>
        <w:trPr>
          <w:trHeight w:val="523" w:hRule="atLeast"/>
        </w:trPr>
        <w:tc>
          <w:tcPr>
            <w:tcW w:w="1739"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spacing w:line="560" w:lineRule="exact"/>
              <w:ind w:firstLine="560" w:firstLineChars="200"/>
              <w:jc w:val="center"/>
              <w:textAlignment w:val="center"/>
              <w:rPr>
                <w:rFonts w:ascii="仿宋" w:hAnsi="仿宋" w:eastAsia="仿宋" w:cs="仿宋"/>
                <w:bCs/>
                <w:sz w:val="28"/>
                <w:szCs w:val="28"/>
              </w:rPr>
            </w:pPr>
          </w:p>
        </w:tc>
        <w:tc>
          <w:tcPr>
            <w:tcW w:w="2268"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560" w:firstLineChars="200"/>
              <w:jc w:val="center"/>
              <w:textAlignment w:val="center"/>
              <w:rPr>
                <w:rFonts w:ascii="仿宋" w:hAnsi="仿宋" w:eastAsia="仿宋" w:cs="仿宋"/>
                <w:bCs/>
                <w:sz w:val="28"/>
                <w:szCs w:val="28"/>
              </w:rPr>
            </w:pPr>
          </w:p>
        </w:tc>
        <w:tc>
          <w:tcPr>
            <w:tcW w:w="1984"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560" w:firstLineChars="200"/>
              <w:jc w:val="center"/>
              <w:textAlignment w:val="center"/>
              <w:rPr>
                <w:rFonts w:ascii="仿宋" w:hAnsi="仿宋" w:eastAsia="仿宋" w:cs="仿宋"/>
                <w:bCs/>
                <w:sz w:val="28"/>
                <w:szCs w:val="28"/>
              </w:rPr>
            </w:pPr>
          </w:p>
        </w:tc>
        <w:tc>
          <w:tcPr>
            <w:tcW w:w="1962"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560" w:firstLineChars="200"/>
              <w:jc w:val="center"/>
              <w:textAlignment w:val="center"/>
              <w:rPr>
                <w:rFonts w:ascii="仿宋" w:hAnsi="仿宋" w:eastAsia="仿宋" w:cs="仿宋"/>
                <w:bCs/>
                <w:sz w:val="28"/>
                <w:szCs w:val="28"/>
              </w:rPr>
            </w:pPr>
          </w:p>
        </w:tc>
      </w:tr>
      <w:tr>
        <w:tblPrEx>
          <w:tblCellMar>
            <w:top w:w="0" w:type="dxa"/>
            <w:left w:w="0" w:type="dxa"/>
            <w:bottom w:w="0" w:type="dxa"/>
            <w:right w:w="0" w:type="dxa"/>
          </w:tblCellMar>
        </w:tblPrEx>
        <w:trPr>
          <w:trHeight w:val="400" w:hRule="atLeast"/>
        </w:trPr>
        <w:tc>
          <w:tcPr>
            <w:tcW w:w="1739" w:type="dxa"/>
            <w:tcBorders>
              <w:top w:val="nil"/>
              <w:left w:val="single" w:color="000000" w:sz="8" w:space="0"/>
              <w:bottom w:val="single" w:color="000000" w:sz="8" w:space="0"/>
              <w:right w:val="single" w:color="000000" w:sz="8" w:space="0"/>
            </w:tcBorders>
            <w:shd w:val="clear" w:color="auto" w:fill="C0C0C0"/>
            <w:tcMar>
              <w:top w:w="15" w:type="dxa"/>
              <w:left w:w="15" w:type="dxa"/>
              <w:bottom w:w="15" w:type="dxa"/>
              <w:right w:w="15" w:type="dxa"/>
            </w:tcMar>
            <w:vAlign w:val="center"/>
          </w:tcPr>
          <w:p>
            <w:pPr>
              <w:spacing w:line="560" w:lineRule="exact"/>
              <w:ind w:firstLine="560" w:firstLineChars="200"/>
              <w:jc w:val="center"/>
              <w:textAlignment w:val="center"/>
              <w:rPr>
                <w:rFonts w:ascii="仿宋" w:hAnsi="仿宋" w:eastAsia="仿宋" w:cs="仿宋"/>
                <w:bCs/>
                <w:sz w:val="28"/>
                <w:szCs w:val="28"/>
              </w:rPr>
            </w:pPr>
            <w:r>
              <w:rPr>
                <w:rFonts w:hint="eastAsia" w:ascii="仿宋" w:hAnsi="仿宋" w:eastAsia="仿宋" w:cs="仿宋"/>
                <w:bCs/>
                <w:sz w:val="28"/>
                <w:szCs w:val="28"/>
              </w:rPr>
              <w:t>小计</w:t>
            </w:r>
          </w:p>
        </w:tc>
        <w:tc>
          <w:tcPr>
            <w:tcW w:w="2268" w:type="dxa"/>
            <w:tcBorders>
              <w:top w:val="nil"/>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spacing w:line="560" w:lineRule="exact"/>
              <w:ind w:firstLine="560" w:firstLineChars="200"/>
              <w:jc w:val="center"/>
              <w:textAlignment w:val="center"/>
              <w:rPr>
                <w:rFonts w:ascii="仿宋" w:hAnsi="仿宋" w:eastAsia="仿宋" w:cs="仿宋"/>
                <w:bCs/>
                <w:sz w:val="28"/>
                <w:szCs w:val="28"/>
              </w:rPr>
            </w:pPr>
          </w:p>
        </w:tc>
        <w:tc>
          <w:tcPr>
            <w:tcW w:w="1984" w:type="dxa"/>
            <w:tcBorders>
              <w:top w:val="nil"/>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spacing w:line="560" w:lineRule="exact"/>
              <w:ind w:firstLine="560" w:firstLineChars="200"/>
              <w:jc w:val="center"/>
              <w:textAlignment w:val="center"/>
              <w:rPr>
                <w:rFonts w:ascii="仿宋" w:hAnsi="仿宋" w:eastAsia="仿宋" w:cs="仿宋"/>
                <w:bCs/>
                <w:sz w:val="28"/>
                <w:szCs w:val="28"/>
              </w:rPr>
            </w:pPr>
          </w:p>
        </w:tc>
        <w:tc>
          <w:tcPr>
            <w:tcW w:w="1962" w:type="dxa"/>
            <w:tcBorders>
              <w:top w:val="nil"/>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spacing w:line="560" w:lineRule="exact"/>
              <w:ind w:firstLine="560" w:firstLineChars="200"/>
              <w:jc w:val="center"/>
              <w:textAlignment w:val="center"/>
              <w:rPr>
                <w:rFonts w:ascii="仿宋" w:hAnsi="仿宋" w:eastAsia="仿宋" w:cs="仿宋"/>
                <w:bCs/>
                <w:sz w:val="28"/>
                <w:szCs w:val="28"/>
              </w:rPr>
            </w:pPr>
          </w:p>
        </w:tc>
      </w:tr>
    </w:tbl>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由于工资福利支出和商品服务支出超过了预算，导致年度决算金额比预算金额多。</w:t>
      </w:r>
    </w:p>
    <w:p>
      <w:pPr>
        <w:spacing w:line="560" w:lineRule="exact"/>
        <w:ind w:firstLine="560" w:firstLineChars="200"/>
        <w:outlineLvl w:val="0"/>
        <w:rPr>
          <w:rFonts w:ascii="仿宋" w:hAnsi="仿宋" w:eastAsia="仿宋" w:cs="仿宋"/>
          <w:sz w:val="28"/>
          <w:szCs w:val="28"/>
        </w:rPr>
      </w:pPr>
      <w:r>
        <w:rPr>
          <w:rFonts w:hint="eastAsia" w:ascii="仿宋" w:hAnsi="仿宋" w:eastAsia="仿宋" w:cs="仿宋"/>
          <w:sz w:val="28"/>
          <w:szCs w:val="28"/>
        </w:rPr>
        <w:t>三、部门整体支出管理及使用情况</w:t>
      </w:r>
    </w:p>
    <w:p>
      <w:pPr>
        <w:pStyle w:val="3"/>
        <w:widowControl/>
        <w:spacing w:before="0" w:beforeAutospacing="0" w:after="0" w:afterAutospacing="0" w:line="560" w:lineRule="exact"/>
        <w:ind w:firstLine="560" w:firstLineChars="200"/>
        <w:jc w:val="both"/>
        <w:rPr>
          <w:rFonts w:hint="default" w:ascii="仿宋" w:hAnsi="仿宋" w:eastAsia="仿宋" w:cs="仿宋"/>
          <w:b w:val="0"/>
          <w:kern w:val="2"/>
          <w:sz w:val="28"/>
          <w:szCs w:val="28"/>
        </w:rPr>
      </w:pPr>
      <w:r>
        <w:rPr>
          <w:rFonts w:ascii="仿宋" w:hAnsi="仿宋" w:eastAsia="仿宋" w:cs="仿宋"/>
          <w:b w:val="0"/>
          <w:kern w:val="2"/>
          <w:sz w:val="28"/>
          <w:szCs w:val="28"/>
        </w:rPr>
        <w:t>（一）基本支出管理</w:t>
      </w:r>
    </w:p>
    <w:p>
      <w:pPr>
        <w:pStyle w:val="4"/>
        <w:widowControl/>
        <w:spacing w:before="0" w:beforeAutospacing="0" w:after="0" w:afterAutospacing="0" w:line="560" w:lineRule="exact"/>
        <w:ind w:firstLine="560" w:firstLineChars="200"/>
        <w:rPr>
          <w:rFonts w:hint="default" w:ascii="仿宋" w:hAnsi="仿宋" w:eastAsia="仿宋" w:cs="仿宋"/>
          <w:b w:val="0"/>
          <w:kern w:val="2"/>
          <w:sz w:val="28"/>
          <w:szCs w:val="28"/>
        </w:rPr>
      </w:pPr>
      <w:r>
        <w:rPr>
          <w:rFonts w:ascii="仿宋" w:hAnsi="仿宋" w:eastAsia="仿宋" w:cs="仿宋"/>
          <w:b w:val="0"/>
          <w:kern w:val="2"/>
          <w:sz w:val="28"/>
          <w:szCs w:val="28"/>
        </w:rPr>
        <w:t>1、基本支出总额使用和管理</w:t>
      </w:r>
    </w:p>
    <w:tbl>
      <w:tblPr>
        <w:tblStyle w:val="9"/>
        <w:tblW w:w="0" w:type="auto"/>
        <w:jc w:val="center"/>
        <w:tblLayout w:type="fixed"/>
        <w:tblCellMar>
          <w:top w:w="0" w:type="dxa"/>
          <w:left w:w="0" w:type="dxa"/>
          <w:bottom w:w="0" w:type="dxa"/>
          <w:right w:w="0" w:type="dxa"/>
        </w:tblCellMar>
      </w:tblPr>
      <w:tblGrid>
        <w:gridCol w:w="2392"/>
        <w:gridCol w:w="1666"/>
        <w:gridCol w:w="1604"/>
        <w:gridCol w:w="2438"/>
      </w:tblGrid>
      <w:tr>
        <w:tblPrEx>
          <w:tblCellMar>
            <w:top w:w="0" w:type="dxa"/>
            <w:left w:w="0" w:type="dxa"/>
            <w:bottom w:w="0" w:type="dxa"/>
            <w:right w:w="0" w:type="dxa"/>
          </w:tblCellMar>
        </w:tblPrEx>
        <w:trPr>
          <w:trHeight w:val="401" w:hRule="atLeast"/>
          <w:jc w:val="center"/>
        </w:trPr>
        <w:tc>
          <w:tcPr>
            <w:tcW w:w="2392" w:type="dxa"/>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spacing w:line="560" w:lineRule="exact"/>
              <w:jc w:val="center"/>
              <w:textAlignment w:val="center"/>
              <w:rPr>
                <w:rFonts w:ascii="仿宋" w:hAnsi="仿宋" w:eastAsia="仿宋" w:cs="仿宋"/>
                <w:bCs/>
                <w:sz w:val="28"/>
                <w:szCs w:val="28"/>
              </w:rPr>
            </w:pPr>
            <w:r>
              <w:rPr>
                <w:rFonts w:hint="eastAsia" w:ascii="仿宋" w:hAnsi="仿宋" w:eastAsia="仿宋" w:cs="仿宋"/>
                <w:bCs/>
                <w:sz w:val="28"/>
                <w:szCs w:val="28"/>
              </w:rPr>
              <w:t>预决算支出项目</w:t>
            </w:r>
          </w:p>
        </w:tc>
        <w:tc>
          <w:tcPr>
            <w:tcW w:w="1666"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spacing w:line="560" w:lineRule="exact"/>
              <w:jc w:val="center"/>
              <w:textAlignment w:val="center"/>
              <w:rPr>
                <w:rFonts w:ascii="仿宋" w:hAnsi="仿宋" w:eastAsia="仿宋" w:cs="仿宋"/>
                <w:bCs/>
                <w:sz w:val="28"/>
                <w:szCs w:val="28"/>
              </w:rPr>
            </w:pPr>
            <w:r>
              <w:rPr>
                <w:rFonts w:hint="eastAsia" w:ascii="仿宋" w:hAnsi="仿宋" w:eastAsia="仿宋" w:cs="仿宋"/>
                <w:bCs/>
                <w:sz w:val="28"/>
                <w:szCs w:val="28"/>
              </w:rPr>
              <w:t>预算金额</w:t>
            </w:r>
          </w:p>
        </w:tc>
        <w:tc>
          <w:tcPr>
            <w:tcW w:w="1604"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spacing w:line="560" w:lineRule="exact"/>
              <w:jc w:val="center"/>
              <w:textAlignment w:val="center"/>
              <w:rPr>
                <w:rFonts w:ascii="仿宋" w:hAnsi="仿宋" w:eastAsia="仿宋" w:cs="仿宋"/>
                <w:bCs/>
                <w:sz w:val="28"/>
                <w:szCs w:val="28"/>
              </w:rPr>
            </w:pPr>
            <w:r>
              <w:rPr>
                <w:rFonts w:hint="eastAsia" w:ascii="仿宋" w:hAnsi="仿宋" w:eastAsia="仿宋" w:cs="仿宋"/>
                <w:bCs/>
                <w:sz w:val="28"/>
                <w:szCs w:val="28"/>
              </w:rPr>
              <w:t>决算金额</w:t>
            </w:r>
          </w:p>
        </w:tc>
        <w:tc>
          <w:tcPr>
            <w:tcW w:w="2438"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spacing w:line="560" w:lineRule="exact"/>
              <w:ind w:left="433" w:leftChars="133" w:hanging="140" w:hangingChars="50"/>
              <w:jc w:val="center"/>
              <w:textAlignment w:val="center"/>
              <w:rPr>
                <w:rFonts w:ascii="仿宋" w:hAnsi="仿宋" w:eastAsia="仿宋" w:cs="仿宋"/>
                <w:bCs/>
                <w:sz w:val="28"/>
                <w:szCs w:val="28"/>
              </w:rPr>
            </w:pPr>
            <w:r>
              <w:rPr>
                <w:rFonts w:hint="eastAsia" w:ascii="仿宋" w:hAnsi="仿宋" w:eastAsia="仿宋" w:cs="仿宋"/>
                <w:bCs/>
                <w:sz w:val="28"/>
                <w:szCs w:val="28"/>
              </w:rPr>
              <w:t>节约/超支金额</w:t>
            </w:r>
          </w:p>
        </w:tc>
      </w:tr>
      <w:tr>
        <w:tblPrEx>
          <w:tblCellMar>
            <w:top w:w="0" w:type="dxa"/>
            <w:left w:w="0" w:type="dxa"/>
            <w:bottom w:w="0" w:type="dxa"/>
            <w:right w:w="0" w:type="dxa"/>
          </w:tblCellMar>
        </w:tblPrEx>
        <w:trPr>
          <w:trHeight w:val="401" w:hRule="atLeast"/>
          <w:jc w:val="center"/>
        </w:trPr>
        <w:tc>
          <w:tcPr>
            <w:tcW w:w="2392" w:type="dxa"/>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jc w:val="center"/>
              <w:textAlignment w:val="center"/>
              <w:rPr>
                <w:rFonts w:ascii="仿宋" w:hAnsi="仿宋" w:eastAsia="仿宋" w:cs="仿宋"/>
                <w:bCs/>
                <w:sz w:val="28"/>
                <w:szCs w:val="28"/>
              </w:rPr>
            </w:pPr>
            <w:r>
              <w:rPr>
                <w:rFonts w:hint="eastAsia" w:ascii="仿宋" w:hAnsi="仿宋" w:eastAsia="仿宋" w:cs="仿宋"/>
                <w:bCs/>
                <w:sz w:val="28"/>
                <w:szCs w:val="28"/>
              </w:rPr>
              <w:t>工资福利支出</w:t>
            </w:r>
          </w:p>
        </w:tc>
        <w:tc>
          <w:tcPr>
            <w:tcW w:w="1666" w:type="dxa"/>
            <w:tcBorders>
              <w:top w:val="nil"/>
              <w:left w:val="nil"/>
              <w:bottom w:val="single" w:color="auto" w:sz="8" w:space="0"/>
              <w:right w:val="single" w:color="auto" w:sz="8" w:space="0"/>
            </w:tcBorders>
            <w:tcMar>
              <w:left w:w="108" w:type="dxa"/>
              <w:right w:w="108" w:type="dxa"/>
            </w:tcMar>
            <w:vAlign w:val="center"/>
          </w:tcPr>
          <w:p>
            <w:pPr>
              <w:spacing w:line="560" w:lineRule="exact"/>
              <w:jc w:val="center"/>
              <w:textAlignment w:val="center"/>
              <w:rPr>
                <w:rFonts w:ascii="仿宋" w:hAnsi="仿宋" w:eastAsia="仿宋" w:cs="仿宋"/>
                <w:bCs/>
                <w:sz w:val="24"/>
                <w:szCs w:val="24"/>
              </w:rPr>
            </w:pPr>
            <w:r>
              <w:rPr>
                <w:rFonts w:hint="eastAsia" w:ascii="仿宋" w:hAnsi="仿宋" w:eastAsia="仿宋" w:cs="仿宋"/>
                <w:sz w:val="24"/>
                <w:szCs w:val="24"/>
              </w:rPr>
              <w:t>999.19</w:t>
            </w:r>
          </w:p>
        </w:tc>
        <w:tc>
          <w:tcPr>
            <w:tcW w:w="1604" w:type="dxa"/>
            <w:tcBorders>
              <w:top w:val="nil"/>
              <w:left w:val="nil"/>
              <w:bottom w:val="single" w:color="auto" w:sz="8" w:space="0"/>
              <w:right w:val="single" w:color="auto" w:sz="8" w:space="0"/>
            </w:tcBorders>
            <w:tcMar>
              <w:left w:w="108" w:type="dxa"/>
              <w:right w:w="108" w:type="dxa"/>
            </w:tcMar>
            <w:vAlign w:val="center"/>
          </w:tcPr>
          <w:p>
            <w:pPr>
              <w:spacing w:line="560" w:lineRule="exact"/>
              <w:jc w:val="center"/>
              <w:textAlignment w:val="center"/>
              <w:rPr>
                <w:rFonts w:ascii="仿宋" w:hAnsi="仿宋" w:eastAsia="仿宋" w:cs="仿宋"/>
                <w:bCs/>
                <w:sz w:val="24"/>
                <w:szCs w:val="24"/>
              </w:rPr>
            </w:pPr>
            <w:r>
              <w:rPr>
                <w:rFonts w:hint="eastAsia" w:ascii="仿宋" w:hAnsi="仿宋" w:eastAsia="仿宋" w:cs="仿宋"/>
                <w:bCs/>
                <w:sz w:val="24"/>
                <w:szCs w:val="24"/>
              </w:rPr>
              <w:t>1177.07</w:t>
            </w:r>
          </w:p>
        </w:tc>
        <w:tc>
          <w:tcPr>
            <w:tcW w:w="2438"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80" w:firstLineChars="200"/>
              <w:jc w:val="center"/>
              <w:textAlignment w:val="center"/>
              <w:rPr>
                <w:rFonts w:ascii="仿宋" w:hAnsi="仿宋" w:eastAsia="仿宋" w:cs="仿宋"/>
                <w:bCs/>
                <w:sz w:val="24"/>
                <w:szCs w:val="24"/>
              </w:rPr>
            </w:pPr>
            <w:r>
              <w:rPr>
                <w:rFonts w:hint="eastAsia" w:ascii="仿宋" w:hAnsi="仿宋" w:eastAsia="仿宋" w:cs="仿宋"/>
                <w:bCs/>
                <w:sz w:val="24"/>
                <w:szCs w:val="24"/>
              </w:rPr>
              <w:t>177.88</w:t>
            </w:r>
          </w:p>
        </w:tc>
      </w:tr>
      <w:tr>
        <w:tblPrEx>
          <w:tblCellMar>
            <w:top w:w="0" w:type="dxa"/>
            <w:left w:w="0" w:type="dxa"/>
            <w:bottom w:w="0" w:type="dxa"/>
            <w:right w:w="0" w:type="dxa"/>
          </w:tblCellMar>
        </w:tblPrEx>
        <w:trPr>
          <w:trHeight w:val="401" w:hRule="atLeast"/>
          <w:jc w:val="center"/>
        </w:trPr>
        <w:tc>
          <w:tcPr>
            <w:tcW w:w="2392" w:type="dxa"/>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jc w:val="center"/>
              <w:textAlignment w:val="center"/>
              <w:rPr>
                <w:rFonts w:ascii="仿宋" w:hAnsi="仿宋" w:eastAsia="仿宋" w:cs="仿宋"/>
                <w:bCs/>
                <w:sz w:val="28"/>
                <w:szCs w:val="28"/>
              </w:rPr>
            </w:pPr>
            <w:r>
              <w:rPr>
                <w:rFonts w:hint="eastAsia" w:ascii="仿宋" w:hAnsi="仿宋" w:eastAsia="仿宋" w:cs="仿宋"/>
                <w:bCs/>
                <w:sz w:val="28"/>
                <w:szCs w:val="28"/>
              </w:rPr>
              <w:t>商品和服务支出</w:t>
            </w:r>
          </w:p>
        </w:tc>
        <w:tc>
          <w:tcPr>
            <w:tcW w:w="1666"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80" w:firstLineChars="200"/>
              <w:textAlignment w:val="center"/>
              <w:rPr>
                <w:rFonts w:ascii="仿宋" w:hAnsi="仿宋" w:eastAsia="仿宋" w:cs="仿宋"/>
                <w:bCs/>
                <w:sz w:val="24"/>
                <w:szCs w:val="24"/>
              </w:rPr>
            </w:pPr>
            <w:r>
              <w:rPr>
                <w:rFonts w:hint="eastAsia" w:ascii="仿宋" w:hAnsi="仿宋" w:eastAsia="仿宋" w:cs="仿宋"/>
                <w:sz w:val="24"/>
                <w:szCs w:val="24"/>
              </w:rPr>
              <w:t>1260</w:t>
            </w:r>
          </w:p>
        </w:tc>
        <w:tc>
          <w:tcPr>
            <w:tcW w:w="1604" w:type="dxa"/>
            <w:tcBorders>
              <w:top w:val="nil"/>
              <w:left w:val="nil"/>
              <w:bottom w:val="single" w:color="auto" w:sz="8" w:space="0"/>
              <w:right w:val="single" w:color="auto" w:sz="8" w:space="0"/>
            </w:tcBorders>
            <w:tcMar>
              <w:left w:w="108" w:type="dxa"/>
              <w:right w:w="108" w:type="dxa"/>
            </w:tcMar>
            <w:vAlign w:val="center"/>
          </w:tcPr>
          <w:p>
            <w:pPr>
              <w:spacing w:line="560" w:lineRule="exact"/>
              <w:jc w:val="center"/>
              <w:textAlignment w:val="center"/>
              <w:rPr>
                <w:rFonts w:ascii="仿宋" w:hAnsi="仿宋" w:eastAsia="仿宋" w:cs="仿宋"/>
                <w:bCs/>
                <w:sz w:val="24"/>
                <w:szCs w:val="24"/>
              </w:rPr>
            </w:pPr>
            <w:r>
              <w:rPr>
                <w:rFonts w:hint="eastAsia" w:ascii="仿宋" w:hAnsi="仿宋" w:eastAsia="仿宋" w:cs="仿宋"/>
                <w:bCs/>
                <w:sz w:val="24"/>
                <w:szCs w:val="24"/>
              </w:rPr>
              <w:t>1526.29</w:t>
            </w:r>
          </w:p>
        </w:tc>
        <w:tc>
          <w:tcPr>
            <w:tcW w:w="2438"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80" w:firstLineChars="200"/>
              <w:jc w:val="center"/>
              <w:textAlignment w:val="center"/>
              <w:rPr>
                <w:rFonts w:ascii="仿宋" w:hAnsi="仿宋" w:eastAsia="仿宋" w:cs="仿宋"/>
                <w:bCs/>
                <w:sz w:val="24"/>
                <w:szCs w:val="24"/>
              </w:rPr>
            </w:pPr>
            <w:r>
              <w:rPr>
                <w:rFonts w:hint="eastAsia" w:ascii="仿宋" w:hAnsi="仿宋" w:eastAsia="仿宋" w:cs="仿宋"/>
                <w:bCs/>
                <w:sz w:val="24"/>
                <w:szCs w:val="24"/>
              </w:rPr>
              <w:t>266.29</w:t>
            </w:r>
          </w:p>
        </w:tc>
      </w:tr>
      <w:tr>
        <w:tblPrEx>
          <w:tblCellMar>
            <w:top w:w="0" w:type="dxa"/>
            <w:left w:w="0" w:type="dxa"/>
            <w:bottom w:w="0" w:type="dxa"/>
            <w:right w:w="0" w:type="dxa"/>
          </w:tblCellMar>
        </w:tblPrEx>
        <w:trPr>
          <w:trHeight w:val="401" w:hRule="atLeast"/>
          <w:jc w:val="center"/>
        </w:trPr>
        <w:tc>
          <w:tcPr>
            <w:tcW w:w="2392" w:type="dxa"/>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jc w:val="center"/>
              <w:textAlignment w:val="center"/>
              <w:rPr>
                <w:rFonts w:ascii="仿宋" w:hAnsi="仿宋" w:eastAsia="仿宋" w:cs="仿宋"/>
                <w:bCs/>
                <w:sz w:val="28"/>
                <w:szCs w:val="28"/>
              </w:rPr>
            </w:pPr>
            <w:r>
              <w:rPr>
                <w:rFonts w:hint="eastAsia" w:ascii="仿宋" w:hAnsi="仿宋" w:eastAsia="仿宋" w:cs="仿宋"/>
                <w:bCs/>
                <w:sz w:val="24"/>
                <w:szCs w:val="24"/>
              </w:rPr>
              <w:t>对个人和家庭的补助</w:t>
            </w:r>
          </w:p>
        </w:tc>
        <w:tc>
          <w:tcPr>
            <w:tcW w:w="1666" w:type="dxa"/>
            <w:tcBorders>
              <w:top w:val="nil"/>
              <w:left w:val="nil"/>
              <w:bottom w:val="single" w:color="auto" w:sz="8" w:space="0"/>
              <w:right w:val="single" w:color="auto" w:sz="8" w:space="0"/>
            </w:tcBorders>
            <w:tcMar>
              <w:left w:w="108" w:type="dxa"/>
              <w:right w:w="108" w:type="dxa"/>
            </w:tcMar>
            <w:vAlign w:val="center"/>
          </w:tcPr>
          <w:p>
            <w:pPr>
              <w:spacing w:line="560" w:lineRule="exact"/>
              <w:jc w:val="center"/>
              <w:textAlignment w:val="center"/>
              <w:rPr>
                <w:rFonts w:ascii="仿宋" w:hAnsi="仿宋" w:eastAsia="仿宋" w:cs="仿宋"/>
                <w:bCs/>
                <w:sz w:val="24"/>
                <w:szCs w:val="24"/>
              </w:rPr>
            </w:pPr>
            <w:r>
              <w:rPr>
                <w:rFonts w:hint="eastAsia" w:ascii="仿宋" w:hAnsi="仿宋" w:eastAsia="仿宋" w:cs="仿宋"/>
                <w:sz w:val="24"/>
                <w:szCs w:val="24"/>
              </w:rPr>
              <w:t>1460.81</w:t>
            </w:r>
          </w:p>
        </w:tc>
        <w:tc>
          <w:tcPr>
            <w:tcW w:w="1604" w:type="dxa"/>
            <w:tcBorders>
              <w:top w:val="nil"/>
              <w:left w:val="nil"/>
              <w:bottom w:val="single" w:color="auto" w:sz="8" w:space="0"/>
              <w:right w:val="single" w:color="auto" w:sz="8" w:space="0"/>
            </w:tcBorders>
            <w:tcMar>
              <w:left w:w="108" w:type="dxa"/>
              <w:right w:w="108" w:type="dxa"/>
            </w:tcMar>
            <w:vAlign w:val="center"/>
          </w:tcPr>
          <w:p>
            <w:pPr>
              <w:spacing w:line="560" w:lineRule="exact"/>
              <w:jc w:val="center"/>
              <w:textAlignment w:val="center"/>
              <w:rPr>
                <w:rFonts w:ascii="仿宋" w:hAnsi="仿宋" w:eastAsia="仿宋" w:cs="仿宋"/>
                <w:bCs/>
                <w:sz w:val="24"/>
                <w:szCs w:val="24"/>
              </w:rPr>
            </w:pPr>
            <w:r>
              <w:rPr>
                <w:rFonts w:hint="eastAsia" w:ascii="仿宋" w:hAnsi="仿宋" w:eastAsia="仿宋" w:cs="仿宋"/>
                <w:bCs/>
                <w:sz w:val="24"/>
                <w:szCs w:val="24"/>
              </w:rPr>
              <w:t>708.32</w:t>
            </w:r>
          </w:p>
        </w:tc>
        <w:tc>
          <w:tcPr>
            <w:tcW w:w="2438"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80" w:firstLineChars="200"/>
              <w:jc w:val="center"/>
              <w:textAlignment w:val="center"/>
              <w:rPr>
                <w:rFonts w:ascii="仿宋" w:hAnsi="仿宋" w:eastAsia="仿宋" w:cs="仿宋"/>
                <w:bCs/>
                <w:sz w:val="24"/>
                <w:szCs w:val="24"/>
              </w:rPr>
            </w:pPr>
            <w:r>
              <w:rPr>
                <w:rFonts w:hint="eastAsia" w:ascii="仿宋" w:hAnsi="仿宋" w:eastAsia="仿宋" w:cs="仿宋"/>
                <w:bCs/>
                <w:sz w:val="24"/>
                <w:szCs w:val="24"/>
              </w:rPr>
              <w:t>-752.49</w:t>
            </w:r>
          </w:p>
        </w:tc>
      </w:tr>
      <w:tr>
        <w:tblPrEx>
          <w:tblCellMar>
            <w:top w:w="0" w:type="dxa"/>
            <w:left w:w="0" w:type="dxa"/>
            <w:bottom w:w="0" w:type="dxa"/>
            <w:right w:w="0" w:type="dxa"/>
          </w:tblCellMar>
        </w:tblPrEx>
        <w:trPr>
          <w:trHeight w:val="401" w:hRule="atLeast"/>
          <w:jc w:val="center"/>
        </w:trPr>
        <w:tc>
          <w:tcPr>
            <w:tcW w:w="2392" w:type="dxa"/>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ind w:firstLine="560" w:firstLineChars="200"/>
              <w:jc w:val="center"/>
              <w:textAlignment w:val="center"/>
              <w:rPr>
                <w:rFonts w:ascii="仿宋" w:hAnsi="仿宋" w:eastAsia="仿宋" w:cs="仿宋"/>
                <w:bCs/>
                <w:sz w:val="28"/>
                <w:szCs w:val="28"/>
              </w:rPr>
            </w:pPr>
            <w:r>
              <w:rPr>
                <w:rFonts w:hint="eastAsia" w:ascii="仿宋" w:hAnsi="仿宋" w:eastAsia="仿宋" w:cs="仿宋"/>
                <w:bCs/>
                <w:sz w:val="28"/>
                <w:szCs w:val="28"/>
              </w:rPr>
              <w:t>资本性支出</w:t>
            </w:r>
          </w:p>
        </w:tc>
        <w:tc>
          <w:tcPr>
            <w:tcW w:w="1666"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80" w:firstLineChars="200"/>
              <w:jc w:val="center"/>
              <w:textAlignment w:val="center"/>
              <w:rPr>
                <w:rFonts w:ascii="仿宋" w:hAnsi="仿宋" w:eastAsia="仿宋" w:cs="仿宋"/>
                <w:bCs/>
                <w:sz w:val="24"/>
                <w:szCs w:val="24"/>
              </w:rPr>
            </w:pPr>
          </w:p>
        </w:tc>
        <w:tc>
          <w:tcPr>
            <w:tcW w:w="1604" w:type="dxa"/>
            <w:tcBorders>
              <w:top w:val="nil"/>
              <w:left w:val="nil"/>
              <w:bottom w:val="single" w:color="auto" w:sz="8" w:space="0"/>
              <w:right w:val="single" w:color="auto" w:sz="8" w:space="0"/>
            </w:tcBorders>
            <w:tcMar>
              <w:left w:w="108" w:type="dxa"/>
              <w:right w:w="108" w:type="dxa"/>
            </w:tcMar>
            <w:vAlign w:val="center"/>
          </w:tcPr>
          <w:p>
            <w:pPr>
              <w:spacing w:line="560" w:lineRule="exact"/>
              <w:ind w:left="371" w:leftChars="114" w:hanging="120" w:hangingChars="50"/>
              <w:textAlignment w:val="center"/>
              <w:rPr>
                <w:rFonts w:ascii="仿宋" w:hAnsi="仿宋" w:eastAsia="仿宋" w:cs="仿宋"/>
                <w:bCs/>
                <w:sz w:val="24"/>
                <w:szCs w:val="24"/>
              </w:rPr>
            </w:pPr>
            <w:r>
              <w:rPr>
                <w:rFonts w:hint="eastAsia" w:ascii="仿宋" w:hAnsi="仿宋" w:eastAsia="仿宋" w:cs="仿宋"/>
                <w:bCs/>
                <w:sz w:val="24"/>
                <w:szCs w:val="24"/>
              </w:rPr>
              <w:t>475.98</w:t>
            </w:r>
          </w:p>
        </w:tc>
        <w:tc>
          <w:tcPr>
            <w:tcW w:w="2438"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80" w:firstLineChars="200"/>
              <w:jc w:val="center"/>
              <w:textAlignment w:val="center"/>
              <w:rPr>
                <w:rFonts w:ascii="仿宋" w:hAnsi="仿宋" w:eastAsia="仿宋" w:cs="仿宋"/>
                <w:bCs/>
                <w:sz w:val="24"/>
                <w:szCs w:val="24"/>
              </w:rPr>
            </w:pPr>
            <w:r>
              <w:rPr>
                <w:rFonts w:hint="eastAsia" w:ascii="仿宋" w:hAnsi="仿宋" w:eastAsia="仿宋" w:cs="仿宋"/>
                <w:bCs/>
                <w:sz w:val="24"/>
                <w:szCs w:val="24"/>
              </w:rPr>
              <w:t>-475.98</w:t>
            </w:r>
          </w:p>
        </w:tc>
      </w:tr>
      <w:tr>
        <w:tblPrEx>
          <w:tblCellMar>
            <w:top w:w="0" w:type="dxa"/>
            <w:left w:w="0" w:type="dxa"/>
            <w:bottom w:w="0" w:type="dxa"/>
            <w:right w:w="0" w:type="dxa"/>
          </w:tblCellMar>
        </w:tblPrEx>
        <w:trPr>
          <w:trHeight w:val="495" w:hRule="atLeast"/>
          <w:jc w:val="center"/>
        </w:trPr>
        <w:tc>
          <w:tcPr>
            <w:tcW w:w="2392" w:type="dxa"/>
            <w:tcBorders>
              <w:top w:val="nil"/>
              <w:left w:val="single" w:color="auto" w:sz="8" w:space="0"/>
              <w:bottom w:val="single" w:color="auto" w:sz="8" w:space="0"/>
              <w:right w:val="single" w:color="auto" w:sz="8" w:space="0"/>
            </w:tcBorders>
            <w:shd w:val="clear" w:color="auto" w:fill="D9D9D9"/>
            <w:tcMar>
              <w:left w:w="108" w:type="dxa"/>
              <w:right w:w="108" w:type="dxa"/>
            </w:tcMar>
            <w:vAlign w:val="center"/>
          </w:tcPr>
          <w:p>
            <w:pPr>
              <w:spacing w:line="560" w:lineRule="exact"/>
              <w:ind w:firstLine="560" w:firstLineChars="200"/>
              <w:jc w:val="center"/>
              <w:textAlignment w:val="center"/>
              <w:rPr>
                <w:rFonts w:ascii="仿宋" w:hAnsi="仿宋" w:eastAsia="仿宋" w:cs="仿宋"/>
                <w:bCs/>
                <w:sz w:val="28"/>
                <w:szCs w:val="28"/>
              </w:rPr>
            </w:pPr>
            <w:r>
              <w:rPr>
                <w:rFonts w:hint="eastAsia" w:ascii="仿宋" w:hAnsi="仿宋" w:eastAsia="仿宋" w:cs="仿宋"/>
                <w:bCs/>
                <w:sz w:val="28"/>
                <w:szCs w:val="28"/>
              </w:rPr>
              <w:t>合计</w:t>
            </w:r>
          </w:p>
        </w:tc>
        <w:tc>
          <w:tcPr>
            <w:tcW w:w="1666" w:type="dxa"/>
            <w:tcBorders>
              <w:top w:val="nil"/>
              <w:left w:val="nil"/>
              <w:bottom w:val="single" w:color="auto" w:sz="8" w:space="0"/>
              <w:right w:val="single" w:color="auto" w:sz="8" w:space="0"/>
            </w:tcBorders>
            <w:shd w:val="clear" w:color="auto" w:fill="D9D9D9"/>
            <w:tcMar>
              <w:left w:w="108" w:type="dxa"/>
              <w:right w:w="108" w:type="dxa"/>
            </w:tcMar>
            <w:vAlign w:val="center"/>
          </w:tcPr>
          <w:p>
            <w:pPr>
              <w:spacing w:line="560" w:lineRule="exact"/>
              <w:ind w:firstLine="480" w:firstLineChars="200"/>
              <w:jc w:val="center"/>
              <w:textAlignment w:val="center"/>
              <w:rPr>
                <w:rFonts w:ascii="仿宋" w:hAnsi="仿宋" w:eastAsia="仿宋" w:cs="仿宋"/>
                <w:bCs/>
                <w:sz w:val="24"/>
                <w:szCs w:val="24"/>
              </w:rPr>
            </w:pPr>
            <w:r>
              <w:rPr>
                <w:rFonts w:hint="eastAsia" w:ascii="仿宋" w:hAnsi="仿宋" w:eastAsia="仿宋" w:cs="仿宋"/>
                <w:bCs/>
                <w:sz w:val="24"/>
                <w:szCs w:val="24"/>
              </w:rPr>
              <w:t>3720</w:t>
            </w:r>
          </w:p>
        </w:tc>
        <w:tc>
          <w:tcPr>
            <w:tcW w:w="1604" w:type="dxa"/>
            <w:tcBorders>
              <w:top w:val="nil"/>
              <w:left w:val="nil"/>
              <w:bottom w:val="single" w:color="auto" w:sz="8" w:space="0"/>
              <w:right w:val="single" w:color="auto" w:sz="8" w:space="0"/>
            </w:tcBorders>
            <w:shd w:val="clear" w:color="auto" w:fill="D9D9D9"/>
            <w:tcMar>
              <w:left w:w="108" w:type="dxa"/>
              <w:right w:w="108" w:type="dxa"/>
            </w:tcMar>
            <w:vAlign w:val="center"/>
          </w:tcPr>
          <w:p>
            <w:pPr>
              <w:spacing w:line="560" w:lineRule="exact"/>
              <w:ind w:firstLine="480" w:firstLineChars="200"/>
              <w:jc w:val="center"/>
              <w:textAlignment w:val="center"/>
              <w:rPr>
                <w:rFonts w:ascii="仿宋" w:hAnsi="仿宋" w:eastAsia="仿宋" w:cs="仿宋"/>
                <w:bCs/>
                <w:sz w:val="24"/>
                <w:szCs w:val="24"/>
              </w:rPr>
            </w:pPr>
            <w:r>
              <w:rPr>
                <w:rFonts w:hint="eastAsia" w:ascii="仿宋" w:hAnsi="仿宋" w:eastAsia="仿宋" w:cs="仿宋"/>
                <w:bCs/>
                <w:sz w:val="24"/>
                <w:szCs w:val="24"/>
              </w:rPr>
              <w:t>3887.67</w:t>
            </w:r>
          </w:p>
        </w:tc>
        <w:tc>
          <w:tcPr>
            <w:tcW w:w="2438" w:type="dxa"/>
            <w:tcBorders>
              <w:top w:val="nil"/>
              <w:left w:val="nil"/>
              <w:bottom w:val="single" w:color="auto" w:sz="8" w:space="0"/>
              <w:right w:val="single" w:color="auto" w:sz="8" w:space="0"/>
            </w:tcBorders>
            <w:shd w:val="clear" w:color="auto" w:fill="D9D9D9"/>
            <w:tcMar>
              <w:left w:w="108" w:type="dxa"/>
              <w:right w:w="108" w:type="dxa"/>
            </w:tcMar>
            <w:vAlign w:val="center"/>
          </w:tcPr>
          <w:p>
            <w:pPr>
              <w:spacing w:line="560" w:lineRule="exact"/>
              <w:ind w:firstLine="480" w:firstLineChars="200"/>
              <w:jc w:val="center"/>
              <w:textAlignment w:val="center"/>
              <w:rPr>
                <w:rFonts w:ascii="仿宋" w:hAnsi="仿宋" w:eastAsia="仿宋" w:cs="仿宋"/>
                <w:bCs/>
                <w:sz w:val="24"/>
                <w:szCs w:val="24"/>
              </w:rPr>
            </w:pPr>
          </w:p>
        </w:tc>
      </w:tr>
    </w:tbl>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干部工资普调提标使工资福利支出增加，重点工程购买服务导致商品和服务支出增加，新增基础设施建设项目导致资本性支出增加。</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2、基本支出中各费用明细支出管理</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（1）工资福利支出</w:t>
      </w:r>
    </w:p>
    <w:tbl>
      <w:tblPr>
        <w:tblStyle w:val="9"/>
        <w:tblW w:w="0" w:type="auto"/>
        <w:jc w:val="center"/>
        <w:tblLayout w:type="fixed"/>
        <w:tblCellMar>
          <w:top w:w="0" w:type="dxa"/>
          <w:left w:w="0" w:type="dxa"/>
          <w:bottom w:w="0" w:type="dxa"/>
          <w:right w:w="0" w:type="dxa"/>
        </w:tblCellMar>
      </w:tblPr>
      <w:tblGrid>
        <w:gridCol w:w="2431"/>
        <w:gridCol w:w="1134"/>
        <w:gridCol w:w="1134"/>
        <w:gridCol w:w="1611"/>
        <w:gridCol w:w="1780"/>
      </w:tblGrid>
      <w:tr>
        <w:tblPrEx>
          <w:tblCellMar>
            <w:top w:w="0" w:type="dxa"/>
            <w:left w:w="0" w:type="dxa"/>
            <w:bottom w:w="0" w:type="dxa"/>
            <w:right w:w="0" w:type="dxa"/>
          </w:tblCellMar>
        </w:tblPrEx>
        <w:trPr>
          <w:trHeight w:val="888" w:hRule="atLeast"/>
          <w:jc w:val="center"/>
        </w:trPr>
        <w:tc>
          <w:tcPr>
            <w:tcW w:w="2431" w:type="dxa"/>
            <w:tcBorders>
              <w:top w:val="single" w:color="000000" w:sz="8" w:space="0"/>
              <w:left w:val="single" w:color="000000" w:sz="8" w:space="0"/>
              <w:bottom w:val="single" w:color="000000" w:sz="8" w:space="0"/>
              <w:right w:val="single" w:color="000000" w:sz="8" w:space="0"/>
            </w:tcBorders>
            <w:shd w:val="clear" w:color="auto" w:fill="D9D9D9"/>
            <w:tcMar>
              <w:top w:w="15" w:type="dxa"/>
              <w:left w:w="15" w:type="dxa"/>
              <w:bottom w:w="15" w:type="dxa"/>
              <w:right w:w="15" w:type="dxa"/>
            </w:tcMar>
            <w:vAlign w:val="center"/>
          </w:tcPr>
          <w:p>
            <w:pPr>
              <w:spacing w:line="560" w:lineRule="exact"/>
              <w:ind w:firstLine="480" w:firstLineChars="200"/>
              <w:rPr>
                <w:rFonts w:ascii="仿宋" w:hAnsi="仿宋" w:eastAsia="仿宋" w:cs="仿宋"/>
                <w:sz w:val="24"/>
                <w:szCs w:val="24"/>
              </w:rPr>
            </w:pPr>
            <w:r>
              <w:rPr>
                <w:rFonts w:hint="eastAsia" w:ascii="仿宋" w:hAnsi="仿宋" w:eastAsia="仿宋" w:cs="仿宋"/>
                <w:sz w:val="24"/>
                <w:szCs w:val="24"/>
              </w:rPr>
              <w:t>费用项目</w:t>
            </w:r>
          </w:p>
        </w:tc>
        <w:tc>
          <w:tcPr>
            <w:tcW w:w="1134" w:type="dxa"/>
            <w:tcBorders>
              <w:top w:val="single" w:color="000000" w:sz="8" w:space="0"/>
              <w:left w:val="nil"/>
              <w:bottom w:val="single" w:color="000000" w:sz="8" w:space="0"/>
              <w:right w:val="single" w:color="000000" w:sz="8" w:space="0"/>
            </w:tcBorders>
            <w:shd w:val="clear" w:color="auto" w:fill="D9D9D9"/>
            <w:tcMar>
              <w:top w:w="15" w:type="dxa"/>
              <w:left w:w="15" w:type="dxa"/>
              <w:bottom w:w="15" w:type="dxa"/>
              <w:right w:w="15" w:type="dxa"/>
            </w:tcMar>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预算金额</w:t>
            </w:r>
          </w:p>
        </w:tc>
        <w:tc>
          <w:tcPr>
            <w:tcW w:w="1134" w:type="dxa"/>
            <w:tcBorders>
              <w:top w:val="single" w:color="000000" w:sz="8" w:space="0"/>
              <w:left w:val="nil"/>
              <w:bottom w:val="single" w:color="000000" w:sz="8" w:space="0"/>
              <w:right w:val="single" w:color="000000" w:sz="8" w:space="0"/>
            </w:tcBorders>
            <w:shd w:val="clear" w:color="auto" w:fill="D9D9D9"/>
            <w:tcMar>
              <w:top w:w="15" w:type="dxa"/>
              <w:left w:w="15" w:type="dxa"/>
              <w:bottom w:w="15" w:type="dxa"/>
              <w:right w:w="15" w:type="dxa"/>
            </w:tcMar>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决算金额</w:t>
            </w:r>
          </w:p>
        </w:tc>
        <w:tc>
          <w:tcPr>
            <w:tcW w:w="1611" w:type="dxa"/>
            <w:tcBorders>
              <w:top w:val="single" w:color="000000" w:sz="8" w:space="0"/>
              <w:left w:val="nil"/>
              <w:bottom w:val="single" w:color="000000" w:sz="8" w:space="0"/>
              <w:right w:val="single" w:color="000000" w:sz="8" w:space="0"/>
            </w:tcBorders>
            <w:shd w:val="clear" w:color="auto" w:fill="D9D9D9"/>
            <w:tcMar>
              <w:top w:w="15" w:type="dxa"/>
              <w:left w:w="15" w:type="dxa"/>
              <w:bottom w:w="15" w:type="dxa"/>
              <w:right w:w="15" w:type="dxa"/>
            </w:tcMar>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节约/超支金额</w:t>
            </w:r>
          </w:p>
        </w:tc>
        <w:tc>
          <w:tcPr>
            <w:tcW w:w="1780" w:type="dxa"/>
            <w:tcBorders>
              <w:top w:val="single" w:color="000000" w:sz="8" w:space="0"/>
              <w:left w:val="nil"/>
              <w:bottom w:val="single" w:color="000000" w:sz="8" w:space="0"/>
              <w:right w:val="single" w:color="000000" w:sz="8" w:space="0"/>
            </w:tcBorders>
            <w:shd w:val="clear" w:color="auto" w:fill="D9D9D9"/>
            <w:tcMar>
              <w:top w:w="15" w:type="dxa"/>
              <w:left w:w="15" w:type="dxa"/>
              <w:bottom w:w="15" w:type="dxa"/>
              <w:right w:w="15" w:type="dxa"/>
            </w:tcMar>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节约/超支率</w:t>
            </w: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spacing w:line="560" w:lineRule="exact"/>
              <w:rPr>
                <w:rFonts w:ascii="仿宋" w:hAnsi="仿宋" w:eastAsia="仿宋" w:cs="仿宋"/>
                <w:sz w:val="24"/>
                <w:szCs w:val="24"/>
              </w:rPr>
            </w:pPr>
            <w:r>
              <w:rPr>
                <w:rFonts w:hint="eastAsia" w:ascii="仿宋" w:hAnsi="仿宋" w:eastAsia="仿宋" w:cs="仿宋"/>
                <w:sz w:val="24"/>
                <w:szCs w:val="24"/>
              </w:rPr>
              <w:t>基本工资</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jc w:val="center"/>
              <w:rPr>
                <w:rFonts w:ascii="仿宋" w:hAnsi="仿宋" w:eastAsia="仿宋" w:cs="仿宋"/>
              </w:rPr>
            </w:pPr>
            <w:r>
              <w:rPr>
                <w:rFonts w:hint="eastAsia" w:ascii="仿宋" w:hAnsi="仿宋" w:eastAsia="仿宋" w:cs="仿宋"/>
              </w:rPr>
              <w:t>364.17</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jc w:val="center"/>
              <w:rPr>
                <w:rFonts w:ascii="仿宋" w:hAnsi="仿宋" w:eastAsia="仿宋" w:cs="仿宋"/>
              </w:rPr>
            </w:pPr>
            <w:r>
              <w:rPr>
                <w:rFonts w:hint="eastAsia" w:ascii="仿宋" w:hAnsi="仿宋" w:eastAsia="仿宋" w:cs="仿宋"/>
              </w:rPr>
              <w:t>535.77</w:t>
            </w:r>
          </w:p>
        </w:tc>
        <w:tc>
          <w:tcPr>
            <w:tcW w:w="1611"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left="458" w:leftChars="208" w:firstLine="110" w:firstLineChars="50"/>
              <w:rPr>
                <w:rFonts w:ascii="仿宋" w:hAnsi="仿宋" w:eastAsia="仿宋" w:cs="仿宋"/>
              </w:rPr>
            </w:pPr>
            <w:r>
              <w:rPr>
                <w:rFonts w:hint="eastAsia" w:ascii="仿宋" w:hAnsi="仿宋" w:eastAsia="仿宋" w:cs="仿宋"/>
              </w:rPr>
              <w:t>171.6</w:t>
            </w:r>
          </w:p>
        </w:tc>
        <w:tc>
          <w:tcPr>
            <w:tcW w:w="1780"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40" w:firstLineChars="200"/>
              <w:jc w:val="center"/>
              <w:rPr>
                <w:rFonts w:ascii="仿宋" w:hAnsi="仿宋" w:eastAsia="仿宋" w:cs="仿宋"/>
              </w:rPr>
            </w:pPr>
            <w:r>
              <w:rPr>
                <w:rFonts w:hint="eastAsia" w:ascii="仿宋" w:hAnsi="仿宋" w:eastAsia="仿宋" w:cs="仿宋"/>
              </w:rPr>
              <w:t>47.12%</w:t>
            </w: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spacing w:line="560" w:lineRule="exact"/>
              <w:rPr>
                <w:rFonts w:ascii="仿宋" w:hAnsi="仿宋" w:eastAsia="仿宋" w:cs="仿宋"/>
                <w:sz w:val="24"/>
                <w:szCs w:val="24"/>
              </w:rPr>
            </w:pPr>
            <w:r>
              <w:rPr>
                <w:rFonts w:hint="eastAsia" w:ascii="仿宋" w:hAnsi="仿宋" w:eastAsia="仿宋" w:cs="仿宋"/>
                <w:sz w:val="24"/>
                <w:szCs w:val="24"/>
              </w:rPr>
              <w:t>津贴补贴</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297.58</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165.99</w:t>
            </w:r>
          </w:p>
        </w:tc>
        <w:tc>
          <w:tcPr>
            <w:tcW w:w="1611"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-131.59</w:t>
            </w:r>
          </w:p>
        </w:tc>
        <w:tc>
          <w:tcPr>
            <w:tcW w:w="1780"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-44.22%</w:t>
            </w: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spacing w:line="560" w:lineRule="exact"/>
              <w:rPr>
                <w:rFonts w:ascii="仿宋" w:hAnsi="仿宋" w:eastAsia="仿宋" w:cs="仿宋"/>
                <w:sz w:val="24"/>
                <w:szCs w:val="24"/>
              </w:rPr>
            </w:pPr>
            <w:r>
              <w:rPr>
                <w:rFonts w:hint="eastAsia" w:ascii="仿宋" w:hAnsi="仿宋" w:eastAsia="仿宋" w:cs="仿宋"/>
                <w:sz w:val="24"/>
                <w:szCs w:val="24"/>
              </w:rPr>
              <w:t>奖金</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30.35</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8.69</w:t>
            </w:r>
          </w:p>
        </w:tc>
        <w:tc>
          <w:tcPr>
            <w:tcW w:w="1611"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-21.66</w:t>
            </w:r>
          </w:p>
        </w:tc>
        <w:tc>
          <w:tcPr>
            <w:tcW w:w="1780"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-71.37%</w:t>
            </w: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spacing w:line="560" w:lineRule="exact"/>
              <w:rPr>
                <w:rFonts w:ascii="仿宋" w:hAnsi="仿宋" w:eastAsia="仿宋" w:cs="仿宋"/>
                <w:sz w:val="24"/>
                <w:szCs w:val="24"/>
              </w:rPr>
            </w:pPr>
            <w:r>
              <w:rPr>
                <w:rFonts w:hint="eastAsia" w:ascii="仿宋" w:hAnsi="仿宋" w:eastAsia="仿宋" w:cs="仿宋"/>
                <w:sz w:val="24"/>
                <w:szCs w:val="24"/>
              </w:rPr>
              <w:t>伙食补助费</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51.32</w:t>
            </w:r>
          </w:p>
        </w:tc>
        <w:tc>
          <w:tcPr>
            <w:tcW w:w="1611"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51.32</w:t>
            </w:r>
          </w:p>
        </w:tc>
        <w:tc>
          <w:tcPr>
            <w:tcW w:w="1780"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spacing w:line="560" w:lineRule="exact"/>
              <w:rPr>
                <w:rFonts w:ascii="仿宋" w:hAnsi="仿宋" w:eastAsia="仿宋" w:cs="仿宋"/>
                <w:sz w:val="24"/>
                <w:szCs w:val="24"/>
              </w:rPr>
            </w:pPr>
            <w:r>
              <w:rPr>
                <w:rFonts w:hint="eastAsia" w:ascii="仿宋" w:hAnsi="仿宋" w:eastAsia="仿宋" w:cs="仿宋"/>
                <w:sz w:val="24"/>
                <w:szCs w:val="24"/>
              </w:rPr>
              <w:t>绩效工资</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99.23</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163.95</w:t>
            </w:r>
          </w:p>
        </w:tc>
        <w:tc>
          <w:tcPr>
            <w:tcW w:w="1611"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64.72</w:t>
            </w:r>
          </w:p>
        </w:tc>
        <w:tc>
          <w:tcPr>
            <w:tcW w:w="1780"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65.22%</w:t>
            </w: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spacing w:line="560" w:lineRule="exact"/>
              <w:rPr>
                <w:rFonts w:ascii="仿宋" w:hAnsi="仿宋" w:eastAsia="仿宋" w:cs="仿宋"/>
                <w:sz w:val="24"/>
                <w:szCs w:val="24"/>
              </w:rPr>
            </w:pPr>
            <w:r>
              <w:rPr>
                <w:rFonts w:hint="eastAsia" w:ascii="仿宋" w:hAnsi="仿宋" w:eastAsia="仿宋" w:cs="仿宋"/>
                <w:sz w:val="24"/>
                <w:szCs w:val="24"/>
              </w:rPr>
              <w:t>机关事业单位基本养老保险缴费</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99.31</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68.89</w:t>
            </w:r>
          </w:p>
        </w:tc>
        <w:tc>
          <w:tcPr>
            <w:tcW w:w="1611"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-30.42</w:t>
            </w:r>
          </w:p>
        </w:tc>
        <w:tc>
          <w:tcPr>
            <w:tcW w:w="1780"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-30.63%</w:t>
            </w: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spacing w:line="560" w:lineRule="exact"/>
              <w:rPr>
                <w:rFonts w:ascii="仿宋" w:hAnsi="仿宋" w:eastAsia="仿宋" w:cs="仿宋"/>
                <w:sz w:val="24"/>
                <w:szCs w:val="24"/>
              </w:rPr>
            </w:pPr>
            <w:r>
              <w:rPr>
                <w:rFonts w:hint="eastAsia" w:ascii="仿宋" w:hAnsi="仿宋" w:eastAsia="仿宋" w:cs="仿宋"/>
                <w:sz w:val="24"/>
                <w:szCs w:val="24"/>
              </w:rPr>
              <w:t>职业年金缴费</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27.58</w:t>
            </w:r>
          </w:p>
        </w:tc>
        <w:tc>
          <w:tcPr>
            <w:tcW w:w="1611"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27.58</w:t>
            </w:r>
          </w:p>
        </w:tc>
        <w:tc>
          <w:tcPr>
            <w:tcW w:w="1780"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spacing w:line="560" w:lineRule="exact"/>
              <w:rPr>
                <w:rFonts w:ascii="仿宋" w:hAnsi="仿宋" w:eastAsia="仿宋" w:cs="仿宋"/>
                <w:sz w:val="24"/>
                <w:szCs w:val="24"/>
              </w:rPr>
            </w:pPr>
            <w:r>
              <w:rPr>
                <w:rFonts w:hint="eastAsia" w:ascii="仿宋" w:hAnsi="仿宋" w:eastAsia="仿宋" w:cs="仿宋"/>
                <w:sz w:val="24"/>
                <w:szCs w:val="24"/>
              </w:rPr>
              <w:t>职工基本医疗保险缴费</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18.55</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34.82</w:t>
            </w:r>
          </w:p>
        </w:tc>
        <w:tc>
          <w:tcPr>
            <w:tcW w:w="1611"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16.27</w:t>
            </w:r>
          </w:p>
        </w:tc>
        <w:tc>
          <w:tcPr>
            <w:tcW w:w="1780"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87.71%</w:t>
            </w: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spacing w:line="560" w:lineRule="exact"/>
              <w:rPr>
                <w:rFonts w:ascii="仿宋" w:hAnsi="仿宋" w:eastAsia="仿宋" w:cs="仿宋"/>
                <w:sz w:val="24"/>
                <w:szCs w:val="24"/>
              </w:rPr>
            </w:pPr>
            <w:r>
              <w:rPr>
                <w:rFonts w:hint="eastAsia" w:ascii="仿宋" w:hAnsi="仿宋" w:eastAsia="仿宋" w:cs="仿宋"/>
                <w:sz w:val="24"/>
                <w:szCs w:val="24"/>
              </w:rPr>
              <w:t>公务员医疗补助缴费</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0.06</w:t>
            </w:r>
          </w:p>
        </w:tc>
        <w:tc>
          <w:tcPr>
            <w:tcW w:w="1611"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0.06</w:t>
            </w:r>
          </w:p>
        </w:tc>
        <w:tc>
          <w:tcPr>
            <w:tcW w:w="1780"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spacing w:line="560" w:lineRule="exact"/>
              <w:rPr>
                <w:rFonts w:ascii="仿宋" w:hAnsi="仿宋" w:eastAsia="仿宋" w:cs="仿宋"/>
                <w:sz w:val="24"/>
                <w:szCs w:val="24"/>
              </w:rPr>
            </w:pPr>
            <w:r>
              <w:rPr>
                <w:rFonts w:hint="eastAsia" w:ascii="仿宋" w:hAnsi="仿宋" w:eastAsia="仿宋" w:cs="仿宋"/>
                <w:sz w:val="24"/>
                <w:szCs w:val="24"/>
              </w:rPr>
              <w:t>其他社会保障缴费</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11.89</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58.88</w:t>
            </w:r>
          </w:p>
        </w:tc>
        <w:tc>
          <w:tcPr>
            <w:tcW w:w="1611"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46.99</w:t>
            </w:r>
          </w:p>
        </w:tc>
        <w:tc>
          <w:tcPr>
            <w:tcW w:w="1780"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395.21%</w:t>
            </w: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spacing w:line="560" w:lineRule="exact"/>
              <w:rPr>
                <w:rFonts w:ascii="仿宋" w:hAnsi="仿宋" w:eastAsia="仿宋" w:cs="仿宋"/>
                <w:sz w:val="24"/>
                <w:szCs w:val="24"/>
              </w:rPr>
            </w:pPr>
            <w:r>
              <w:rPr>
                <w:rFonts w:hint="eastAsia" w:ascii="仿宋" w:hAnsi="仿宋" w:eastAsia="仿宋" w:cs="仿宋"/>
                <w:sz w:val="24"/>
                <w:szCs w:val="24"/>
              </w:rPr>
              <w:t>住房公积金</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78.12</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30.94</w:t>
            </w:r>
          </w:p>
        </w:tc>
        <w:tc>
          <w:tcPr>
            <w:tcW w:w="1611"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-47.18</w:t>
            </w:r>
          </w:p>
        </w:tc>
        <w:tc>
          <w:tcPr>
            <w:tcW w:w="1780"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-60.4%</w:t>
            </w: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spacing w:line="560" w:lineRule="exact"/>
              <w:rPr>
                <w:rFonts w:ascii="仿宋" w:hAnsi="仿宋" w:eastAsia="仿宋" w:cs="仿宋"/>
                <w:sz w:val="24"/>
                <w:szCs w:val="24"/>
              </w:rPr>
            </w:pPr>
            <w:r>
              <w:rPr>
                <w:rFonts w:hint="eastAsia" w:ascii="仿宋" w:hAnsi="仿宋" w:eastAsia="仿宋" w:cs="仿宋"/>
                <w:sz w:val="24"/>
                <w:szCs w:val="24"/>
              </w:rPr>
              <w:t>医疗费</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p>
        </w:tc>
        <w:tc>
          <w:tcPr>
            <w:tcW w:w="1611"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p>
        </w:tc>
        <w:tc>
          <w:tcPr>
            <w:tcW w:w="1780"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spacing w:line="560" w:lineRule="exact"/>
              <w:rPr>
                <w:rFonts w:ascii="仿宋" w:hAnsi="仿宋" w:eastAsia="仿宋" w:cs="仿宋"/>
                <w:sz w:val="24"/>
                <w:szCs w:val="24"/>
              </w:rPr>
            </w:pPr>
            <w:r>
              <w:rPr>
                <w:rFonts w:hint="eastAsia" w:ascii="仿宋" w:hAnsi="仿宋" w:eastAsia="仿宋" w:cs="仿宋"/>
                <w:sz w:val="24"/>
                <w:szCs w:val="24"/>
              </w:rPr>
              <w:t>其他工资福利支出</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30.21</w:t>
            </w:r>
          </w:p>
        </w:tc>
        <w:tc>
          <w:tcPr>
            <w:tcW w:w="1611"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30.21</w:t>
            </w:r>
          </w:p>
        </w:tc>
        <w:tc>
          <w:tcPr>
            <w:tcW w:w="1780"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p>
        </w:tc>
      </w:tr>
      <w:tr>
        <w:tblPrEx>
          <w:tblCellMar>
            <w:top w:w="0" w:type="dxa"/>
            <w:left w:w="0" w:type="dxa"/>
            <w:bottom w:w="0" w:type="dxa"/>
            <w:right w:w="0" w:type="dxa"/>
          </w:tblCellMar>
        </w:tblPrEx>
        <w:trPr>
          <w:trHeight w:val="411" w:hRule="atLeast"/>
          <w:jc w:val="center"/>
        </w:trPr>
        <w:tc>
          <w:tcPr>
            <w:tcW w:w="2431" w:type="dxa"/>
            <w:tcBorders>
              <w:top w:val="nil"/>
              <w:left w:val="single" w:color="000000" w:sz="8" w:space="0"/>
              <w:bottom w:val="single" w:color="000000" w:sz="8" w:space="0"/>
              <w:right w:val="single" w:color="000000" w:sz="8" w:space="0"/>
            </w:tcBorders>
            <w:shd w:val="clear" w:color="auto" w:fill="C0C0C0"/>
            <w:tcMar>
              <w:top w:w="15" w:type="dxa"/>
              <w:left w:w="15" w:type="dxa"/>
              <w:bottom w:w="15" w:type="dxa"/>
              <w:right w:w="15" w:type="dxa"/>
            </w:tcMar>
            <w:vAlign w:val="center"/>
          </w:tcPr>
          <w:p>
            <w:pPr>
              <w:spacing w:line="56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合计</w:t>
            </w:r>
          </w:p>
        </w:tc>
        <w:tc>
          <w:tcPr>
            <w:tcW w:w="1134" w:type="dxa"/>
            <w:tcBorders>
              <w:top w:val="nil"/>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999.19</w:t>
            </w:r>
          </w:p>
        </w:tc>
        <w:tc>
          <w:tcPr>
            <w:tcW w:w="1134" w:type="dxa"/>
            <w:tcBorders>
              <w:top w:val="nil"/>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spacing w:line="560" w:lineRule="exact"/>
              <w:jc w:val="center"/>
              <w:rPr>
                <w:rFonts w:ascii="仿宋" w:hAnsi="仿宋" w:eastAsia="仿宋" w:cs="仿宋"/>
                <w:sz w:val="24"/>
                <w:szCs w:val="24"/>
              </w:rPr>
            </w:pPr>
            <w:r>
              <w:rPr>
                <w:rFonts w:hint="eastAsia" w:ascii="仿宋" w:hAnsi="仿宋" w:eastAsia="仿宋" w:cs="仿宋"/>
                <w:bCs/>
                <w:sz w:val="24"/>
                <w:szCs w:val="24"/>
              </w:rPr>
              <w:t>1177.07</w:t>
            </w:r>
          </w:p>
        </w:tc>
        <w:tc>
          <w:tcPr>
            <w:tcW w:w="1611" w:type="dxa"/>
            <w:tcBorders>
              <w:top w:val="nil"/>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spacing w:line="560" w:lineRule="exact"/>
              <w:ind w:firstLine="480" w:firstLineChars="200"/>
              <w:rPr>
                <w:rFonts w:ascii="仿宋" w:hAnsi="仿宋" w:eastAsia="仿宋" w:cs="仿宋"/>
                <w:sz w:val="24"/>
                <w:szCs w:val="24"/>
              </w:rPr>
            </w:pPr>
            <w:r>
              <w:rPr>
                <w:rFonts w:hint="eastAsia" w:ascii="仿宋" w:hAnsi="仿宋" w:eastAsia="仿宋" w:cs="仿宋"/>
                <w:sz w:val="24"/>
                <w:szCs w:val="24"/>
              </w:rPr>
              <w:t>177.9</w:t>
            </w:r>
          </w:p>
        </w:tc>
        <w:tc>
          <w:tcPr>
            <w:tcW w:w="1780" w:type="dxa"/>
            <w:tcBorders>
              <w:top w:val="nil"/>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17.8%</w:t>
            </w:r>
          </w:p>
        </w:tc>
      </w:tr>
    </w:tbl>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基本工资统一提标和普调，导致决算金额增大；2020年干部食堂改革，由财政补助一定金额用于工作日用餐，导致决算金额增大；绩效工资发放是由县委县政府统一部署安排，难以精确预算，导致决算金额增大，社会保障缴费存在补缴上年度费用，导致决算金额增大。</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（2）商品和服务支出</w:t>
      </w:r>
    </w:p>
    <w:tbl>
      <w:tblPr>
        <w:tblStyle w:val="9"/>
        <w:tblW w:w="0" w:type="auto"/>
        <w:jc w:val="center"/>
        <w:tblLayout w:type="fixed"/>
        <w:tblCellMar>
          <w:top w:w="0" w:type="dxa"/>
          <w:left w:w="0" w:type="dxa"/>
          <w:bottom w:w="0" w:type="dxa"/>
          <w:right w:w="0" w:type="dxa"/>
        </w:tblCellMar>
      </w:tblPr>
      <w:tblGrid>
        <w:gridCol w:w="2133"/>
        <w:gridCol w:w="1398"/>
        <w:gridCol w:w="1537"/>
        <w:gridCol w:w="1429"/>
        <w:gridCol w:w="1643"/>
      </w:tblGrid>
      <w:tr>
        <w:tblPrEx>
          <w:tblCellMar>
            <w:top w:w="0" w:type="dxa"/>
            <w:left w:w="0" w:type="dxa"/>
            <w:bottom w:w="0" w:type="dxa"/>
            <w:right w:w="0" w:type="dxa"/>
          </w:tblCellMar>
        </w:tblPrEx>
        <w:trPr>
          <w:trHeight w:val="343" w:hRule="atLeast"/>
          <w:tblHeader/>
          <w:jc w:val="center"/>
        </w:trPr>
        <w:tc>
          <w:tcPr>
            <w:tcW w:w="2133" w:type="dxa"/>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spacing w:line="56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支出项目</w:t>
            </w:r>
          </w:p>
        </w:tc>
        <w:tc>
          <w:tcPr>
            <w:tcW w:w="1398"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spacing w:line="560" w:lineRule="exact"/>
              <w:rPr>
                <w:rFonts w:ascii="仿宋" w:hAnsi="仿宋" w:eastAsia="仿宋" w:cs="仿宋"/>
                <w:sz w:val="28"/>
                <w:szCs w:val="28"/>
              </w:rPr>
            </w:pPr>
            <w:r>
              <w:rPr>
                <w:rFonts w:hint="eastAsia" w:ascii="仿宋" w:hAnsi="仿宋" w:eastAsia="仿宋" w:cs="仿宋"/>
                <w:sz w:val="28"/>
                <w:szCs w:val="28"/>
              </w:rPr>
              <w:t>预算金额</w:t>
            </w:r>
          </w:p>
        </w:tc>
        <w:tc>
          <w:tcPr>
            <w:tcW w:w="1537"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spacing w:line="560" w:lineRule="exact"/>
              <w:rPr>
                <w:rFonts w:ascii="仿宋" w:hAnsi="仿宋" w:eastAsia="仿宋" w:cs="仿宋"/>
                <w:sz w:val="28"/>
                <w:szCs w:val="28"/>
              </w:rPr>
            </w:pPr>
            <w:r>
              <w:rPr>
                <w:rFonts w:hint="eastAsia" w:ascii="仿宋" w:hAnsi="仿宋" w:eastAsia="仿宋" w:cs="仿宋"/>
                <w:sz w:val="28"/>
                <w:szCs w:val="28"/>
              </w:rPr>
              <w:t>决算金额</w:t>
            </w:r>
          </w:p>
        </w:tc>
        <w:tc>
          <w:tcPr>
            <w:tcW w:w="1429"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spacing w:line="560" w:lineRule="exact"/>
              <w:rPr>
                <w:rFonts w:ascii="仿宋" w:hAnsi="仿宋" w:eastAsia="仿宋" w:cs="仿宋"/>
                <w:sz w:val="28"/>
                <w:szCs w:val="28"/>
              </w:rPr>
            </w:pPr>
            <w:r>
              <w:rPr>
                <w:rFonts w:hint="eastAsia" w:ascii="仿宋" w:hAnsi="仿宋" w:eastAsia="仿宋" w:cs="仿宋"/>
                <w:sz w:val="28"/>
                <w:szCs w:val="28"/>
              </w:rPr>
              <w:t>增减额</w:t>
            </w:r>
          </w:p>
        </w:tc>
        <w:tc>
          <w:tcPr>
            <w:tcW w:w="1643"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spacing w:line="56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增减率</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办公费</w:t>
            </w:r>
          </w:p>
        </w:tc>
        <w:tc>
          <w:tcPr>
            <w:tcW w:w="1398"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rPr>
                <w:rFonts w:ascii="仿宋" w:hAnsi="仿宋" w:eastAsia="仿宋" w:cs="仿宋"/>
              </w:rPr>
            </w:pPr>
            <w:r>
              <w:rPr>
                <w:rFonts w:hint="eastAsia" w:ascii="仿宋" w:hAnsi="仿宋" w:eastAsia="仿宋" w:cs="仿宋"/>
              </w:rPr>
              <w:t>322.44</w:t>
            </w:r>
          </w:p>
        </w:tc>
        <w:tc>
          <w:tcPr>
            <w:tcW w:w="1537"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r>
              <w:rPr>
                <w:rFonts w:hint="eastAsia" w:ascii="仿宋" w:hAnsi="仿宋" w:eastAsia="仿宋" w:cs="仿宋"/>
              </w:rPr>
              <w:t>88.87</w:t>
            </w:r>
          </w:p>
        </w:tc>
        <w:tc>
          <w:tcPr>
            <w:tcW w:w="1429"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r>
              <w:rPr>
                <w:rFonts w:hint="eastAsia" w:ascii="仿宋" w:hAnsi="仿宋" w:eastAsia="仿宋" w:cs="仿宋"/>
              </w:rPr>
              <w:t>-233.57</w:t>
            </w:r>
          </w:p>
        </w:tc>
        <w:tc>
          <w:tcPr>
            <w:tcW w:w="1643"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r>
              <w:rPr>
                <w:rFonts w:hint="eastAsia" w:ascii="仿宋" w:hAnsi="仿宋" w:eastAsia="仿宋" w:cs="仿宋"/>
              </w:rPr>
              <w:t>-72.44%</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印刷费</w:t>
            </w:r>
          </w:p>
        </w:tc>
        <w:tc>
          <w:tcPr>
            <w:tcW w:w="1398"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r>
              <w:rPr>
                <w:rFonts w:hint="eastAsia" w:ascii="仿宋" w:hAnsi="仿宋" w:eastAsia="仿宋" w:cs="仿宋"/>
              </w:rPr>
              <w:t>95</w:t>
            </w:r>
          </w:p>
        </w:tc>
        <w:tc>
          <w:tcPr>
            <w:tcW w:w="1537"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r>
              <w:rPr>
                <w:rFonts w:hint="eastAsia" w:ascii="仿宋" w:hAnsi="仿宋" w:eastAsia="仿宋" w:cs="仿宋"/>
              </w:rPr>
              <w:t>52.14</w:t>
            </w:r>
          </w:p>
        </w:tc>
        <w:tc>
          <w:tcPr>
            <w:tcW w:w="1429"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r>
              <w:rPr>
                <w:rFonts w:hint="eastAsia" w:ascii="仿宋" w:hAnsi="仿宋" w:eastAsia="仿宋" w:cs="仿宋"/>
              </w:rPr>
              <w:t>-36.73</w:t>
            </w:r>
          </w:p>
        </w:tc>
        <w:tc>
          <w:tcPr>
            <w:tcW w:w="1643"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r>
              <w:rPr>
                <w:rFonts w:hint="eastAsia" w:ascii="仿宋" w:hAnsi="仿宋" w:eastAsia="仿宋" w:cs="仿宋"/>
              </w:rPr>
              <w:t>-38.67%</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咨询费</w:t>
            </w:r>
          </w:p>
        </w:tc>
        <w:tc>
          <w:tcPr>
            <w:tcW w:w="1398"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r>
              <w:rPr>
                <w:rFonts w:hint="eastAsia" w:ascii="仿宋" w:hAnsi="仿宋" w:eastAsia="仿宋" w:cs="仿宋"/>
              </w:rPr>
              <w:t>12</w:t>
            </w:r>
          </w:p>
        </w:tc>
        <w:tc>
          <w:tcPr>
            <w:tcW w:w="1537"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r>
              <w:rPr>
                <w:rFonts w:hint="eastAsia" w:ascii="仿宋" w:hAnsi="仿宋" w:eastAsia="仿宋" w:cs="仿宋"/>
              </w:rPr>
              <w:t>43.8</w:t>
            </w:r>
          </w:p>
        </w:tc>
        <w:tc>
          <w:tcPr>
            <w:tcW w:w="1429"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r>
              <w:rPr>
                <w:rFonts w:hint="eastAsia" w:ascii="仿宋" w:hAnsi="仿宋" w:eastAsia="仿宋" w:cs="仿宋"/>
              </w:rPr>
              <w:t>31.8</w:t>
            </w:r>
          </w:p>
        </w:tc>
        <w:tc>
          <w:tcPr>
            <w:tcW w:w="1643"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r>
              <w:rPr>
                <w:rFonts w:hint="eastAsia" w:ascii="仿宋" w:hAnsi="仿宋" w:eastAsia="仿宋" w:cs="仿宋"/>
              </w:rPr>
              <w:t>265%</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手续费</w:t>
            </w:r>
          </w:p>
        </w:tc>
        <w:tc>
          <w:tcPr>
            <w:tcW w:w="1398"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r>
              <w:rPr>
                <w:rFonts w:hint="eastAsia" w:ascii="仿宋" w:hAnsi="仿宋" w:eastAsia="仿宋" w:cs="仿宋"/>
              </w:rPr>
              <w:t>4</w:t>
            </w:r>
          </w:p>
        </w:tc>
        <w:tc>
          <w:tcPr>
            <w:tcW w:w="1537"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r>
              <w:rPr>
                <w:rFonts w:hint="eastAsia" w:ascii="仿宋" w:hAnsi="仿宋" w:eastAsia="仿宋" w:cs="仿宋"/>
              </w:rPr>
              <w:t>3.05</w:t>
            </w:r>
          </w:p>
        </w:tc>
        <w:tc>
          <w:tcPr>
            <w:tcW w:w="1429"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r>
              <w:rPr>
                <w:rFonts w:hint="eastAsia" w:ascii="仿宋" w:hAnsi="仿宋" w:eastAsia="仿宋" w:cs="仿宋"/>
              </w:rPr>
              <w:t>-0.95</w:t>
            </w:r>
          </w:p>
        </w:tc>
        <w:tc>
          <w:tcPr>
            <w:tcW w:w="1643"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r>
              <w:rPr>
                <w:rFonts w:hint="eastAsia" w:ascii="仿宋" w:hAnsi="仿宋" w:eastAsia="仿宋" w:cs="仿宋"/>
              </w:rPr>
              <w:t>-23.75%</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电费</w:t>
            </w:r>
          </w:p>
        </w:tc>
        <w:tc>
          <w:tcPr>
            <w:tcW w:w="1398"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r>
              <w:rPr>
                <w:rFonts w:hint="eastAsia" w:ascii="仿宋" w:hAnsi="仿宋" w:eastAsia="仿宋" w:cs="仿宋"/>
              </w:rPr>
              <w:t>35</w:t>
            </w:r>
          </w:p>
        </w:tc>
        <w:tc>
          <w:tcPr>
            <w:tcW w:w="1537"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r>
              <w:rPr>
                <w:rFonts w:hint="eastAsia" w:ascii="仿宋" w:hAnsi="仿宋" w:eastAsia="仿宋" w:cs="仿宋"/>
              </w:rPr>
              <w:t>8.19</w:t>
            </w:r>
          </w:p>
        </w:tc>
        <w:tc>
          <w:tcPr>
            <w:tcW w:w="1429"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r>
              <w:rPr>
                <w:rFonts w:hint="eastAsia" w:ascii="仿宋" w:hAnsi="仿宋" w:eastAsia="仿宋" w:cs="仿宋"/>
              </w:rPr>
              <w:t>-26.81</w:t>
            </w:r>
          </w:p>
        </w:tc>
        <w:tc>
          <w:tcPr>
            <w:tcW w:w="1643"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r>
              <w:rPr>
                <w:rFonts w:hint="eastAsia" w:ascii="仿宋" w:hAnsi="仿宋" w:eastAsia="仿宋" w:cs="仿宋"/>
              </w:rPr>
              <w:t>-76.6%</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邮电费</w:t>
            </w:r>
          </w:p>
        </w:tc>
        <w:tc>
          <w:tcPr>
            <w:tcW w:w="1398"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r>
              <w:rPr>
                <w:rFonts w:hint="eastAsia" w:ascii="仿宋" w:hAnsi="仿宋" w:eastAsia="仿宋" w:cs="仿宋"/>
              </w:rPr>
              <w:t>4</w:t>
            </w:r>
          </w:p>
        </w:tc>
        <w:tc>
          <w:tcPr>
            <w:tcW w:w="1537"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r>
              <w:rPr>
                <w:rFonts w:hint="eastAsia" w:ascii="仿宋" w:hAnsi="仿宋" w:eastAsia="仿宋" w:cs="仿宋"/>
              </w:rPr>
              <w:t>34.15</w:t>
            </w:r>
          </w:p>
        </w:tc>
        <w:tc>
          <w:tcPr>
            <w:tcW w:w="1429"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r>
              <w:rPr>
                <w:rFonts w:hint="eastAsia" w:ascii="仿宋" w:hAnsi="仿宋" w:eastAsia="仿宋" w:cs="仿宋"/>
              </w:rPr>
              <w:t>30.15</w:t>
            </w:r>
          </w:p>
        </w:tc>
        <w:tc>
          <w:tcPr>
            <w:tcW w:w="1643"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r>
              <w:rPr>
                <w:rFonts w:hint="eastAsia" w:ascii="仿宋" w:hAnsi="仿宋" w:eastAsia="仿宋" w:cs="仿宋"/>
              </w:rPr>
              <w:t>753.75%</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取暖费</w:t>
            </w:r>
          </w:p>
        </w:tc>
        <w:tc>
          <w:tcPr>
            <w:tcW w:w="1398"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p>
        </w:tc>
        <w:tc>
          <w:tcPr>
            <w:tcW w:w="1537"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r>
              <w:rPr>
                <w:rFonts w:hint="eastAsia" w:ascii="仿宋" w:hAnsi="仿宋" w:eastAsia="仿宋" w:cs="仿宋"/>
              </w:rPr>
              <w:t>6.97</w:t>
            </w:r>
          </w:p>
        </w:tc>
        <w:tc>
          <w:tcPr>
            <w:tcW w:w="1429"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r>
              <w:rPr>
                <w:rFonts w:hint="eastAsia" w:ascii="仿宋" w:hAnsi="仿宋" w:eastAsia="仿宋" w:cs="仿宋"/>
              </w:rPr>
              <w:t>6.97</w:t>
            </w:r>
          </w:p>
        </w:tc>
        <w:tc>
          <w:tcPr>
            <w:tcW w:w="1643"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物业管理费</w:t>
            </w:r>
          </w:p>
        </w:tc>
        <w:tc>
          <w:tcPr>
            <w:tcW w:w="1398"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p>
        </w:tc>
        <w:tc>
          <w:tcPr>
            <w:tcW w:w="1537"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p>
        </w:tc>
        <w:tc>
          <w:tcPr>
            <w:tcW w:w="1429"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r>
              <w:rPr>
                <w:rFonts w:hint="eastAsia" w:ascii="仿宋" w:hAnsi="仿宋" w:eastAsia="仿宋" w:cs="仿宋"/>
              </w:rPr>
              <w:t>0</w:t>
            </w:r>
          </w:p>
        </w:tc>
        <w:tc>
          <w:tcPr>
            <w:tcW w:w="1643"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差旅费</w:t>
            </w:r>
          </w:p>
        </w:tc>
        <w:tc>
          <w:tcPr>
            <w:tcW w:w="1398"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r>
              <w:rPr>
                <w:rFonts w:hint="eastAsia" w:ascii="仿宋" w:hAnsi="仿宋" w:eastAsia="仿宋" w:cs="仿宋"/>
              </w:rPr>
              <w:t>210</w:t>
            </w:r>
          </w:p>
        </w:tc>
        <w:tc>
          <w:tcPr>
            <w:tcW w:w="1537"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r>
              <w:rPr>
                <w:rFonts w:hint="eastAsia" w:ascii="仿宋" w:hAnsi="仿宋" w:eastAsia="仿宋" w:cs="仿宋"/>
              </w:rPr>
              <w:t>358.27</w:t>
            </w:r>
          </w:p>
        </w:tc>
        <w:tc>
          <w:tcPr>
            <w:tcW w:w="1429"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r>
              <w:rPr>
                <w:rFonts w:hint="eastAsia" w:ascii="仿宋" w:hAnsi="仿宋" w:eastAsia="仿宋" w:cs="仿宋"/>
              </w:rPr>
              <w:t>148.27</w:t>
            </w:r>
          </w:p>
        </w:tc>
        <w:tc>
          <w:tcPr>
            <w:tcW w:w="1643"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r>
              <w:rPr>
                <w:rFonts w:hint="eastAsia" w:ascii="仿宋" w:hAnsi="仿宋" w:eastAsia="仿宋" w:cs="仿宋"/>
              </w:rPr>
              <w:t>70.6%</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仿宋" w:hAnsi="仿宋" w:eastAsia="仿宋" w:cs="仿宋"/>
                <w:sz w:val="24"/>
                <w:szCs w:val="24"/>
              </w:rPr>
            </w:pPr>
            <w:r>
              <w:rPr>
                <w:rFonts w:hint="eastAsia" w:ascii="仿宋" w:hAnsi="仿宋" w:eastAsia="仿宋" w:cs="仿宋"/>
              </w:rPr>
              <w:t>因公出国（境）费用</w:t>
            </w:r>
          </w:p>
        </w:tc>
        <w:tc>
          <w:tcPr>
            <w:tcW w:w="1398"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p>
        </w:tc>
        <w:tc>
          <w:tcPr>
            <w:tcW w:w="1537"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p>
        </w:tc>
        <w:tc>
          <w:tcPr>
            <w:tcW w:w="1429"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r>
              <w:rPr>
                <w:rFonts w:hint="eastAsia" w:ascii="仿宋" w:hAnsi="仿宋" w:eastAsia="仿宋" w:cs="仿宋"/>
              </w:rPr>
              <w:t>0</w:t>
            </w:r>
          </w:p>
        </w:tc>
        <w:tc>
          <w:tcPr>
            <w:tcW w:w="1643"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维修（护）费</w:t>
            </w:r>
          </w:p>
        </w:tc>
        <w:tc>
          <w:tcPr>
            <w:tcW w:w="1398"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r>
              <w:rPr>
                <w:rFonts w:hint="eastAsia" w:ascii="仿宋" w:hAnsi="仿宋" w:eastAsia="仿宋" w:cs="仿宋"/>
              </w:rPr>
              <w:t>105</w:t>
            </w:r>
          </w:p>
        </w:tc>
        <w:tc>
          <w:tcPr>
            <w:tcW w:w="1537"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r>
              <w:rPr>
                <w:rFonts w:hint="eastAsia" w:ascii="仿宋" w:hAnsi="仿宋" w:eastAsia="仿宋" w:cs="仿宋"/>
              </w:rPr>
              <w:t>39.74</w:t>
            </w:r>
          </w:p>
        </w:tc>
        <w:tc>
          <w:tcPr>
            <w:tcW w:w="1429"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r>
              <w:rPr>
                <w:rFonts w:hint="eastAsia" w:ascii="仿宋" w:hAnsi="仿宋" w:eastAsia="仿宋" w:cs="仿宋"/>
              </w:rPr>
              <w:t>-65.26</w:t>
            </w:r>
          </w:p>
        </w:tc>
        <w:tc>
          <w:tcPr>
            <w:tcW w:w="1643"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r>
              <w:rPr>
                <w:rFonts w:hint="eastAsia" w:ascii="仿宋" w:hAnsi="仿宋" w:eastAsia="仿宋" w:cs="仿宋"/>
              </w:rPr>
              <w:t>-62.15%</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租赁费</w:t>
            </w:r>
          </w:p>
        </w:tc>
        <w:tc>
          <w:tcPr>
            <w:tcW w:w="1398"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p>
        </w:tc>
        <w:tc>
          <w:tcPr>
            <w:tcW w:w="1537"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r>
              <w:rPr>
                <w:rFonts w:hint="eastAsia" w:ascii="仿宋" w:hAnsi="仿宋" w:eastAsia="仿宋" w:cs="仿宋"/>
              </w:rPr>
              <w:t>30.78</w:t>
            </w:r>
          </w:p>
        </w:tc>
        <w:tc>
          <w:tcPr>
            <w:tcW w:w="1429"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r>
              <w:rPr>
                <w:rFonts w:hint="eastAsia" w:ascii="仿宋" w:hAnsi="仿宋" w:eastAsia="仿宋" w:cs="仿宋"/>
              </w:rPr>
              <w:t>30.78</w:t>
            </w:r>
          </w:p>
        </w:tc>
        <w:tc>
          <w:tcPr>
            <w:tcW w:w="1643"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会议费</w:t>
            </w:r>
          </w:p>
        </w:tc>
        <w:tc>
          <w:tcPr>
            <w:tcW w:w="1398"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r>
              <w:rPr>
                <w:rFonts w:hint="eastAsia" w:ascii="仿宋" w:hAnsi="仿宋" w:eastAsia="仿宋" w:cs="仿宋"/>
              </w:rPr>
              <w:t>55</w:t>
            </w:r>
          </w:p>
        </w:tc>
        <w:tc>
          <w:tcPr>
            <w:tcW w:w="1537"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r>
              <w:rPr>
                <w:rFonts w:hint="eastAsia" w:ascii="仿宋" w:hAnsi="仿宋" w:eastAsia="仿宋" w:cs="仿宋"/>
              </w:rPr>
              <w:t>59.89</w:t>
            </w:r>
          </w:p>
        </w:tc>
        <w:tc>
          <w:tcPr>
            <w:tcW w:w="1429"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r>
              <w:rPr>
                <w:rFonts w:hint="eastAsia" w:ascii="仿宋" w:hAnsi="仿宋" w:eastAsia="仿宋" w:cs="仿宋"/>
              </w:rPr>
              <w:t>4.89</w:t>
            </w:r>
          </w:p>
        </w:tc>
        <w:tc>
          <w:tcPr>
            <w:tcW w:w="1643"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r>
              <w:rPr>
                <w:rFonts w:hint="eastAsia" w:ascii="仿宋" w:hAnsi="仿宋" w:eastAsia="仿宋" w:cs="仿宋"/>
              </w:rPr>
              <w:t>8.9%</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培训费</w:t>
            </w:r>
          </w:p>
        </w:tc>
        <w:tc>
          <w:tcPr>
            <w:tcW w:w="1398"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r>
              <w:rPr>
                <w:rFonts w:hint="eastAsia" w:ascii="仿宋" w:hAnsi="仿宋" w:eastAsia="仿宋" w:cs="仿宋"/>
              </w:rPr>
              <w:t>22</w:t>
            </w:r>
          </w:p>
        </w:tc>
        <w:tc>
          <w:tcPr>
            <w:tcW w:w="1537"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r>
              <w:rPr>
                <w:rFonts w:hint="eastAsia" w:ascii="仿宋" w:hAnsi="仿宋" w:eastAsia="仿宋" w:cs="仿宋"/>
              </w:rPr>
              <w:t>29.2</w:t>
            </w:r>
          </w:p>
        </w:tc>
        <w:tc>
          <w:tcPr>
            <w:tcW w:w="1429"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r>
              <w:rPr>
                <w:rFonts w:hint="eastAsia" w:ascii="仿宋" w:hAnsi="仿宋" w:eastAsia="仿宋" w:cs="仿宋"/>
              </w:rPr>
              <w:t>7.2</w:t>
            </w:r>
          </w:p>
        </w:tc>
        <w:tc>
          <w:tcPr>
            <w:tcW w:w="1643"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r>
              <w:rPr>
                <w:rFonts w:hint="eastAsia" w:ascii="仿宋" w:hAnsi="仿宋" w:eastAsia="仿宋" w:cs="仿宋"/>
              </w:rPr>
              <w:t>32.73%</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公务接待费</w:t>
            </w:r>
          </w:p>
        </w:tc>
        <w:tc>
          <w:tcPr>
            <w:tcW w:w="1398"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r>
              <w:rPr>
                <w:rFonts w:hint="eastAsia" w:ascii="仿宋" w:hAnsi="仿宋" w:eastAsia="仿宋" w:cs="仿宋"/>
              </w:rPr>
              <w:t>9</w:t>
            </w:r>
          </w:p>
        </w:tc>
        <w:tc>
          <w:tcPr>
            <w:tcW w:w="1537"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r>
              <w:rPr>
                <w:rFonts w:hint="eastAsia" w:ascii="仿宋" w:hAnsi="仿宋" w:eastAsia="仿宋" w:cs="仿宋"/>
              </w:rPr>
              <w:t>27.91</w:t>
            </w:r>
          </w:p>
        </w:tc>
        <w:tc>
          <w:tcPr>
            <w:tcW w:w="1429"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r>
              <w:rPr>
                <w:rFonts w:hint="eastAsia" w:ascii="仿宋" w:hAnsi="仿宋" w:eastAsia="仿宋" w:cs="仿宋"/>
              </w:rPr>
              <w:t>18.91</w:t>
            </w:r>
          </w:p>
        </w:tc>
        <w:tc>
          <w:tcPr>
            <w:tcW w:w="1643"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r>
              <w:rPr>
                <w:rFonts w:hint="eastAsia" w:ascii="仿宋" w:hAnsi="仿宋" w:eastAsia="仿宋" w:cs="仿宋"/>
              </w:rPr>
              <w:t>210.11%</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专用材料费</w:t>
            </w:r>
          </w:p>
        </w:tc>
        <w:tc>
          <w:tcPr>
            <w:tcW w:w="1398"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p>
        </w:tc>
        <w:tc>
          <w:tcPr>
            <w:tcW w:w="1537"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r>
              <w:rPr>
                <w:rFonts w:hint="eastAsia" w:ascii="仿宋" w:hAnsi="仿宋" w:eastAsia="仿宋" w:cs="仿宋"/>
              </w:rPr>
              <w:t>18.04</w:t>
            </w:r>
          </w:p>
        </w:tc>
        <w:tc>
          <w:tcPr>
            <w:tcW w:w="1429"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r>
              <w:rPr>
                <w:rFonts w:hint="eastAsia" w:ascii="仿宋" w:hAnsi="仿宋" w:eastAsia="仿宋" w:cs="仿宋"/>
              </w:rPr>
              <w:t>18.04</w:t>
            </w:r>
          </w:p>
        </w:tc>
        <w:tc>
          <w:tcPr>
            <w:tcW w:w="1643"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被装购置费</w:t>
            </w:r>
          </w:p>
        </w:tc>
        <w:tc>
          <w:tcPr>
            <w:tcW w:w="1398"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p>
        </w:tc>
        <w:tc>
          <w:tcPr>
            <w:tcW w:w="1537"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p>
        </w:tc>
        <w:tc>
          <w:tcPr>
            <w:tcW w:w="1429"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p>
        </w:tc>
        <w:tc>
          <w:tcPr>
            <w:tcW w:w="1643"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专用燃料费</w:t>
            </w:r>
          </w:p>
        </w:tc>
        <w:tc>
          <w:tcPr>
            <w:tcW w:w="1398"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p>
        </w:tc>
        <w:tc>
          <w:tcPr>
            <w:tcW w:w="1537"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r>
              <w:rPr>
                <w:rFonts w:hint="eastAsia" w:ascii="仿宋" w:hAnsi="仿宋" w:eastAsia="仿宋" w:cs="仿宋"/>
              </w:rPr>
              <w:t>3.94</w:t>
            </w:r>
          </w:p>
        </w:tc>
        <w:tc>
          <w:tcPr>
            <w:tcW w:w="1429"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r>
              <w:rPr>
                <w:rFonts w:hint="eastAsia" w:ascii="仿宋" w:hAnsi="仿宋" w:eastAsia="仿宋" w:cs="仿宋"/>
              </w:rPr>
              <w:t>3.94</w:t>
            </w:r>
          </w:p>
        </w:tc>
        <w:tc>
          <w:tcPr>
            <w:tcW w:w="1643"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劳务费</w:t>
            </w:r>
          </w:p>
        </w:tc>
        <w:tc>
          <w:tcPr>
            <w:tcW w:w="1398"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r>
              <w:rPr>
                <w:rFonts w:hint="eastAsia" w:ascii="仿宋" w:hAnsi="仿宋" w:eastAsia="仿宋" w:cs="仿宋"/>
              </w:rPr>
              <w:t>40</w:t>
            </w:r>
          </w:p>
        </w:tc>
        <w:tc>
          <w:tcPr>
            <w:tcW w:w="1537"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r>
              <w:rPr>
                <w:rFonts w:hint="eastAsia" w:ascii="仿宋" w:hAnsi="仿宋" w:eastAsia="仿宋" w:cs="仿宋"/>
              </w:rPr>
              <w:t>115.07</w:t>
            </w:r>
          </w:p>
        </w:tc>
        <w:tc>
          <w:tcPr>
            <w:tcW w:w="1429"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r>
              <w:rPr>
                <w:rFonts w:hint="eastAsia" w:ascii="仿宋" w:hAnsi="仿宋" w:eastAsia="仿宋" w:cs="仿宋"/>
              </w:rPr>
              <w:t>75.07</w:t>
            </w:r>
          </w:p>
        </w:tc>
        <w:tc>
          <w:tcPr>
            <w:tcW w:w="1643"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r>
              <w:rPr>
                <w:rFonts w:hint="eastAsia" w:ascii="仿宋" w:hAnsi="仿宋" w:eastAsia="仿宋" w:cs="仿宋"/>
              </w:rPr>
              <w:t>187.67%</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委托业务费</w:t>
            </w:r>
          </w:p>
        </w:tc>
        <w:tc>
          <w:tcPr>
            <w:tcW w:w="1398"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r>
              <w:rPr>
                <w:rFonts w:hint="eastAsia" w:ascii="仿宋" w:hAnsi="仿宋" w:eastAsia="仿宋" w:cs="仿宋"/>
              </w:rPr>
              <w:t>60</w:t>
            </w:r>
          </w:p>
        </w:tc>
        <w:tc>
          <w:tcPr>
            <w:tcW w:w="1537"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r>
              <w:rPr>
                <w:rFonts w:hint="eastAsia" w:ascii="仿宋" w:hAnsi="仿宋" w:eastAsia="仿宋" w:cs="仿宋"/>
              </w:rPr>
              <w:t>83.43</w:t>
            </w:r>
          </w:p>
        </w:tc>
        <w:tc>
          <w:tcPr>
            <w:tcW w:w="1429"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r>
              <w:rPr>
                <w:rFonts w:hint="eastAsia" w:ascii="仿宋" w:hAnsi="仿宋" w:eastAsia="仿宋" w:cs="仿宋"/>
              </w:rPr>
              <w:t>23.43</w:t>
            </w:r>
          </w:p>
        </w:tc>
        <w:tc>
          <w:tcPr>
            <w:tcW w:w="1643"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40" w:firstLineChars="200"/>
              <w:jc w:val="center"/>
              <w:rPr>
                <w:rFonts w:ascii="仿宋" w:hAnsi="仿宋" w:eastAsia="仿宋" w:cs="仿宋"/>
              </w:rPr>
            </w:pPr>
            <w:r>
              <w:rPr>
                <w:rFonts w:hint="eastAsia" w:ascii="仿宋" w:hAnsi="仿宋" w:eastAsia="仿宋" w:cs="仿宋"/>
              </w:rPr>
              <w:t>39.05%</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工会经费</w:t>
            </w:r>
          </w:p>
        </w:tc>
        <w:tc>
          <w:tcPr>
            <w:tcW w:w="1398"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60</w:t>
            </w:r>
          </w:p>
        </w:tc>
        <w:tc>
          <w:tcPr>
            <w:tcW w:w="1537"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35</w:t>
            </w:r>
          </w:p>
        </w:tc>
        <w:tc>
          <w:tcPr>
            <w:tcW w:w="1429"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-25</w:t>
            </w:r>
          </w:p>
        </w:tc>
        <w:tc>
          <w:tcPr>
            <w:tcW w:w="1643"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-41.67%</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福利费</w:t>
            </w:r>
          </w:p>
        </w:tc>
        <w:tc>
          <w:tcPr>
            <w:tcW w:w="1398"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80" w:firstLineChars="200"/>
              <w:jc w:val="center"/>
              <w:rPr>
                <w:rFonts w:ascii="仿宋" w:hAnsi="仿宋" w:eastAsia="仿宋" w:cs="仿宋"/>
                <w:sz w:val="24"/>
                <w:szCs w:val="24"/>
              </w:rPr>
            </w:pPr>
          </w:p>
        </w:tc>
        <w:tc>
          <w:tcPr>
            <w:tcW w:w="1537"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3.52</w:t>
            </w:r>
          </w:p>
        </w:tc>
        <w:tc>
          <w:tcPr>
            <w:tcW w:w="1429"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3.52</w:t>
            </w:r>
          </w:p>
        </w:tc>
        <w:tc>
          <w:tcPr>
            <w:tcW w:w="1643"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80" w:firstLineChars="200"/>
              <w:jc w:val="center"/>
              <w:rPr>
                <w:rFonts w:ascii="仿宋" w:hAnsi="仿宋" w:eastAsia="仿宋" w:cs="仿宋"/>
                <w:sz w:val="24"/>
                <w:szCs w:val="24"/>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jc w:val="center"/>
              <w:rPr>
                <w:rFonts w:ascii="仿宋" w:hAnsi="仿宋" w:eastAsia="仿宋" w:cs="仿宋"/>
                <w:sz w:val="24"/>
                <w:szCs w:val="24"/>
              </w:rPr>
            </w:pPr>
            <w:r>
              <w:rPr>
                <w:rFonts w:hint="eastAsia" w:ascii="仿宋" w:hAnsi="仿宋" w:eastAsia="仿宋" w:cs="仿宋"/>
                <w:sz w:val="21"/>
                <w:szCs w:val="21"/>
              </w:rPr>
              <w:t>公务用车运行维护费</w:t>
            </w:r>
          </w:p>
        </w:tc>
        <w:tc>
          <w:tcPr>
            <w:tcW w:w="1398"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1.57</w:t>
            </w:r>
          </w:p>
        </w:tc>
        <w:tc>
          <w:tcPr>
            <w:tcW w:w="1537"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12.35</w:t>
            </w:r>
          </w:p>
        </w:tc>
        <w:tc>
          <w:tcPr>
            <w:tcW w:w="1429"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10.78</w:t>
            </w:r>
          </w:p>
        </w:tc>
        <w:tc>
          <w:tcPr>
            <w:tcW w:w="1643"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686.62%</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其他交通费</w:t>
            </w:r>
          </w:p>
        </w:tc>
        <w:tc>
          <w:tcPr>
            <w:tcW w:w="1398"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75</w:t>
            </w:r>
          </w:p>
        </w:tc>
        <w:tc>
          <w:tcPr>
            <w:tcW w:w="1537"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49.54</w:t>
            </w:r>
          </w:p>
        </w:tc>
        <w:tc>
          <w:tcPr>
            <w:tcW w:w="1429"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-25.46</w:t>
            </w:r>
          </w:p>
        </w:tc>
        <w:tc>
          <w:tcPr>
            <w:tcW w:w="1643"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-33.95%</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税金及附加费用</w:t>
            </w:r>
          </w:p>
        </w:tc>
        <w:tc>
          <w:tcPr>
            <w:tcW w:w="1398"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80" w:firstLineChars="200"/>
              <w:jc w:val="center"/>
              <w:rPr>
                <w:rFonts w:ascii="仿宋" w:hAnsi="仿宋" w:eastAsia="仿宋" w:cs="仿宋"/>
                <w:sz w:val="24"/>
                <w:szCs w:val="24"/>
              </w:rPr>
            </w:pPr>
          </w:p>
        </w:tc>
        <w:tc>
          <w:tcPr>
            <w:tcW w:w="1537"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80" w:firstLineChars="200"/>
              <w:jc w:val="center"/>
              <w:rPr>
                <w:rFonts w:ascii="仿宋" w:hAnsi="仿宋" w:eastAsia="仿宋" w:cs="仿宋"/>
                <w:sz w:val="24"/>
                <w:szCs w:val="24"/>
              </w:rPr>
            </w:pPr>
          </w:p>
        </w:tc>
        <w:tc>
          <w:tcPr>
            <w:tcW w:w="1429"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0</w:t>
            </w:r>
          </w:p>
        </w:tc>
        <w:tc>
          <w:tcPr>
            <w:tcW w:w="1643"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80" w:firstLineChars="200"/>
              <w:jc w:val="center"/>
              <w:rPr>
                <w:rFonts w:ascii="仿宋" w:hAnsi="仿宋" w:eastAsia="仿宋" w:cs="仿宋"/>
                <w:sz w:val="24"/>
                <w:szCs w:val="24"/>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jc w:val="center"/>
              <w:rPr>
                <w:rFonts w:ascii="仿宋" w:hAnsi="仿宋" w:eastAsia="仿宋" w:cs="仿宋"/>
                <w:sz w:val="24"/>
                <w:szCs w:val="24"/>
              </w:rPr>
            </w:pPr>
            <w:r>
              <w:rPr>
                <w:rFonts w:hint="eastAsia" w:ascii="仿宋" w:hAnsi="仿宋" w:eastAsia="仿宋" w:cs="仿宋"/>
                <w:sz w:val="21"/>
                <w:szCs w:val="21"/>
              </w:rPr>
              <w:t>其他商品和服务支出</w:t>
            </w:r>
          </w:p>
        </w:tc>
        <w:tc>
          <w:tcPr>
            <w:tcW w:w="1398"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150</w:t>
            </w:r>
          </w:p>
        </w:tc>
        <w:tc>
          <w:tcPr>
            <w:tcW w:w="1537"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422.46</w:t>
            </w:r>
          </w:p>
        </w:tc>
        <w:tc>
          <w:tcPr>
            <w:tcW w:w="1429"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272.46</w:t>
            </w:r>
          </w:p>
        </w:tc>
        <w:tc>
          <w:tcPr>
            <w:tcW w:w="1643" w:type="dxa"/>
            <w:tcBorders>
              <w:top w:val="nil"/>
              <w:left w:val="nil"/>
              <w:bottom w:val="single" w:color="auto" w:sz="8" w:space="0"/>
              <w:right w:val="single" w:color="auto" w:sz="8" w:space="0"/>
            </w:tcBorders>
            <w:tcMar>
              <w:left w:w="108" w:type="dxa"/>
              <w:right w:w="108"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181.64%</w:t>
            </w:r>
          </w:p>
        </w:tc>
      </w:tr>
      <w:tr>
        <w:tblPrEx>
          <w:tblCellMar>
            <w:top w:w="0" w:type="dxa"/>
            <w:left w:w="0" w:type="dxa"/>
            <w:bottom w:w="0" w:type="dxa"/>
            <w:right w:w="0" w:type="dxa"/>
          </w:tblCellMar>
        </w:tblPrEx>
        <w:trPr>
          <w:trHeight w:val="359" w:hRule="atLeast"/>
          <w:jc w:val="center"/>
        </w:trPr>
        <w:tc>
          <w:tcPr>
            <w:tcW w:w="2133" w:type="dxa"/>
            <w:tcBorders>
              <w:top w:val="nil"/>
              <w:left w:val="single" w:color="auto" w:sz="8" w:space="0"/>
              <w:bottom w:val="single" w:color="auto" w:sz="8" w:space="0"/>
              <w:right w:val="single" w:color="auto" w:sz="8" w:space="0"/>
            </w:tcBorders>
            <w:shd w:val="clear" w:color="auto" w:fill="C0C0C0"/>
            <w:tcMar>
              <w:left w:w="108" w:type="dxa"/>
              <w:right w:w="108"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合计</w:t>
            </w:r>
          </w:p>
        </w:tc>
        <w:tc>
          <w:tcPr>
            <w:tcW w:w="1398" w:type="dxa"/>
            <w:tcBorders>
              <w:top w:val="nil"/>
              <w:left w:val="nil"/>
              <w:bottom w:val="single" w:color="auto" w:sz="8" w:space="0"/>
              <w:right w:val="single" w:color="auto" w:sz="8" w:space="0"/>
            </w:tcBorders>
            <w:shd w:val="clear" w:color="auto" w:fill="C0C0C0"/>
            <w:tcMar>
              <w:left w:w="108" w:type="dxa"/>
              <w:right w:w="108"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1260</w:t>
            </w:r>
          </w:p>
        </w:tc>
        <w:tc>
          <w:tcPr>
            <w:tcW w:w="1537" w:type="dxa"/>
            <w:tcBorders>
              <w:top w:val="nil"/>
              <w:left w:val="nil"/>
              <w:bottom w:val="single" w:color="auto" w:sz="8" w:space="0"/>
              <w:right w:val="single" w:color="auto" w:sz="8" w:space="0"/>
            </w:tcBorders>
            <w:shd w:val="clear" w:color="auto" w:fill="C0C0C0"/>
            <w:tcMar>
              <w:left w:w="108" w:type="dxa"/>
              <w:right w:w="108"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bCs/>
                <w:sz w:val="24"/>
                <w:szCs w:val="24"/>
              </w:rPr>
              <w:t>1526.29</w:t>
            </w:r>
          </w:p>
        </w:tc>
        <w:tc>
          <w:tcPr>
            <w:tcW w:w="1429" w:type="dxa"/>
            <w:tcBorders>
              <w:top w:val="nil"/>
              <w:left w:val="nil"/>
              <w:bottom w:val="single" w:color="auto" w:sz="8" w:space="0"/>
              <w:right w:val="single" w:color="auto" w:sz="8" w:space="0"/>
            </w:tcBorders>
            <w:shd w:val="clear" w:color="auto" w:fill="C0C0C0"/>
            <w:tcMar>
              <w:left w:w="108" w:type="dxa"/>
              <w:right w:w="108"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266.29</w:t>
            </w:r>
          </w:p>
        </w:tc>
        <w:tc>
          <w:tcPr>
            <w:tcW w:w="1643" w:type="dxa"/>
            <w:tcBorders>
              <w:top w:val="nil"/>
              <w:left w:val="nil"/>
              <w:bottom w:val="single" w:color="auto" w:sz="8" w:space="0"/>
              <w:right w:val="single" w:color="auto" w:sz="8" w:space="0"/>
            </w:tcBorders>
            <w:shd w:val="clear" w:color="auto" w:fill="C0C0C0"/>
            <w:tcMar>
              <w:left w:w="108" w:type="dxa"/>
              <w:right w:w="108"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21.13%</w:t>
            </w:r>
          </w:p>
        </w:tc>
      </w:tr>
    </w:tbl>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公租房工程款分批支付，包含咨询费、委托业务费、劳务费等支出项目，导致相应支出项目决算金额上涨；街道亮化改造、下源集中供水等大型项目用电由镇财政负担，导致邮电费上涨；业务工作强度加大导致差旅费增多；重点工程开展导致其他商品和服务支出增加；公务接待次数多导致公务接待费增多，公车出差下乡频率高、垃圾车、洒水车、消防车等公车费用增加，导致公务用车运行维护费增加。</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（3）对个人和家庭的补助</w:t>
      </w:r>
    </w:p>
    <w:tbl>
      <w:tblPr>
        <w:tblStyle w:val="9"/>
        <w:tblW w:w="8364" w:type="dxa"/>
        <w:tblInd w:w="0" w:type="dxa"/>
        <w:tblLayout w:type="fixed"/>
        <w:tblCellMar>
          <w:top w:w="0" w:type="dxa"/>
          <w:left w:w="0" w:type="dxa"/>
          <w:bottom w:w="0" w:type="dxa"/>
          <w:right w:w="0" w:type="dxa"/>
        </w:tblCellMar>
      </w:tblPr>
      <w:tblGrid>
        <w:gridCol w:w="1816"/>
        <w:gridCol w:w="1538"/>
        <w:gridCol w:w="1560"/>
        <w:gridCol w:w="1875"/>
        <w:gridCol w:w="1575"/>
      </w:tblGrid>
      <w:tr>
        <w:tblPrEx>
          <w:tblCellMar>
            <w:top w:w="0" w:type="dxa"/>
            <w:left w:w="0" w:type="dxa"/>
            <w:bottom w:w="0" w:type="dxa"/>
            <w:right w:w="0" w:type="dxa"/>
          </w:tblCellMar>
        </w:tblPrEx>
        <w:trPr>
          <w:trHeight w:val="464" w:hRule="atLeast"/>
        </w:trPr>
        <w:tc>
          <w:tcPr>
            <w:tcW w:w="1816" w:type="dxa"/>
            <w:tcBorders>
              <w:top w:val="single" w:color="000000" w:sz="8" w:space="0"/>
              <w:left w:val="single" w:color="000000" w:sz="8" w:space="0"/>
              <w:bottom w:val="single" w:color="000000" w:sz="8" w:space="0"/>
              <w:right w:val="single" w:color="000000" w:sz="8" w:space="0"/>
            </w:tcBorders>
            <w:shd w:val="clear" w:color="auto" w:fill="C0C0C0"/>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支出项目</w:t>
            </w:r>
          </w:p>
        </w:tc>
        <w:tc>
          <w:tcPr>
            <w:tcW w:w="1538" w:type="dxa"/>
            <w:tcBorders>
              <w:top w:val="single" w:color="000000" w:sz="8" w:space="0"/>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预算金额</w:t>
            </w:r>
          </w:p>
        </w:tc>
        <w:tc>
          <w:tcPr>
            <w:tcW w:w="1560" w:type="dxa"/>
            <w:tcBorders>
              <w:top w:val="single" w:color="000000" w:sz="8" w:space="0"/>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决算金额</w:t>
            </w:r>
          </w:p>
        </w:tc>
        <w:tc>
          <w:tcPr>
            <w:tcW w:w="1875" w:type="dxa"/>
            <w:tcBorders>
              <w:top w:val="single" w:color="000000" w:sz="8" w:space="0"/>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结余/超支金额</w:t>
            </w:r>
          </w:p>
        </w:tc>
        <w:tc>
          <w:tcPr>
            <w:tcW w:w="1575" w:type="dxa"/>
            <w:tcBorders>
              <w:top w:val="single" w:color="000000" w:sz="8" w:space="0"/>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结余/超支率</w:t>
            </w: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离休费</w:t>
            </w:r>
          </w:p>
        </w:tc>
        <w:tc>
          <w:tcPr>
            <w:tcW w:w="1538"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p>
        </w:tc>
        <w:tc>
          <w:tcPr>
            <w:tcW w:w="1560"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p>
        </w:tc>
        <w:tc>
          <w:tcPr>
            <w:tcW w:w="18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p>
        </w:tc>
        <w:tc>
          <w:tcPr>
            <w:tcW w:w="15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退休费</w:t>
            </w:r>
          </w:p>
        </w:tc>
        <w:tc>
          <w:tcPr>
            <w:tcW w:w="1538"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p>
        </w:tc>
        <w:tc>
          <w:tcPr>
            <w:tcW w:w="1560"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p>
        </w:tc>
        <w:tc>
          <w:tcPr>
            <w:tcW w:w="18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p>
        </w:tc>
        <w:tc>
          <w:tcPr>
            <w:tcW w:w="15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spacing w:line="560" w:lineRule="exact"/>
              <w:rPr>
                <w:rFonts w:ascii="仿宋" w:hAnsi="仿宋" w:eastAsia="仿宋" w:cs="仿宋"/>
                <w:sz w:val="24"/>
                <w:szCs w:val="24"/>
              </w:rPr>
            </w:pPr>
            <w:r>
              <w:rPr>
                <w:rFonts w:hint="eastAsia" w:ascii="仿宋" w:hAnsi="仿宋" w:eastAsia="仿宋" w:cs="仿宋"/>
                <w:sz w:val="24"/>
                <w:szCs w:val="24"/>
              </w:rPr>
              <w:t>退职（役）费</w:t>
            </w:r>
          </w:p>
        </w:tc>
        <w:tc>
          <w:tcPr>
            <w:tcW w:w="1538"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p>
        </w:tc>
        <w:tc>
          <w:tcPr>
            <w:tcW w:w="1560"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p>
        </w:tc>
        <w:tc>
          <w:tcPr>
            <w:tcW w:w="18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p>
        </w:tc>
        <w:tc>
          <w:tcPr>
            <w:tcW w:w="15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抚恤金</w:t>
            </w:r>
          </w:p>
        </w:tc>
        <w:tc>
          <w:tcPr>
            <w:tcW w:w="1538"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30</w:t>
            </w:r>
          </w:p>
        </w:tc>
        <w:tc>
          <w:tcPr>
            <w:tcW w:w="1560"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102.34</w:t>
            </w:r>
          </w:p>
        </w:tc>
        <w:tc>
          <w:tcPr>
            <w:tcW w:w="18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72.34</w:t>
            </w:r>
          </w:p>
        </w:tc>
        <w:tc>
          <w:tcPr>
            <w:tcW w:w="15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241.13%</w:t>
            </w: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生活补助</w:t>
            </w:r>
          </w:p>
        </w:tc>
        <w:tc>
          <w:tcPr>
            <w:tcW w:w="1538"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115</w:t>
            </w:r>
          </w:p>
        </w:tc>
        <w:tc>
          <w:tcPr>
            <w:tcW w:w="1560"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56.28</w:t>
            </w:r>
          </w:p>
        </w:tc>
        <w:tc>
          <w:tcPr>
            <w:tcW w:w="18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-58.72</w:t>
            </w:r>
          </w:p>
        </w:tc>
        <w:tc>
          <w:tcPr>
            <w:tcW w:w="15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-51.06%</w:t>
            </w: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救济费</w:t>
            </w:r>
          </w:p>
        </w:tc>
        <w:tc>
          <w:tcPr>
            <w:tcW w:w="1538"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570</w:t>
            </w:r>
          </w:p>
        </w:tc>
        <w:tc>
          <w:tcPr>
            <w:tcW w:w="1560"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146.35</w:t>
            </w:r>
          </w:p>
        </w:tc>
        <w:tc>
          <w:tcPr>
            <w:tcW w:w="18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-423.65</w:t>
            </w:r>
          </w:p>
        </w:tc>
        <w:tc>
          <w:tcPr>
            <w:tcW w:w="15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-74.32%</w:t>
            </w:r>
          </w:p>
        </w:tc>
      </w:tr>
      <w:tr>
        <w:tblPrEx>
          <w:tblCellMar>
            <w:top w:w="0" w:type="dxa"/>
            <w:left w:w="0" w:type="dxa"/>
            <w:bottom w:w="0" w:type="dxa"/>
            <w:right w:w="0" w:type="dxa"/>
          </w:tblCellMar>
        </w:tblPrEx>
        <w:trPr>
          <w:trHeight w:val="470" w:hRule="atLeast"/>
        </w:trPr>
        <w:tc>
          <w:tcPr>
            <w:tcW w:w="1816"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医疗费补助</w:t>
            </w:r>
          </w:p>
        </w:tc>
        <w:tc>
          <w:tcPr>
            <w:tcW w:w="1538"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260</w:t>
            </w:r>
          </w:p>
        </w:tc>
        <w:tc>
          <w:tcPr>
            <w:tcW w:w="1560"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26.55</w:t>
            </w:r>
          </w:p>
        </w:tc>
        <w:tc>
          <w:tcPr>
            <w:tcW w:w="18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-233.45</w:t>
            </w:r>
          </w:p>
        </w:tc>
        <w:tc>
          <w:tcPr>
            <w:tcW w:w="15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-89.79%</w:t>
            </w: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助学金</w:t>
            </w:r>
          </w:p>
        </w:tc>
        <w:tc>
          <w:tcPr>
            <w:tcW w:w="1538"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p>
        </w:tc>
        <w:tc>
          <w:tcPr>
            <w:tcW w:w="1560"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p>
        </w:tc>
        <w:tc>
          <w:tcPr>
            <w:tcW w:w="18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p>
        </w:tc>
        <w:tc>
          <w:tcPr>
            <w:tcW w:w="15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奖励金</w:t>
            </w:r>
          </w:p>
        </w:tc>
        <w:tc>
          <w:tcPr>
            <w:tcW w:w="1538"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50</w:t>
            </w:r>
          </w:p>
        </w:tc>
        <w:tc>
          <w:tcPr>
            <w:tcW w:w="1560"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84.46</w:t>
            </w:r>
          </w:p>
        </w:tc>
        <w:tc>
          <w:tcPr>
            <w:tcW w:w="18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34.46</w:t>
            </w:r>
          </w:p>
        </w:tc>
        <w:tc>
          <w:tcPr>
            <w:tcW w:w="15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68.92%</w:t>
            </w: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spacing w:line="560" w:lineRule="exact"/>
              <w:rPr>
                <w:rFonts w:ascii="仿宋" w:hAnsi="仿宋" w:eastAsia="仿宋" w:cs="仿宋"/>
                <w:sz w:val="24"/>
                <w:szCs w:val="24"/>
              </w:rPr>
            </w:pPr>
            <w:r>
              <w:rPr>
                <w:rFonts w:hint="eastAsia" w:ascii="仿宋" w:hAnsi="仿宋" w:eastAsia="仿宋" w:cs="仿宋"/>
              </w:rPr>
              <w:t>个人农业生产补贴</w:t>
            </w:r>
          </w:p>
        </w:tc>
        <w:tc>
          <w:tcPr>
            <w:tcW w:w="1538"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p>
        </w:tc>
        <w:tc>
          <w:tcPr>
            <w:tcW w:w="1560"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58.30</w:t>
            </w:r>
          </w:p>
        </w:tc>
        <w:tc>
          <w:tcPr>
            <w:tcW w:w="18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58.30</w:t>
            </w:r>
          </w:p>
        </w:tc>
        <w:tc>
          <w:tcPr>
            <w:tcW w:w="15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spacing w:line="560" w:lineRule="exact"/>
              <w:rPr>
                <w:rFonts w:ascii="仿宋" w:hAnsi="仿宋" w:eastAsia="仿宋" w:cs="仿宋"/>
                <w:sz w:val="24"/>
                <w:szCs w:val="24"/>
              </w:rPr>
            </w:pPr>
            <w:r>
              <w:rPr>
                <w:rFonts w:hint="eastAsia" w:ascii="仿宋" w:hAnsi="仿宋" w:eastAsia="仿宋" w:cs="仿宋"/>
                <w:sz w:val="20"/>
                <w:szCs w:val="20"/>
              </w:rPr>
              <w:t>其他对个人和家庭的补助支出</w:t>
            </w:r>
          </w:p>
        </w:tc>
        <w:tc>
          <w:tcPr>
            <w:tcW w:w="1538"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b/>
                <w:bCs/>
                <w:sz w:val="24"/>
                <w:szCs w:val="24"/>
              </w:rPr>
            </w:pPr>
            <w:r>
              <w:rPr>
                <w:rFonts w:hint="eastAsia" w:ascii="仿宋" w:hAnsi="仿宋" w:eastAsia="仿宋" w:cs="仿宋"/>
                <w:sz w:val="24"/>
                <w:szCs w:val="24"/>
              </w:rPr>
              <w:t>435.81</w:t>
            </w:r>
          </w:p>
        </w:tc>
        <w:tc>
          <w:tcPr>
            <w:tcW w:w="1560"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234.04</w:t>
            </w:r>
          </w:p>
        </w:tc>
        <w:tc>
          <w:tcPr>
            <w:tcW w:w="18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-201.77</w:t>
            </w:r>
          </w:p>
        </w:tc>
        <w:tc>
          <w:tcPr>
            <w:tcW w:w="15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-46.3%</w:t>
            </w:r>
          </w:p>
        </w:tc>
      </w:tr>
      <w:tr>
        <w:tblPrEx>
          <w:tblCellMar>
            <w:top w:w="0" w:type="dxa"/>
            <w:left w:w="0" w:type="dxa"/>
            <w:bottom w:w="0" w:type="dxa"/>
            <w:right w:w="0" w:type="dxa"/>
          </w:tblCellMar>
        </w:tblPrEx>
        <w:trPr>
          <w:trHeight w:val="451" w:hRule="atLeast"/>
        </w:trPr>
        <w:tc>
          <w:tcPr>
            <w:tcW w:w="1816" w:type="dxa"/>
            <w:tcBorders>
              <w:top w:val="nil"/>
              <w:left w:val="single" w:color="000000" w:sz="8" w:space="0"/>
              <w:bottom w:val="single" w:color="000000" w:sz="8" w:space="0"/>
              <w:right w:val="single" w:color="000000" w:sz="8" w:space="0"/>
            </w:tcBorders>
            <w:shd w:val="clear" w:color="auto" w:fill="C0C0C0"/>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合计</w:t>
            </w:r>
          </w:p>
        </w:tc>
        <w:tc>
          <w:tcPr>
            <w:tcW w:w="1538" w:type="dxa"/>
            <w:tcBorders>
              <w:top w:val="nil"/>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1460.81</w:t>
            </w:r>
          </w:p>
        </w:tc>
        <w:tc>
          <w:tcPr>
            <w:tcW w:w="1560" w:type="dxa"/>
            <w:tcBorders>
              <w:top w:val="nil"/>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708.32</w:t>
            </w:r>
          </w:p>
        </w:tc>
        <w:tc>
          <w:tcPr>
            <w:tcW w:w="1875" w:type="dxa"/>
            <w:tcBorders>
              <w:top w:val="nil"/>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-752.49</w:t>
            </w:r>
          </w:p>
        </w:tc>
        <w:tc>
          <w:tcPr>
            <w:tcW w:w="1575" w:type="dxa"/>
            <w:tcBorders>
              <w:top w:val="nil"/>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-51.51%</w:t>
            </w:r>
          </w:p>
        </w:tc>
      </w:tr>
    </w:tbl>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退休干部因病去世一人、民政资金加大向基层倾斜力度，导致抚恤金决算增长；上级政策性奖励金拨付增加，导致奖励金支出增长；上级统一安排发放的个人农业生产补贴增加，导致决算金额增长。</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（二）“三公经费”支出使用和管理</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1、“三公经费”预算执行</w:t>
      </w:r>
    </w:p>
    <w:tbl>
      <w:tblPr>
        <w:tblStyle w:val="9"/>
        <w:tblW w:w="8436" w:type="dxa"/>
        <w:jc w:val="center"/>
        <w:tblLayout w:type="fixed"/>
        <w:tblCellMar>
          <w:top w:w="0" w:type="dxa"/>
          <w:left w:w="0" w:type="dxa"/>
          <w:bottom w:w="0" w:type="dxa"/>
          <w:right w:w="0" w:type="dxa"/>
        </w:tblCellMar>
      </w:tblPr>
      <w:tblGrid>
        <w:gridCol w:w="1632"/>
        <w:gridCol w:w="1065"/>
        <w:gridCol w:w="1125"/>
        <w:gridCol w:w="1005"/>
        <w:gridCol w:w="1170"/>
        <w:gridCol w:w="1149"/>
        <w:gridCol w:w="1290"/>
      </w:tblGrid>
      <w:tr>
        <w:tblPrEx>
          <w:tblCellMar>
            <w:top w:w="0" w:type="dxa"/>
            <w:left w:w="0" w:type="dxa"/>
            <w:bottom w:w="0" w:type="dxa"/>
            <w:right w:w="0" w:type="dxa"/>
          </w:tblCellMar>
        </w:tblPrEx>
        <w:trPr>
          <w:trHeight w:val="364" w:hRule="atLeast"/>
          <w:jc w:val="center"/>
        </w:trPr>
        <w:tc>
          <w:tcPr>
            <w:tcW w:w="1632" w:type="dxa"/>
            <w:vMerge w:val="restart"/>
            <w:tcBorders>
              <w:top w:val="single" w:color="000000" w:sz="8" w:space="0"/>
              <w:left w:val="single" w:color="000000" w:sz="8" w:space="0"/>
              <w:bottom w:val="single" w:color="000000" w:sz="8" w:space="0"/>
              <w:right w:val="single" w:color="000000" w:sz="8" w:space="0"/>
            </w:tcBorders>
            <w:shd w:val="clear" w:color="auto" w:fill="D9D9D9"/>
            <w:tcMar>
              <w:left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费用项目</w:t>
            </w:r>
          </w:p>
        </w:tc>
        <w:tc>
          <w:tcPr>
            <w:tcW w:w="2190" w:type="dxa"/>
            <w:gridSpan w:val="2"/>
            <w:tcBorders>
              <w:top w:val="single" w:color="000000" w:sz="8" w:space="0"/>
              <w:left w:val="nil"/>
              <w:bottom w:val="single" w:color="000000" w:sz="8" w:space="0"/>
              <w:right w:val="single" w:color="000000" w:sz="8" w:space="0"/>
            </w:tcBorders>
            <w:shd w:val="clear" w:color="auto" w:fill="D9D9D9"/>
            <w:tcMar>
              <w:left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本年预算</w:t>
            </w:r>
          </w:p>
        </w:tc>
        <w:tc>
          <w:tcPr>
            <w:tcW w:w="2175" w:type="dxa"/>
            <w:gridSpan w:val="2"/>
            <w:tcBorders>
              <w:top w:val="single" w:color="000000" w:sz="8" w:space="0"/>
              <w:left w:val="nil"/>
              <w:bottom w:val="single" w:color="000000" w:sz="8" w:space="0"/>
              <w:right w:val="single" w:color="000000" w:sz="8" w:space="0"/>
            </w:tcBorders>
            <w:shd w:val="clear" w:color="auto" w:fill="D9D9D9"/>
            <w:tcMar>
              <w:left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本年决算</w:t>
            </w:r>
          </w:p>
        </w:tc>
        <w:tc>
          <w:tcPr>
            <w:tcW w:w="2439" w:type="dxa"/>
            <w:gridSpan w:val="2"/>
            <w:tcBorders>
              <w:top w:val="single" w:color="000000" w:sz="8" w:space="0"/>
              <w:left w:val="nil"/>
              <w:bottom w:val="single" w:color="000000" w:sz="8" w:space="0"/>
              <w:right w:val="single" w:color="000000" w:sz="8" w:space="0"/>
            </w:tcBorders>
            <w:shd w:val="clear" w:color="auto" w:fill="D9D9D9"/>
            <w:tcMar>
              <w:left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结余/超支</w:t>
            </w:r>
          </w:p>
        </w:tc>
      </w:tr>
      <w:tr>
        <w:tblPrEx>
          <w:tblCellMar>
            <w:top w:w="0" w:type="dxa"/>
            <w:left w:w="0" w:type="dxa"/>
            <w:bottom w:w="0" w:type="dxa"/>
            <w:right w:w="0" w:type="dxa"/>
          </w:tblCellMar>
        </w:tblPrEx>
        <w:trPr>
          <w:trHeight w:val="580" w:hRule="atLeast"/>
          <w:jc w:val="center"/>
        </w:trPr>
        <w:tc>
          <w:tcPr>
            <w:tcW w:w="1632" w:type="dxa"/>
            <w:vMerge w:val="continue"/>
            <w:tcBorders>
              <w:top w:val="single" w:color="000000" w:sz="8" w:space="0"/>
              <w:left w:val="single" w:color="000000" w:sz="8" w:space="0"/>
              <w:bottom w:val="single" w:color="000000" w:sz="8" w:space="0"/>
              <w:right w:val="single" w:color="000000" w:sz="8" w:space="0"/>
            </w:tcBorders>
            <w:shd w:val="clear" w:color="auto" w:fill="D9D9D9"/>
            <w:tcMar>
              <w:left w:w="15" w:type="dxa"/>
              <w:right w:w="15" w:type="dxa"/>
            </w:tcMar>
            <w:vAlign w:val="center"/>
          </w:tcPr>
          <w:p>
            <w:pPr>
              <w:spacing w:line="560" w:lineRule="exact"/>
              <w:ind w:firstLine="480" w:firstLineChars="200"/>
              <w:jc w:val="center"/>
              <w:rPr>
                <w:rFonts w:ascii="仿宋" w:hAnsi="仿宋" w:eastAsia="仿宋" w:cs="仿宋"/>
                <w:sz w:val="24"/>
                <w:szCs w:val="24"/>
              </w:rPr>
            </w:pPr>
          </w:p>
        </w:tc>
        <w:tc>
          <w:tcPr>
            <w:tcW w:w="1065" w:type="dxa"/>
            <w:tcBorders>
              <w:top w:val="nil"/>
              <w:left w:val="nil"/>
              <w:bottom w:val="single" w:color="000000" w:sz="8" w:space="0"/>
              <w:right w:val="single" w:color="000000" w:sz="8" w:space="0"/>
            </w:tcBorders>
            <w:shd w:val="clear" w:color="auto" w:fill="D9D9D9"/>
            <w:tcMar>
              <w:left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基本支出</w:t>
            </w:r>
          </w:p>
        </w:tc>
        <w:tc>
          <w:tcPr>
            <w:tcW w:w="1125" w:type="dxa"/>
            <w:tcBorders>
              <w:top w:val="nil"/>
              <w:left w:val="nil"/>
              <w:bottom w:val="single" w:color="000000" w:sz="8" w:space="0"/>
              <w:right w:val="single" w:color="000000" w:sz="8" w:space="0"/>
            </w:tcBorders>
            <w:shd w:val="clear" w:color="auto" w:fill="D9D9D9"/>
            <w:tcMar>
              <w:left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项目支出</w:t>
            </w:r>
          </w:p>
        </w:tc>
        <w:tc>
          <w:tcPr>
            <w:tcW w:w="1005" w:type="dxa"/>
            <w:tcBorders>
              <w:top w:val="nil"/>
              <w:left w:val="nil"/>
              <w:bottom w:val="single" w:color="000000" w:sz="8" w:space="0"/>
              <w:right w:val="single" w:color="000000" w:sz="8" w:space="0"/>
            </w:tcBorders>
            <w:shd w:val="clear" w:color="auto" w:fill="D9D9D9"/>
            <w:tcMar>
              <w:left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基本支出</w:t>
            </w:r>
          </w:p>
        </w:tc>
        <w:tc>
          <w:tcPr>
            <w:tcW w:w="1170" w:type="dxa"/>
            <w:tcBorders>
              <w:top w:val="nil"/>
              <w:left w:val="nil"/>
              <w:bottom w:val="single" w:color="000000" w:sz="8" w:space="0"/>
              <w:right w:val="single" w:color="000000" w:sz="8" w:space="0"/>
            </w:tcBorders>
            <w:shd w:val="clear" w:color="auto" w:fill="D9D9D9"/>
            <w:tcMar>
              <w:left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项目支出</w:t>
            </w:r>
          </w:p>
        </w:tc>
        <w:tc>
          <w:tcPr>
            <w:tcW w:w="1149" w:type="dxa"/>
            <w:tcBorders>
              <w:top w:val="nil"/>
              <w:left w:val="nil"/>
              <w:bottom w:val="single" w:color="000000" w:sz="8" w:space="0"/>
              <w:right w:val="single" w:color="000000" w:sz="8" w:space="0"/>
            </w:tcBorders>
            <w:shd w:val="clear" w:color="auto" w:fill="D9D9D9"/>
            <w:tcMar>
              <w:left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基本支出</w:t>
            </w:r>
          </w:p>
        </w:tc>
        <w:tc>
          <w:tcPr>
            <w:tcW w:w="1290" w:type="dxa"/>
            <w:tcBorders>
              <w:top w:val="nil"/>
              <w:left w:val="nil"/>
              <w:bottom w:val="single" w:color="000000" w:sz="8" w:space="0"/>
              <w:right w:val="single" w:color="000000" w:sz="8" w:space="0"/>
            </w:tcBorders>
            <w:shd w:val="clear" w:color="auto" w:fill="D9D9D9"/>
            <w:tcMar>
              <w:left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项目支出</w:t>
            </w:r>
          </w:p>
        </w:tc>
      </w:tr>
      <w:tr>
        <w:tblPrEx>
          <w:tblCellMar>
            <w:top w:w="0" w:type="dxa"/>
            <w:left w:w="0" w:type="dxa"/>
            <w:bottom w:w="0" w:type="dxa"/>
            <w:right w:w="0" w:type="dxa"/>
          </w:tblCellMar>
        </w:tblPrEx>
        <w:trPr>
          <w:trHeight w:val="364" w:hRule="atLeast"/>
          <w:jc w:val="center"/>
        </w:trPr>
        <w:tc>
          <w:tcPr>
            <w:tcW w:w="1632" w:type="dxa"/>
            <w:tcBorders>
              <w:top w:val="nil"/>
              <w:left w:val="single" w:color="000000" w:sz="8" w:space="0"/>
              <w:bottom w:val="single" w:color="000000" w:sz="8" w:space="0"/>
              <w:right w:val="single" w:color="000000" w:sz="8" w:space="0"/>
            </w:tcBorders>
            <w:tcMar>
              <w:left w:w="15" w:type="dxa"/>
              <w:right w:w="15" w:type="dxa"/>
            </w:tcMar>
            <w:vAlign w:val="center"/>
          </w:tcPr>
          <w:p>
            <w:pPr>
              <w:spacing w:line="560" w:lineRule="exact"/>
              <w:rPr>
                <w:rFonts w:ascii="仿宋" w:hAnsi="仿宋" w:eastAsia="仿宋" w:cs="仿宋"/>
                <w:sz w:val="24"/>
                <w:szCs w:val="24"/>
              </w:rPr>
            </w:pPr>
            <w:r>
              <w:rPr>
                <w:rFonts w:hint="eastAsia" w:ascii="仿宋" w:hAnsi="仿宋" w:eastAsia="仿宋" w:cs="仿宋"/>
                <w:sz w:val="24"/>
                <w:szCs w:val="24"/>
              </w:rPr>
              <w:t>公务接待费</w:t>
            </w:r>
          </w:p>
        </w:tc>
        <w:tc>
          <w:tcPr>
            <w:tcW w:w="1065" w:type="dxa"/>
            <w:tcBorders>
              <w:top w:val="nil"/>
              <w:left w:val="nil"/>
              <w:bottom w:val="single" w:color="000000" w:sz="8" w:space="0"/>
              <w:right w:val="single" w:color="000000" w:sz="8" w:space="0"/>
            </w:tcBorders>
            <w:tcMar>
              <w:left w:w="15" w:type="dxa"/>
              <w:right w:w="15" w:type="dxa"/>
            </w:tcMar>
          </w:tcPr>
          <w:p>
            <w:pPr>
              <w:spacing w:line="560" w:lineRule="exact"/>
              <w:ind w:firstLine="480" w:firstLineChars="200"/>
              <w:rPr>
                <w:rFonts w:ascii="仿宋" w:hAnsi="仿宋" w:eastAsia="仿宋" w:cs="仿宋"/>
                <w:sz w:val="24"/>
                <w:szCs w:val="24"/>
              </w:rPr>
            </w:pPr>
            <w:r>
              <w:rPr>
                <w:rFonts w:hint="eastAsia" w:ascii="仿宋" w:hAnsi="仿宋" w:eastAsia="仿宋" w:cs="仿宋"/>
                <w:sz w:val="24"/>
                <w:szCs w:val="24"/>
              </w:rPr>
              <w:t>9</w:t>
            </w:r>
          </w:p>
        </w:tc>
        <w:tc>
          <w:tcPr>
            <w:tcW w:w="1125" w:type="dxa"/>
            <w:tcBorders>
              <w:top w:val="nil"/>
              <w:left w:val="nil"/>
              <w:bottom w:val="single" w:color="000000" w:sz="8" w:space="0"/>
              <w:right w:val="single" w:color="000000" w:sz="8" w:space="0"/>
            </w:tcBorders>
            <w:tcMar>
              <w:left w:w="15" w:type="dxa"/>
              <w:right w:w="15" w:type="dxa"/>
            </w:tcMar>
          </w:tcPr>
          <w:p>
            <w:pPr>
              <w:spacing w:line="560" w:lineRule="exact"/>
              <w:ind w:firstLine="480" w:firstLineChars="200"/>
              <w:jc w:val="center"/>
              <w:rPr>
                <w:rFonts w:ascii="仿宋" w:hAnsi="仿宋" w:eastAsia="仿宋" w:cs="仿宋"/>
                <w:sz w:val="24"/>
                <w:szCs w:val="24"/>
              </w:rPr>
            </w:pPr>
          </w:p>
        </w:tc>
        <w:tc>
          <w:tcPr>
            <w:tcW w:w="1005" w:type="dxa"/>
            <w:tcBorders>
              <w:top w:val="nil"/>
              <w:left w:val="nil"/>
              <w:bottom w:val="single" w:color="000000" w:sz="8" w:space="0"/>
              <w:right w:val="single" w:color="000000" w:sz="8" w:space="0"/>
            </w:tcBorders>
            <w:tcMar>
              <w:left w:w="15" w:type="dxa"/>
              <w:right w:w="15" w:type="dxa"/>
            </w:tcMar>
          </w:tcPr>
          <w:p>
            <w:pPr>
              <w:spacing w:line="560" w:lineRule="exact"/>
              <w:jc w:val="center"/>
              <w:rPr>
                <w:rFonts w:ascii="仿宋" w:hAnsi="仿宋" w:eastAsia="仿宋" w:cs="仿宋"/>
                <w:sz w:val="24"/>
                <w:szCs w:val="24"/>
              </w:rPr>
            </w:pPr>
            <w:r>
              <w:rPr>
                <w:rFonts w:hint="eastAsia" w:ascii="仿宋" w:hAnsi="仿宋" w:eastAsia="仿宋" w:cs="仿宋"/>
                <w:sz w:val="24"/>
                <w:szCs w:val="24"/>
              </w:rPr>
              <w:t xml:space="preserve"> 27.91</w:t>
            </w:r>
          </w:p>
        </w:tc>
        <w:tc>
          <w:tcPr>
            <w:tcW w:w="1170" w:type="dxa"/>
            <w:tcBorders>
              <w:top w:val="nil"/>
              <w:left w:val="nil"/>
              <w:bottom w:val="single" w:color="000000" w:sz="8" w:space="0"/>
              <w:right w:val="single" w:color="000000" w:sz="8" w:space="0"/>
            </w:tcBorders>
            <w:tcMar>
              <w:left w:w="15" w:type="dxa"/>
              <w:right w:w="15" w:type="dxa"/>
            </w:tcMar>
          </w:tcPr>
          <w:p>
            <w:pPr>
              <w:spacing w:line="560" w:lineRule="exact"/>
              <w:ind w:firstLine="480" w:firstLineChars="200"/>
              <w:jc w:val="center"/>
              <w:rPr>
                <w:rFonts w:ascii="仿宋" w:hAnsi="仿宋" w:eastAsia="仿宋" w:cs="仿宋"/>
                <w:sz w:val="24"/>
                <w:szCs w:val="24"/>
              </w:rPr>
            </w:pPr>
          </w:p>
        </w:tc>
        <w:tc>
          <w:tcPr>
            <w:tcW w:w="1149" w:type="dxa"/>
            <w:tcBorders>
              <w:top w:val="nil"/>
              <w:left w:val="nil"/>
              <w:bottom w:val="single" w:color="000000" w:sz="8" w:space="0"/>
              <w:right w:val="single" w:color="000000" w:sz="8" w:space="0"/>
            </w:tcBorders>
            <w:tcMar>
              <w:left w:w="15" w:type="dxa"/>
              <w:right w:w="15" w:type="dxa"/>
            </w:tcMar>
          </w:tcPr>
          <w:p>
            <w:pPr>
              <w:spacing w:line="560" w:lineRule="exact"/>
              <w:ind w:left="371" w:leftChars="114" w:hanging="120" w:hangingChars="50"/>
              <w:rPr>
                <w:rFonts w:ascii="仿宋" w:hAnsi="仿宋" w:eastAsia="仿宋" w:cs="仿宋"/>
                <w:sz w:val="24"/>
                <w:szCs w:val="24"/>
              </w:rPr>
            </w:pPr>
            <w:r>
              <w:rPr>
                <w:rFonts w:hint="eastAsia" w:ascii="仿宋" w:hAnsi="仿宋" w:eastAsia="仿宋" w:cs="仿宋"/>
                <w:sz w:val="24"/>
                <w:szCs w:val="24"/>
              </w:rPr>
              <w:t>18.91</w:t>
            </w:r>
          </w:p>
        </w:tc>
        <w:tc>
          <w:tcPr>
            <w:tcW w:w="1290" w:type="dxa"/>
            <w:tcBorders>
              <w:top w:val="nil"/>
              <w:left w:val="nil"/>
              <w:bottom w:val="single" w:color="000000" w:sz="8" w:space="0"/>
              <w:right w:val="single" w:color="000000" w:sz="8" w:space="0"/>
            </w:tcBorders>
            <w:tcMar>
              <w:left w:w="15" w:type="dxa"/>
              <w:right w:w="15" w:type="dxa"/>
            </w:tcMar>
          </w:tcPr>
          <w:p>
            <w:pPr>
              <w:spacing w:line="560" w:lineRule="exact"/>
              <w:ind w:firstLine="480" w:firstLineChars="200"/>
              <w:jc w:val="center"/>
              <w:rPr>
                <w:rFonts w:ascii="仿宋" w:hAnsi="仿宋" w:eastAsia="仿宋" w:cs="仿宋"/>
                <w:sz w:val="24"/>
                <w:szCs w:val="24"/>
              </w:rPr>
            </w:pPr>
          </w:p>
        </w:tc>
      </w:tr>
      <w:tr>
        <w:tblPrEx>
          <w:tblCellMar>
            <w:top w:w="0" w:type="dxa"/>
            <w:left w:w="0" w:type="dxa"/>
            <w:bottom w:w="0" w:type="dxa"/>
            <w:right w:w="0" w:type="dxa"/>
          </w:tblCellMar>
        </w:tblPrEx>
        <w:trPr>
          <w:trHeight w:val="400" w:hRule="atLeast"/>
          <w:jc w:val="center"/>
        </w:trPr>
        <w:tc>
          <w:tcPr>
            <w:tcW w:w="1632" w:type="dxa"/>
            <w:tcBorders>
              <w:top w:val="nil"/>
              <w:left w:val="single" w:color="000000" w:sz="8" w:space="0"/>
              <w:bottom w:val="single" w:color="000000" w:sz="8" w:space="0"/>
              <w:right w:val="single" w:color="000000" w:sz="8" w:space="0"/>
            </w:tcBorders>
            <w:tcMar>
              <w:left w:w="15" w:type="dxa"/>
              <w:right w:w="15" w:type="dxa"/>
            </w:tcMar>
            <w:vAlign w:val="center"/>
          </w:tcPr>
          <w:p>
            <w:pPr>
              <w:spacing w:line="560" w:lineRule="exact"/>
              <w:rPr>
                <w:rFonts w:ascii="仿宋" w:hAnsi="仿宋" w:eastAsia="仿宋" w:cs="仿宋"/>
                <w:sz w:val="24"/>
                <w:szCs w:val="24"/>
              </w:rPr>
            </w:pPr>
            <w:r>
              <w:rPr>
                <w:rFonts w:hint="eastAsia" w:ascii="仿宋" w:hAnsi="仿宋" w:eastAsia="仿宋" w:cs="仿宋"/>
              </w:rPr>
              <w:t>公车运行维护费</w:t>
            </w:r>
          </w:p>
        </w:tc>
        <w:tc>
          <w:tcPr>
            <w:tcW w:w="1065" w:type="dxa"/>
            <w:tcBorders>
              <w:top w:val="nil"/>
              <w:left w:val="nil"/>
              <w:bottom w:val="single" w:color="000000" w:sz="8" w:space="0"/>
              <w:right w:val="single" w:color="000000" w:sz="8" w:space="0"/>
            </w:tcBorders>
            <w:tcMar>
              <w:left w:w="15" w:type="dxa"/>
              <w:right w:w="15" w:type="dxa"/>
            </w:tcMar>
          </w:tcPr>
          <w:p>
            <w:pPr>
              <w:spacing w:line="560" w:lineRule="exact"/>
              <w:jc w:val="center"/>
              <w:rPr>
                <w:rFonts w:ascii="仿宋" w:hAnsi="仿宋" w:eastAsia="仿宋" w:cs="仿宋"/>
                <w:sz w:val="24"/>
                <w:szCs w:val="24"/>
              </w:rPr>
            </w:pPr>
            <w:r>
              <w:rPr>
                <w:rFonts w:hint="eastAsia" w:ascii="仿宋" w:hAnsi="仿宋" w:eastAsia="仿宋" w:cs="仿宋"/>
                <w:sz w:val="24"/>
                <w:szCs w:val="24"/>
              </w:rPr>
              <w:t>1.56</w:t>
            </w:r>
          </w:p>
        </w:tc>
        <w:tc>
          <w:tcPr>
            <w:tcW w:w="1125" w:type="dxa"/>
            <w:tcBorders>
              <w:top w:val="nil"/>
              <w:left w:val="nil"/>
              <w:bottom w:val="single" w:color="000000" w:sz="8" w:space="0"/>
              <w:right w:val="single" w:color="000000" w:sz="8" w:space="0"/>
            </w:tcBorders>
            <w:tcMar>
              <w:left w:w="15" w:type="dxa"/>
              <w:right w:w="15" w:type="dxa"/>
            </w:tcMar>
          </w:tcPr>
          <w:p>
            <w:pPr>
              <w:spacing w:line="560" w:lineRule="exact"/>
              <w:ind w:firstLine="480" w:firstLineChars="200"/>
              <w:jc w:val="center"/>
              <w:rPr>
                <w:rFonts w:ascii="仿宋" w:hAnsi="仿宋" w:eastAsia="仿宋" w:cs="仿宋"/>
                <w:sz w:val="24"/>
                <w:szCs w:val="24"/>
              </w:rPr>
            </w:pPr>
          </w:p>
        </w:tc>
        <w:tc>
          <w:tcPr>
            <w:tcW w:w="1005" w:type="dxa"/>
            <w:tcBorders>
              <w:top w:val="nil"/>
              <w:left w:val="nil"/>
              <w:bottom w:val="single" w:color="000000" w:sz="8" w:space="0"/>
              <w:right w:val="single" w:color="000000" w:sz="8" w:space="0"/>
            </w:tcBorders>
            <w:tcMar>
              <w:left w:w="15" w:type="dxa"/>
              <w:right w:w="15" w:type="dxa"/>
            </w:tcMar>
          </w:tcPr>
          <w:p>
            <w:pPr>
              <w:spacing w:line="560" w:lineRule="exact"/>
              <w:jc w:val="center"/>
              <w:rPr>
                <w:rFonts w:ascii="仿宋" w:hAnsi="仿宋" w:eastAsia="仿宋" w:cs="仿宋"/>
                <w:sz w:val="24"/>
                <w:szCs w:val="24"/>
              </w:rPr>
            </w:pPr>
            <w:r>
              <w:rPr>
                <w:rFonts w:hint="eastAsia" w:ascii="仿宋" w:hAnsi="仿宋" w:eastAsia="仿宋" w:cs="仿宋"/>
                <w:sz w:val="24"/>
                <w:szCs w:val="24"/>
              </w:rPr>
              <w:t xml:space="preserve"> 12.35</w:t>
            </w:r>
          </w:p>
        </w:tc>
        <w:tc>
          <w:tcPr>
            <w:tcW w:w="1170" w:type="dxa"/>
            <w:tcBorders>
              <w:top w:val="nil"/>
              <w:left w:val="nil"/>
              <w:bottom w:val="single" w:color="000000" w:sz="8" w:space="0"/>
              <w:right w:val="single" w:color="000000" w:sz="8" w:space="0"/>
            </w:tcBorders>
            <w:tcMar>
              <w:left w:w="15" w:type="dxa"/>
              <w:right w:w="15" w:type="dxa"/>
            </w:tcMar>
          </w:tcPr>
          <w:p>
            <w:pPr>
              <w:spacing w:line="560" w:lineRule="exact"/>
              <w:ind w:firstLine="480" w:firstLineChars="200"/>
              <w:jc w:val="center"/>
              <w:rPr>
                <w:rFonts w:ascii="仿宋" w:hAnsi="仿宋" w:eastAsia="仿宋" w:cs="仿宋"/>
                <w:sz w:val="24"/>
                <w:szCs w:val="24"/>
              </w:rPr>
            </w:pPr>
          </w:p>
        </w:tc>
        <w:tc>
          <w:tcPr>
            <w:tcW w:w="1149" w:type="dxa"/>
            <w:tcBorders>
              <w:top w:val="nil"/>
              <w:left w:val="nil"/>
              <w:bottom w:val="single" w:color="000000" w:sz="8" w:space="0"/>
              <w:right w:val="single" w:color="000000" w:sz="8" w:space="0"/>
            </w:tcBorders>
            <w:tcMar>
              <w:left w:w="15" w:type="dxa"/>
              <w:right w:w="15" w:type="dxa"/>
            </w:tcMar>
          </w:tcPr>
          <w:p>
            <w:pPr>
              <w:spacing w:line="560" w:lineRule="exact"/>
              <w:ind w:left="371" w:leftChars="114" w:hanging="120" w:hangingChars="50"/>
              <w:rPr>
                <w:rFonts w:ascii="仿宋" w:hAnsi="仿宋" w:eastAsia="仿宋" w:cs="仿宋"/>
                <w:sz w:val="24"/>
                <w:szCs w:val="24"/>
              </w:rPr>
            </w:pPr>
            <w:r>
              <w:rPr>
                <w:rFonts w:hint="eastAsia" w:ascii="仿宋" w:hAnsi="仿宋" w:eastAsia="仿宋" w:cs="仿宋"/>
                <w:sz w:val="24"/>
                <w:szCs w:val="24"/>
              </w:rPr>
              <w:t>10.79</w:t>
            </w:r>
          </w:p>
        </w:tc>
        <w:tc>
          <w:tcPr>
            <w:tcW w:w="1290" w:type="dxa"/>
            <w:tcBorders>
              <w:top w:val="nil"/>
              <w:left w:val="nil"/>
              <w:bottom w:val="single" w:color="000000" w:sz="8" w:space="0"/>
              <w:right w:val="single" w:color="000000" w:sz="8" w:space="0"/>
            </w:tcBorders>
            <w:tcMar>
              <w:left w:w="15" w:type="dxa"/>
              <w:right w:w="15" w:type="dxa"/>
            </w:tcMar>
          </w:tcPr>
          <w:p>
            <w:pPr>
              <w:spacing w:line="560" w:lineRule="exact"/>
              <w:ind w:firstLine="480" w:firstLineChars="200"/>
              <w:jc w:val="center"/>
              <w:rPr>
                <w:rFonts w:ascii="仿宋" w:hAnsi="仿宋" w:eastAsia="仿宋" w:cs="仿宋"/>
                <w:sz w:val="24"/>
                <w:szCs w:val="24"/>
              </w:rPr>
            </w:pPr>
          </w:p>
        </w:tc>
      </w:tr>
      <w:tr>
        <w:tblPrEx>
          <w:tblCellMar>
            <w:top w:w="0" w:type="dxa"/>
            <w:left w:w="0" w:type="dxa"/>
            <w:bottom w:w="0" w:type="dxa"/>
            <w:right w:w="0" w:type="dxa"/>
          </w:tblCellMar>
        </w:tblPrEx>
        <w:trPr>
          <w:trHeight w:val="430" w:hRule="atLeast"/>
          <w:jc w:val="center"/>
        </w:trPr>
        <w:tc>
          <w:tcPr>
            <w:tcW w:w="1632" w:type="dxa"/>
            <w:tcBorders>
              <w:top w:val="nil"/>
              <w:left w:val="single" w:color="000000" w:sz="8" w:space="0"/>
              <w:bottom w:val="single" w:color="000000" w:sz="8" w:space="0"/>
              <w:right w:val="single" w:color="000000" w:sz="8" w:space="0"/>
            </w:tcBorders>
            <w:tcMar>
              <w:left w:w="15" w:type="dxa"/>
              <w:right w:w="15" w:type="dxa"/>
            </w:tcMar>
            <w:vAlign w:val="center"/>
          </w:tcPr>
          <w:p>
            <w:pPr>
              <w:spacing w:line="560" w:lineRule="exact"/>
              <w:rPr>
                <w:rFonts w:ascii="仿宋" w:hAnsi="仿宋" w:eastAsia="仿宋" w:cs="仿宋"/>
                <w:sz w:val="24"/>
                <w:szCs w:val="24"/>
              </w:rPr>
            </w:pPr>
            <w:r>
              <w:rPr>
                <w:rFonts w:hint="eastAsia" w:ascii="仿宋" w:hAnsi="仿宋" w:eastAsia="仿宋" w:cs="仿宋"/>
                <w:sz w:val="24"/>
                <w:szCs w:val="24"/>
              </w:rPr>
              <w:t>公务车购置费</w:t>
            </w:r>
          </w:p>
        </w:tc>
        <w:tc>
          <w:tcPr>
            <w:tcW w:w="1065" w:type="dxa"/>
            <w:tcBorders>
              <w:top w:val="nil"/>
              <w:left w:val="nil"/>
              <w:bottom w:val="single" w:color="000000" w:sz="8" w:space="0"/>
              <w:right w:val="single" w:color="000000" w:sz="8" w:space="0"/>
            </w:tcBorders>
            <w:tcMar>
              <w:left w:w="15" w:type="dxa"/>
              <w:right w:w="15" w:type="dxa"/>
            </w:tcMar>
          </w:tcPr>
          <w:p>
            <w:pPr>
              <w:spacing w:line="560" w:lineRule="exact"/>
              <w:ind w:firstLine="480" w:firstLineChars="200"/>
              <w:jc w:val="center"/>
              <w:rPr>
                <w:rFonts w:ascii="仿宋" w:hAnsi="仿宋" w:eastAsia="仿宋" w:cs="仿宋"/>
                <w:sz w:val="24"/>
                <w:szCs w:val="24"/>
              </w:rPr>
            </w:pPr>
          </w:p>
        </w:tc>
        <w:tc>
          <w:tcPr>
            <w:tcW w:w="1125" w:type="dxa"/>
            <w:tcBorders>
              <w:top w:val="nil"/>
              <w:left w:val="nil"/>
              <w:bottom w:val="single" w:color="000000" w:sz="8" w:space="0"/>
              <w:right w:val="single" w:color="000000" w:sz="8" w:space="0"/>
            </w:tcBorders>
            <w:tcMar>
              <w:left w:w="15" w:type="dxa"/>
              <w:right w:w="15" w:type="dxa"/>
            </w:tcMar>
          </w:tcPr>
          <w:p>
            <w:pPr>
              <w:spacing w:line="560" w:lineRule="exact"/>
              <w:ind w:firstLine="480" w:firstLineChars="200"/>
              <w:jc w:val="center"/>
              <w:rPr>
                <w:rFonts w:ascii="仿宋" w:hAnsi="仿宋" w:eastAsia="仿宋" w:cs="仿宋"/>
                <w:sz w:val="24"/>
                <w:szCs w:val="24"/>
              </w:rPr>
            </w:pPr>
          </w:p>
        </w:tc>
        <w:tc>
          <w:tcPr>
            <w:tcW w:w="1005" w:type="dxa"/>
            <w:tcBorders>
              <w:top w:val="nil"/>
              <w:left w:val="nil"/>
              <w:bottom w:val="single" w:color="000000" w:sz="8" w:space="0"/>
              <w:right w:val="single" w:color="000000" w:sz="8" w:space="0"/>
            </w:tcBorders>
            <w:tcMar>
              <w:left w:w="15" w:type="dxa"/>
              <w:right w:w="15" w:type="dxa"/>
            </w:tcMar>
          </w:tcPr>
          <w:p>
            <w:pPr>
              <w:spacing w:line="560" w:lineRule="exact"/>
              <w:ind w:firstLine="480" w:firstLineChars="200"/>
              <w:jc w:val="center"/>
              <w:rPr>
                <w:rFonts w:ascii="仿宋" w:hAnsi="仿宋" w:eastAsia="仿宋" w:cs="仿宋"/>
                <w:sz w:val="24"/>
                <w:szCs w:val="24"/>
              </w:rPr>
            </w:pPr>
          </w:p>
        </w:tc>
        <w:tc>
          <w:tcPr>
            <w:tcW w:w="1170" w:type="dxa"/>
            <w:tcBorders>
              <w:top w:val="nil"/>
              <w:left w:val="nil"/>
              <w:bottom w:val="single" w:color="000000" w:sz="8" w:space="0"/>
              <w:right w:val="single" w:color="000000" w:sz="8" w:space="0"/>
            </w:tcBorders>
            <w:tcMar>
              <w:left w:w="15" w:type="dxa"/>
              <w:right w:w="15" w:type="dxa"/>
            </w:tcMar>
          </w:tcPr>
          <w:p>
            <w:pPr>
              <w:spacing w:line="560" w:lineRule="exact"/>
              <w:ind w:firstLine="480" w:firstLineChars="200"/>
              <w:jc w:val="center"/>
              <w:rPr>
                <w:rFonts w:ascii="仿宋" w:hAnsi="仿宋" w:eastAsia="仿宋" w:cs="仿宋"/>
                <w:sz w:val="24"/>
                <w:szCs w:val="24"/>
              </w:rPr>
            </w:pPr>
          </w:p>
        </w:tc>
        <w:tc>
          <w:tcPr>
            <w:tcW w:w="1149" w:type="dxa"/>
            <w:tcBorders>
              <w:top w:val="nil"/>
              <w:left w:val="nil"/>
              <w:bottom w:val="single" w:color="000000" w:sz="8" w:space="0"/>
              <w:right w:val="single" w:color="000000" w:sz="8" w:space="0"/>
            </w:tcBorders>
            <w:tcMar>
              <w:left w:w="15" w:type="dxa"/>
              <w:right w:w="15" w:type="dxa"/>
            </w:tcMar>
          </w:tcPr>
          <w:p>
            <w:pPr>
              <w:spacing w:line="560" w:lineRule="exact"/>
              <w:ind w:firstLine="480" w:firstLineChars="200"/>
              <w:jc w:val="center"/>
              <w:rPr>
                <w:rFonts w:ascii="仿宋" w:hAnsi="仿宋" w:eastAsia="仿宋" w:cs="仿宋"/>
                <w:sz w:val="24"/>
                <w:szCs w:val="24"/>
              </w:rPr>
            </w:pPr>
          </w:p>
        </w:tc>
        <w:tc>
          <w:tcPr>
            <w:tcW w:w="1290" w:type="dxa"/>
            <w:tcBorders>
              <w:top w:val="nil"/>
              <w:left w:val="nil"/>
              <w:bottom w:val="single" w:color="000000" w:sz="8" w:space="0"/>
              <w:right w:val="single" w:color="000000" w:sz="8" w:space="0"/>
            </w:tcBorders>
            <w:tcMar>
              <w:left w:w="15" w:type="dxa"/>
              <w:right w:w="15" w:type="dxa"/>
            </w:tcMar>
          </w:tcPr>
          <w:p>
            <w:pPr>
              <w:spacing w:line="560" w:lineRule="exact"/>
              <w:ind w:firstLine="480" w:firstLineChars="200"/>
              <w:jc w:val="center"/>
              <w:rPr>
                <w:rFonts w:ascii="仿宋" w:hAnsi="仿宋" w:eastAsia="仿宋" w:cs="仿宋"/>
                <w:sz w:val="24"/>
                <w:szCs w:val="24"/>
              </w:rPr>
            </w:pPr>
          </w:p>
        </w:tc>
      </w:tr>
      <w:tr>
        <w:tblPrEx>
          <w:tblCellMar>
            <w:top w:w="0" w:type="dxa"/>
            <w:left w:w="0" w:type="dxa"/>
            <w:bottom w:w="0" w:type="dxa"/>
            <w:right w:w="0" w:type="dxa"/>
          </w:tblCellMar>
        </w:tblPrEx>
        <w:trPr>
          <w:trHeight w:val="364" w:hRule="atLeast"/>
          <w:jc w:val="center"/>
        </w:trPr>
        <w:tc>
          <w:tcPr>
            <w:tcW w:w="1632" w:type="dxa"/>
            <w:tcBorders>
              <w:top w:val="nil"/>
              <w:left w:val="single" w:color="000000" w:sz="8" w:space="0"/>
              <w:bottom w:val="single" w:color="000000" w:sz="8" w:space="0"/>
              <w:right w:val="single" w:color="000000" w:sz="8" w:space="0"/>
            </w:tcBorders>
            <w:tcMar>
              <w:left w:w="15" w:type="dxa"/>
              <w:right w:w="15" w:type="dxa"/>
            </w:tcMar>
            <w:vAlign w:val="center"/>
          </w:tcPr>
          <w:p>
            <w:pPr>
              <w:spacing w:line="560" w:lineRule="exact"/>
              <w:rPr>
                <w:rFonts w:ascii="仿宋" w:hAnsi="仿宋" w:eastAsia="仿宋" w:cs="仿宋"/>
                <w:sz w:val="24"/>
                <w:szCs w:val="24"/>
              </w:rPr>
            </w:pPr>
            <w:r>
              <w:rPr>
                <w:rFonts w:hint="eastAsia" w:ascii="仿宋" w:hAnsi="仿宋" w:eastAsia="仿宋" w:cs="仿宋"/>
                <w:sz w:val="24"/>
                <w:szCs w:val="24"/>
              </w:rPr>
              <w:t>因公出国费用</w:t>
            </w:r>
          </w:p>
        </w:tc>
        <w:tc>
          <w:tcPr>
            <w:tcW w:w="1065" w:type="dxa"/>
            <w:tcBorders>
              <w:top w:val="nil"/>
              <w:left w:val="nil"/>
              <w:bottom w:val="single" w:color="000000" w:sz="8" w:space="0"/>
              <w:right w:val="single" w:color="000000" w:sz="8" w:space="0"/>
            </w:tcBorders>
            <w:tcMar>
              <w:left w:w="15" w:type="dxa"/>
              <w:right w:w="15" w:type="dxa"/>
            </w:tcMar>
          </w:tcPr>
          <w:p>
            <w:pPr>
              <w:spacing w:line="560" w:lineRule="exact"/>
              <w:ind w:firstLine="480" w:firstLineChars="200"/>
              <w:jc w:val="center"/>
              <w:rPr>
                <w:rFonts w:ascii="仿宋" w:hAnsi="仿宋" w:eastAsia="仿宋" w:cs="仿宋"/>
                <w:sz w:val="24"/>
                <w:szCs w:val="24"/>
              </w:rPr>
            </w:pPr>
          </w:p>
        </w:tc>
        <w:tc>
          <w:tcPr>
            <w:tcW w:w="1125" w:type="dxa"/>
            <w:tcBorders>
              <w:top w:val="nil"/>
              <w:left w:val="nil"/>
              <w:bottom w:val="single" w:color="000000" w:sz="8" w:space="0"/>
              <w:right w:val="single" w:color="000000" w:sz="8" w:space="0"/>
            </w:tcBorders>
            <w:tcMar>
              <w:left w:w="15" w:type="dxa"/>
              <w:right w:w="15" w:type="dxa"/>
            </w:tcMar>
          </w:tcPr>
          <w:p>
            <w:pPr>
              <w:spacing w:line="560" w:lineRule="exact"/>
              <w:ind w:firstLine="480" w:firstLineChars="200"/>
              <w:jc w:val="center"/>
              <w:rPr>
                <w:rFonts w:ascii="仿宋" w:hAnsi="仿宋" w:eastAsia="仿宋" w:cs="仿宋"/>
                <w:sz w:val="24"/>
                <w:szCs w:val="24"/>
              </w:rPr>
            </w:pPr>
          </w:p>
        </w:tc>
        <w:tc>
          <w:tcPr>
            <w:tcW w:w="1005" w:type="dxa"/>
            <w:tcBorders>
              <w:top w:val="nil"/>
              <w:left w:val="nil"/>
              <w:bottom w:val="single" w:color="000000" w:sz="8" w:space="0"/>
              <w:right w:val="single" w:color="000000" w:sz="8" w:space="0"/>
            </w:tcBorders>
            <w:tcMar>
              <w:left w:w="15" w:type="dxa"/>
              <w:right w:w="15" w:type="dxa"/>
            </w:tcMar>
          </w:tcPr>
          <w:p>
            <w:pPr>
              <w:spacing w:line="560" w:lineRule="exact"/>
              <w:ind w:firstLine="480" w:firstLineChars="200"/>
              <w:jc w:val="center"/>
              <w:rPr>
                <w:rFonts w:ascii="仿宋" w:hAnsi="仿宋" w:eastAsia="仿宋" w:cs="仿宋"/>
                <w:sz w:val="24"/>
                <w:szCs w:val="24"/>
              </w:rPr>
            </w:pPr>
          </w:p>
        </w:tc>
        <w:tc>
          <w:tcPr>
            <w:tcW w:w="1170" w:type="dxa"/>
            <w:tcBorders>
              <w:top w:val="nil"/>
              <w:left w:val="nil"/>
              <w:bottom w:val="single" w:color="000000" w:sz="8" w:space="0"/>
              <w:right w:val="single" w:color="000000" w:sz="8" w:space="0"/>
            </w:tcBorders>
            <w:tcMar>
              <w:left w:w="15" w:type="dxa"/>
              <w:right w:w="15" w:type="dxa"/>
            </w:tcMar>
          </w:tcPr>
          <w:p>
            <w:pPr>
              <w:spacing w:line="560" w:lineRule="exact"/>
              <w:ind w:firstLine="480" w:firstLineChars="200"/>
              <w:jc w:val="center"/>
              <w:rPr>
                <w:rFonts w:ascii="仿宋" w:hAnsi="仿宋" w:eastAsia="仿宋" w:cs="仿宋"/>
                <w:sz w:val="24"/>
                <w:szCs w:val="24"/>
              </w:rPr>
            </w:pPr>
          </w:p>
        </w:tc>
        <w:tc>
          <w:tcPr>
            <w:tcW w:w="1149" w:type="dxa"/>
            <w:tcBorders>
              <w:top w:val="nil"/>
              <w:left w:val="nil"/>
              <w:bottom w:val="single" w:color="000000" w:sz="8" w:space="0"/>
              <w:right w:val="single" w:color="000000" w:sz="8" w:space="0"/>
            </w:tcBorders>
            <w:tcMar>
              <w:left w:w="15" w:type="dxa"/>
              <w:right w:w="15" w:type="dxa"/>
            </w:tcMar>
          </w:tcPr>
          <w:p>
            <w:pPr>
              <w:spacing w:line="560" w:lineRule="exact"/>
              <w:ind w:firstLine="480" w:firstLineChars="200"/>
              <w:jc w:val="center"/>
              <w:rPr>
                <w:rFonts w:ascii="仿宋" w:hAnsi="仿宋" w:eastAsia="仿宋" w:cs="仿宋"/>
                <w:sz w:val="24"/>
                <w:szCs w:val="24"/>
              </w:rPr>
            </w:pPr>
          </w:p>
        </w:tc>
        <w:tc>
          <w:tcPr>
            <w:tcW w:w="1290" w:type="dxa"/>
            <w:tcBorders>
              <w:top w:val="nil"/>
              <w:left w:val="nil"/>
              <w:bottom w:val="single" w:color="000000" w:sz="8" w:space="0"/>
              <w:right w:val="single" w:color="000000" w:sz="8" w:space="0"/>
            </w:tcBorders>
            <w:tcMar>
              <w:left w:w="15" w:type="dxa"/>
              <w:right w:w="15" w:type="dxa"/>
            </w:tcMar>
          </w:tcPr>
          <w:p>
            <w:pPr>
              <w:spacing w:line="560" w:lineRule="exact"/>
              <w:ind w:firstLine="480" w:firstLineChars="200"/>
              <w:jc w:val="center"/>
              <w:rPr>
                <w:rFonts w:ascii="仿宋" w:hAnsi="仿宋" w:eastAsia="仿宋" w:cs="仿宋"/>
                <w:sz w:val="24"/>
                <w:szCs w:val="24"/>
              </w:rPr>
            </w:pPr>
          </w:p>
        </w:tc>
      </w:tr>
      <w:tr>
        <w:tblPrEx>
          <w:tblCellMar>
            <w:top w:w="0" w:type="dxa"/>
            <w:left w:w="0" w:type="dxa"/>
            <w:bottom w:w="0" w:type="dxa"/>
            <w:right w:w="0" w:type="dxa"/>
          </w:tblCellMar>
        </w:tblPrEx>
        <w:trPr>
          <w:trHeight w:val="364" w:hRule="atLeast"/>
          <w:jc w:val="center"/>
        </w:trPr>
        <w:tc>
          <w:tcPr>
            <w:tcW w:w="1632" w:type="dxa"/>
            <w:tcBorders>
              <w:top w:val="nil"/>
              <w:left w:val="single" w:color="000000" w:sz="8" w:space="0"/>
              <w:bottom w:val="single" w:color="000000" w:sz="8" w:space="0"/>
              <w:right w:val="single" w:color="000000" w:sz="8" w:space="0"/>
            </w:tcBorders>
            <w:tcMar>
              <w:left w:w="15" w:type="dxa"/>
              <w:right w:w="15" w:type="dxa"/>
            </w:tcMar>
            <w:vAlign w:val="center"/>
          </w:tcPr>
          <w:p>
            <w:pPr>
              <w:spacing w:line="560" w:lineRule="exact"/>
              <w:ind w:firstLine="480" w:firstLineChars="200"/>
              <w:jc w:val="center"/>
              <w:rPr>
                <w:rFonts w:ascii="仿宋" w:hAnsi="仿宋" w:eastAsia="仿宋" w:cs="仿宋"/>
                <w:sz w:val="24"/>
                <w:szCs w:val="24"/>
              </w:rPr>
            </w:pPr>
          </w:p>
        </w:tc>
        <w:tc>
          <w:tcPr>
            <w:tcW w:w="1065" w:type="dxa"/>
            <w:tcBorders>
              <w:top w:val="nil"/>
              <w:left w:val="nil"/>
              <w:bottom w:val="single" w:color="000000" w:sz="8" w:space="0"/>
              <w:right w:val="single" w:color="000000" w:sz="8" w:space="0"/>
            </w:tcBorders>
            <w:tcMar>
              <w:left w:w="15" w:type="dxa"/>
              <w:right w:w="15" w:type="dxa"/>
            </w:tcMar>
          </w:tcPr>
          <w:p>
            <w:pPr>
              <w:spacing w:line="560" w:lineRule="exact"/>
              <w:ind w:firstLine="480" w:firstLineChars="200"/>
              <w:jc w:val="center"/>
              <w:rPr>
                <w:rFonts w:ascii="仿宋" w:hAnsi="仿宋" w:eastAsia="仿宋" w:cs="仿宋"/>
                <w:sz w:val="24"/>
                <w:szCs w:val="24"/>
              </w:rPr>
            </w:pPr>
          </w:p>
        </w:tc>
        <w:tc>
          <w:tcPr>
            <w:tcW w:w="1125" w:type="dxa"/>
            <w:tcBorders>
              <w:top w:val="nil"/>
              <w:left w:val="nil"/>
              <w:bottom w:val="single" w:color="000000" w:sz="8" w:space="0"/>
              <w:right w:val="single" w:color="000000" w:sz="8" w:space="0"/>
            </w:tcBorders>
            <w:tcMar>
              <w:left w:w="15" w:type="dxa"/>
              <w:right w:w="15" w:type="dxa"/>
            </w:tcMar>
          </w:tcPr>
          <w:p>
            <w:pPr>
              <w:spacing w:line="560" w:lineRule="exact"/>
              <w:ind w:firstLine="480" w:firstLineChars="200"/>
              <w:jc w:val="center"/>
              <w:rPr>
                <w:rFonts w:ascii="仿宋" w:hAnsi="仿宋" w:eastAsia="仿宋" w:cs="仿宋"/>
                <w:sz w:val="24"/>
                <w:szCs w:val="24"/>
              </w:rPr>
            </w:pPr>
          </w:p>
        </w:tc>
        <w:tc>
          <w:tcPr>
            <w:tcW w:w="1005" w:type="dxa"/>
            <w:tcBorders>
              <w:top w:val="nil"/>
              <w:left w:val="nil"/>
              <w:bottom w:val="single" w:color="000000" w:sz="8" w:space="0"/>
              <w:right w:val="single" w:color="000000" w:sz="8" w:space="0"/>
            </w:tcBorders>
            <w:tcMar>
              <w:left w:w="15" w:type="dxa"/>
              <w:right w:w="15" w:type="dxa"/>
            </w:tcMar>
          </w:tcPr>
          <w:p>
            <w:pPr>
              <w:spacing w:line="560" w:lineRule="exact"/>
              <w:ind w:firstLine="480" w:firstLineChars="200"/>
              <w:jc w:val="center"/>
              <w:rPr>
                <w:rFonts w:ascii="仿宋" w:hAnsi="仿宋" w:eastAsia="仿宋" w:cs="仿宋"/>
                <w:sz w:val="24"/>
                <w:szCs w:val="24"/>
              </w:rPr>
            </w:pPr>
          </w:p>
        </w:tc>
        <w:tc>
          <w:tcPr>
            <w:tcW w:w="1170" w:type="dxa"/>
            <w:tcBorders>
              <w:top w:val="nil"/>
              <w:left w:val="nil"/>
              <w:bottom w:val="single" w:color="000000" w:sz="8" w:space="0"/>
              <w:right w:val="single" w:color="000000" w:sz="8" w:space="0"/>
            </w:tcBorders>
            <w:tcMar>
              <w:left w:w="15" w:type="dxa"/>
              <w:right w:w="15" w:type="dxa"/>
            </w:tcMar>
          </w:tcPr>
          <w:p>
            <w:pPr>
              <w:spacing w:line="560" w:lineRule="exact"/>
              <w:ind w:firstLine="480" w:firstLineChars="200"/>
              <w:jc w:val="center"/>
              <w:rPr>
                <w:rFonts w:ascii="仿宋" w:hAnsi="仿宋" w:eastAsia="仿宋" w:cs="仿宋"/>
                <w:sz w:val="24"/>
                <w:szCs w:val="24"/>
              </w:rPr>
            </w:pPr>
          </w:p>
        </w:tc>
        <w:tc>
          <w:tcPr>
            <w:tcW w:w="1149" w:type="dxa"/>
            <w:tcBorders>
              <w:top w:val="nil"/>
              <w:left w:val="nil"/>
              <w:bottom w:val="single" w:color="000000" w:sz="8" w:space="0"/>
              <w:right w:val="single" w:color="000000" w:sz="8" w:space="0"/>
            </w:tcBorders>
            <w:tcMar>
              <w:left w:w="15" w:type="dxa"/>
              <w:right w:w="15" w:type="dxa"/>
            </w:tcMar>
          </w:tcPr>
          <w:p>
            <w:pPr>
              <w:spacing w:line="560" w:lineRule="exact"/>
              <w:ind w:firstLine="480" w:firstLineChars="200"/>
              <w:jc w:val="center"/>
              <w:rPr>
                <w:rFonts w:ascii="仿宋" w:hAnsi="仿宋" w:eastAsia="仿宋" w:cs="仿宋"/>
                <w:sz w:val="24"/>
                <w:szCs w:val="24"/>
              </w:rPr>
            </w:pPr>
          </w:p>
        </w:tc>
        <w:tc>
          <w:tcPr>
            <w:tcW w:w="1290" w:type="dxa"/>
            <w:tcBorders>
              <w:top w:val="nil"/>
              <w:left w:val="nil"/>
              <w:bottom w:val="single" w:color="000000" w:sz="8" w:space="0"/>
              <w:right w:val="single" w:color="000000" w:sz="8" w:space="0"/>
            </w:tcBorders>
            <w:tcMar>
              <w:left w:w="15" w:type="dxa"/>
              <w:right w:w="15" w:type="dxa"/>
            </w:tcMar>
          </w:tcPr>
          <w:p>
            <w:pPr>
              <w:spacing w:line="560" w:lineRule="exact"/>
              <w:ind w:firstLine="480" w:firstLineChars="200"/>
              <w:jc w:val="center"/>
              <w:rPr>
                <w:rFonts w:ascii="仿宋" w:hAnsi="仿宋" w:eastAsia="仿宋" w:cs="仿宋"/>
                <w:sz w:val="24"/>
                <w:szCs w:val="24"/>
              </w:rPr>
            </w:pPr>
          </w:p>
        </w:tc>
      </w:tr>
      <w:tr>
        <w:tblPrEx>
          <w:tblCellMar>
            <w:top w:w="0" w:type="dxa"/>
            <w:left w:w="0" w:type="dxa"/>
            <w:bottom w:w="0" w:type="dxa"/>
            <w:right w:w="0" w:type="dxa"/>
          </w:tblCellMar>
        </w:tblPrEx>
        <w:trPr>
          <w:trHeight w:val="399" w:hRule="atLeast"/>
          <w:jc w:val="center"/>
        </w:trPr>
        <w:tc>
          <w:tcPr>
            <w:tcW w:w="1632" w:type="dxa"/>
            <w:tcBorders>
              <w:top w:val="nil"/>
              <w:left w:val="single" w:color="000000" w:sz="8" w:space="0"/>
              <w:bottom w:val="single" w:color="000000" w:sz="8" w:space="0"/>
              <w:right w:val="single" w:color="000000" w:sz="8" w:space="0"/>
            </w:tcBorders>
            <w:shd w:val="clear" w:color="auto" w:fill="D9D9D9"/>
            <w:tcMar>
              <w:left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合计</w:t>
            </w:r>
          </w:p>
        </w:tc>
        <w:tc>
          <w:tcPr>
            <w:tcW w:w="1065" w:type="dxa"/>
            <w:tcBorders>
              <w:top w:val="nil"/>
              <w:left w:val="nil"/>
              <w:bottom w:val="single" w:color="000000" w:sz="8" w:space="0"/>
              <w:right w:val="single" w:color="000000" w:sz="8" w:space="0"/>
            </w:tcBorders>
            <w:shd w:val="clear" w:color="auto" w:fill="D9D9D9"/>
            <w:tcMar>
              <w:left w:w="15" w:type="dxa"/>
              <w:right w:w="15" w:type="dxa"/>
            </w:tcMar>
          </w:tcPr>
          <w:p>
            <w:pPr>
              <w:spacing w:line="560" w:lineRule="exact"/>
              <w:ind w:left="371" w:leftChars="114" w:hanging="120" w:hangingChars="50"/>
              <w:rPr>
                <w:rFonts w:ascii="仿宋" w:hAnsi="仿宋" w:eastAsia="仿宋" w:cs="仿宋"/>
                <w:sz w:val="24"/>
                <w:szCs w:val="24"/>
              </w:rPr>
            </w:pPr>
            <w:r>
              <w:rPr>
                <w:rFonts w:hint="eastAsia" w:ascii="仿宋" w:hAnsi="仿宋" w:eastAsia="仿宋" w:cs="仿宋"/>
                <w:sz w:val="24"/>
                <w:szCs w:val="24"/>
              </w:rPr>
              <w:t>10.56</w:t>
            </w:r>
          </w:p>
        </w:tc>
        <w:tc>
          <w:tcPr>
            <w:tcW w:w="1125" w:type="dxa"/>
            <w:tcBorders>
              <w:top w:val="nil"/>
              <w:left w:val="nil"/>
              <w:bottom w:val="single" w:color="000000" w:sz="8" w:space="0"/>
              <w:right w:val="single" w:color="000000" w:sz="8" w:space="0"/>
            </w:tcBorders>
            <w:shd w:val="clear" w:color="auto" w:fill="D9D9D9"/>
            <w:tcMar>
              <w:left w:w="15" w:type="dxa"/>
              <w:right w:w="15" w:type="dxa"/>
            </w:tcMar>
          </w:tcPr>
          <w:p>
            <w:pPr>
              <w:spacing w:line="560" w:lineRule="exact"/>
              <w:ind w:firstLine="480" w:firstLineChars="200"/>
              <w:jc w:val="center"/>
              <w:rPr>
                <w:rFonts w:ascii="仿宋" w:hAnsi="仿宋" w:eastAsia="仿宋" w:cs="仿宋"/>
                <w:sz w:val="24"/>
                <w:szCs w:val="24"/>
              </w:rPr>
            </w:pPr>
          </w:p>
        </w:tc>
        <w:tc>
          <w:tcPr>
            <w:tcW w:w="1005" w:type="dxa"/>
            <w:tcBorders>
              <w:top w:val="nil"/>
              <w:left w:val="nil"/>
              <w:bottom w:val="single" w:color="000000" w:sz="8" w:space="0"/>
              <w:right w:val="single" w:color="000000" w:sz="8" w:space="0"/>
            </w:tcBorders>
            <w:shd w:val="clear" w:color="auto" w:fill="D9D9D9"/>
            <w:tcMar>
              <w:left w:w="15" w:type="dxa"/>
              <w:right w:w="15" w:type="dxa"/>
            </w:tcMar>
          </w:tcPr>
          <w:p>
            <w:pPr>
              <w:spacing w:line="560" w:lineRule="exact"/>
              <w:ind w:left="371" w:leftChars="114" w:hanging="120" w:hangingChars="50"/>
              <w:rPr>
                <w:rFonts w:ascii="仿宋" w:hAnsi="仿宋" w:eastAsia="仿宋" w:cs="仿宋"/>
                <w:sz w:val="24"/>
                <w:szCs w:val="24"/>
              </w:rPr>
            </w:pPr>
            <w:r>
              <w:rPr>
                <w:rFonts w:hint="eastAsia" w:ascii="仿宋" w:hAnsi="仿宋" w:eastAsia="仿宋" w:cs="仿宋"/>
                <w:sz w:val="24"/>
                <w:szCs w:val="24"/>
              </w:rPr>
              <w:t>40.26</w:t>
            </w:r>
          </w:p>
        </w:tc>
        <w:tc>
          <w:tcPr>
            <w:tcW w:w="1170" w:type="dxa"/>
            <w:tcBorders>
              <w:top w:val="nil"/>
              <w:left w:val="nil"/>
              <w:bottom w:val="single" w:color="000000" w:sz="8" w:space="0"/>
              <w:right w:val="single" w:color="000000" w:sz="8" w:space="0"/>
            </w:tcBorders>
            <w:shd w:val="clear" w:color="auto" w:fill="D9D9D9"/>
            <w:tcMar>
              <w:left w:w="15" w:type="dxa"/>
              <w:right w:w="15" w:type="dxa"/>
            </w:tcMar>
          </w:tcPr>
          <w:p>
            <w:pPr>
              <w:spacing w:line="560" w:lineRule="exact"/>
              <w:ind w:firstLine="480" w:firstLineChars="200"/>
              <w:jc w:val="center"/>
              <w:rPr>
                <w:rFonts w:ascii="仿宋" w:hAnsi="仿宋" w:eastAsia="仿宋" w:cs="仿宋"/>
                <w:sz w:val="24"/>
                <w:szCs w:val="24"/>
              </w:rPr>
            </w:pPr>
          </w:p>
        </w:tc>
        <w:tc>
          <w:tcPr>
            <w:tcW w:w="1149" w:type="dxa"/>
            <w:tcBorders>
              <w:top w:val="nil"/>
              <w:left w:val="nil"/>
              <w:bottom w:val="single" w:color="000000" w:sz="8" w:space="0"/>
              <w:right w:val="single" w:color="000000" w:sz="8" w:space="0"/>
            </w:tcBorders>
            <w:shd w:val="clear" w:color="auto" w:fill="D9D9D9"/>
            <w:tcMar>
              <w:left w:w="15" w:type="dxa"/>
              <w:right w:w="15" w:type="dxa"/>
            </w:tcMar>
          </w:tcPr>
          <w:p>
            <w:pPr>
              <w:spacing w:line="560" w:lineRule="exact"/>
              <w:ind w:firstLine="480" w:firstLineChars="200"/>
              <w:rPr>
                <w:rFonts w:ascii="仿宋" w:hAnsi="仿宋" w:eastAsia="仿宋" w:cs="仿宋"/>
                <w:sz w:val="24"/>
                <w:szCs w:val="24"/>
              </w:rPr>
            </w:pPr>
            <w:r>
              <w:rPr>
                <w:rFonts w:hint="eastAsia" w:ascii="仿宋" w:hAnsi="仿宋" w:eastAsia="仿宋" w:cs="仿宋"/>
                <w:sz w:val="24"/>
                <w:szCs w:val="24"/>
              </w:rPr>
              <w:t>29.7</w:t>
            </w:r>
          </w:p>
        </w:tc>
        <w:tc>
          <w:tcPr>
            <w:tcW w:w="1290" w:type="dxa"/>
            <w:tcBorders>
              <w:top w:val="nil"/>
              <w:left w:val="nil"/>
              <w:bottom w:val="single" w:color="000000" w:sz="8" w:space="0"/>
              <w:right w:val="single" w:color="000000" w:sz="8" w:space="0"/>
            </w:tcBorders>
            <w:shd w:val="clear" w:color="auto" w:fill="D9D9D9"/>
            <w:tcMar>
              <w:left w:w="15" w:type="dxa"/>
              <w:right w:w="15" w:type="dxa"/>
            </w:tcMar>
          </w:tcPr>
          <w:p>
            <w:pPr>
              <w:spacing w:line="560" w:lineRule="exact"/>
              <w:ind w:firstLine="480" w:firstLineChars="200"/>
              <w:jc w:val="center"/>
              <w:rPr>
                <w:rFonts w:ascii="仿宋" w:hAnsi="仿宋" w:eastAsia="仿宋" w:cs="仿宋"/>
                <w:sz w:val="24"/>
                <w:szCs w:val="24"/>
              </w:rPr>
            </w:pPr>
          </w:p>
        </w:tc>
      </w:tr>
    </w:tbl>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由于2020年重点工作迎检任务重，尤其是扶贫工作经历了长达一个月的省检查组交叉检查，导致公务接待费超出预算增长较多。公车运行维护费增多是由于年初预算并未将洒水车、消防车、垃圾车等公车的运行维护费考虑进去，同时本年度行政公车由于工作任务重使用频率增加，也导致了运行维护费增加。</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2、“三公经费”与上年度比较</w:t>
      </w:r>
    </w:p>
    <w:tbl>
      <w:tblPr>
        <w:tblStyle w:val="9"/>
        <w:tblW w:w="0" w:type="auto"/>
        <w:jc w:val="center"/>
        <w:tblLayout w:type="fixed"/>
        <w:tblCellMar>
          <w:top w:w="0" w:type="dxa"/>
          <w:left w:w="0" w:type="dxa"/>
          <w:bottom w:w="0" w:type="dxa"/>
          <w:right w:w="0" w:type="dxa"/>
        </w:tblCellMar>
      </w:tblPr>
      <w:tblGrid>
        <w:gridCol w:w="1795"/>
        <w:gridCol w:w="1179"/>
        <w:gridCol w:w="1255"/>
        <w:gridCol w:w="1249"/>
        <w:gridCol w:w="2477"/>
      </w:tblGrid>
      <w:tr>
        <w:tblPrEx>
          <w:tblCellMar>
            <w:top w:w="0" w:type="dxa"/>
            <w:left w:w="0" w:type="dxa"/>
            <w:bottom w:w="0" w:type="dxa"/>
            <w:right w:w="0" w:type="dxa"/>
          </w:tblCellMar>
        </w:tblPrEx>
        <w:trPr>
          <w:trHeight w:val="331" w:hRule="atLeast"/>
          <w:jc w:val="center"/>
        </w:trPr>
        <w:tc>
          <w:tcPr>
            <w:tcW w:w="1795" w:type="dxa"/>
            <w:tcBorders>
              <w:top w:val="single" w:color="000000" w:sz="8" w:space="0"/>
              <w:left w:val="single" w:color="000000" w:sz="8" w:space="0"/>
              <w:bottom w:val="single" w:color="000000" w:sz="8" w:space="0"/>
              <w:right w:val="single" w:color="000000" w:sz="8" w:space="0"/>
            </w:tcBorders>
            <w:shd w:val="clear" w:color="auto" w:fill="D9D9D9"/>
            <w:tcMar>
              <w:left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费用项目</w:t>
            </w:r>
          </w:p>
        </w:tc>
        <w:tc>
          <w:tcPr>
            <w:tcW w:w="1179" w:type="dxa"/>
            <w:tcBorders>
              <w:top w:val="single" w:color="000000" w:sz="8" w:space="0"/>
              <w:left w:val="nil"/>
              <w:bottom w:val="single" w:color="000000" w:sz="8" w:space="0"/>
              <w:right w:val="single" w:color="000000" w:sz="8" w:space="0"/>
            </w:tcBorders>
            <w:shd w:val="clear" w:color="auto" w:fill="D9D9D9"/>
            <w:tcMar>
              <w:left w:w="15" w:type="dxa"/>
              <w:right w:w="15" w:type="dxa"/>
            </w:tcMar>
            <w:vAlign w:val="center"/>
          </w:tcPr>
          <w:p>
            <w:pPr>
              <w:spacing w:line="560" w:lineRule="exact"/>
              <w:rPr>
                <w:rFonts w:ascii="仿宋" w:hAnsi="仿宋" w:eastAsia="仿宋" w:cs="仿宋"/>
                <w:sz w:val="24"/>
                <w:szCs w:val="24"/>
              </w:rPr>
            </w:pPr>
            <w:r>
              <w:rPr>
                <w:rFonts w:hint="eastAsia" w:ascii="仿宋" w:hAnsi="仿宋" w:eastAsia="仿宋" w:cs="仿宋"/>
                <w:sz w:val="24"/>
                <w:szCs w:val="24"/>
              </w:rPr>
              <w:t>本年金额</w:t>
            </w:r>
          </w:p>
        </w:tc>
        <w:tc>
          <w:tcPr>
            <w:tcW w:w="1255" w:type="dxa"/>
            <w:tcBorders>
              <w:top w:val="single" w:color="000000" w:sz="8" w:space="0"/>
              <w:left w:val="nil"/>
              <w:bottom w:val="single" w:color="000000" w:sz="8" w:space="0"/>
              <w:right w:val="single" w:color="000000" w:sz="8" w:space="0"/>
            </w:tcBorders>
            <w:shd w:val="clear" w:color="auto" w:fill="D9D9D9"/>
            <w:tcMar>
              <w:left w:w="15" w:type="dxa"/>
              <w:right w:w="15" w:type="dxa"/>
            </w:tcMar>
            <w:vAlign w:val="center"/>
          </w:tcPr>
          <w:p>
            <w:pPr>
              <w:spacing w:line="560" w:lineRule="exact"/>
              <w:rPr>
                <w:rFonts w:ascii="仿宋" w:hAnsi="仿宋" w:eastAsia="仿宋" w:cs="仿宋"/>
                <w:sz w:val="24"/>
                <w:szCs w:val="24"/>
              </w:rPr>
            </w:pPr>
            <w:r>
              <w:rPr>
                <w:rFonts w:hint="eastAsia" w:ascii="仿宋" w:hAnsi="仿宋" w:eastAsia="仿宋" w:cs="仿宋"/>
                <w:sz w:val="24"/>
                <w:szCs w:val="24"/>
              </w:rPr>
              <w:t>上年金额</w:t>
            </w:r>
          </w:p>
        </w:tc>
        <w:tc>
          <w:tcPr>
            <w:tcW w:w="1249" w:type="dxa"/>
            <w:tcBorders>
              <w:top w:val="single" w:color="000000" w:sz="8" w:space="0"/>
              <w:left w:val="nil"/>
              <w:bottom w:val="single" w:color="000000" w:sz="8" w:space="0"/>
              <w:right w:val="single" w:color="000000" w:sz="8" w:space="0"/>
            </w:tcBorders>
            <w:shd w:val="clear" w:color="auto" w:fill="D9D9D9"/>
            <w:tcMar>
              <w:left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增减额</w:t>
            </w:r>
          </w:p>
        </w:tc>
        <w:tc>
          <w:tcPr>
            <w:tcW w:w="2477" w:type="dxa"/>
            <w:tcBorders>
              <w:top w:val="single" w:color="000000" w:sz="8" w:space="0"/>
              <w:left w:val="nil"/>
              <w:bottom w:val="single" w:color="000000" w:sz="8" w:space="0"/>
              <w:right w:val="single" w:color="000000" w:sz="8" w:space="0"/>
            </w:tcBorders>
            <w:shd w:val="clear" w:color="auto" w:fill="D9D9D9"/>
            <w:tcMar>
              <w:left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增减率%</w:t>
            </w:r>
          </w:p>
        </w:tc>
      </w:tr>
      <w:tr>
        <w:tblPrEx>
          <w:tblCellMar>
            <w:top w:w="0" w:type="dxa"/>
            <w:left w:w="0" w:type="dxa"/>
            <w:bottom w:w="0" w:type="dxa"/>
            <w:right w:w="0" w:type="dxa"/>
          </w:tblCellMar>
        </w:tblPrEx>
        <w:trPr>
          <w:trHeight w:val="331" w:hRule="atLeast"/>
          <w:jc w:val="center"/>
        </w:trPr>
        <w:tc>
          <w:tcPr>
            <w:tcW w:w="1795" w:type="dxa"/>
            <w:tcBorders>
              <w:top w:val="nil"/>
              <w:left w:val="single" w:color="000000" w:sz="8" w:space="0"/>
              <w:bottom w:val="single" w:color="000000" w:sz="8" w:space="0"/>
              <w:right w:val="single" w:color="000000" w:sz="8" w:space="0"/>
            </w:tcBorders>
            <w:tcMar>
              <w:left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公务接待费</w:t>
            </w:r>
          </w:p>
        </w:tc>
        <w:tc>
          <w:tcPr>
            <w:tcW w:w="1179" w:type="dxa"/>
            <w:tcBorders>
              <w:top w:val="nil"/>
              <w:left w:val="nil"/>
              <w:bottom w:val="single" w:color="000000" w:sz="8" w:space="0"/>
              <w:right w:val="single" w:color="000000" w:sz="8" w:space="0"/>
            </w:tcBorders>
            <w:tcMar>
              <w:left w:w="15" w:type="dxa"/>
              <w:right w:w="15" w:type="dxa"/>
            </w:tcMa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27.91</w:t>
            </w:r>
          </w:p>
        </w:tc>
        <w:tc>
          <w:tcPr>
            <w:tcW w:w="1255" w:type="dxa"/>
            <w:tcBorders>
              <w:top w:val="nil"/>
              <w:left w:val="nil"/>
              <w:bottom w:val="single" w:color="000000" w:sz="8" w:space="0"/>
              <w:right w:val="single" w:color="000000" w:sz="8" w:space="0"/>
            </w:tcBorders>
            <w:tcMar>
              <w:left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42.72</w:t>
            </w:r>
          </w:p>
        </w:tc>
        <w:tc>
          <w:tcPr>
            <w:tcW w:w="1249" w:type="dxa"/>
            <w:tcBorders>
              <w:top w:val="nil"/>
              <w:left w:val="nil"/>
              <w:bottom w:val="single" w:color="000000" w:sz="8" w:space="0"/>
              <w:right w:val="single" w:color="000000" w:sz="8" w:space="0"/>
            </w:tcBorders>
            <w:tcMar>
              <w:left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-14.81</w:t>
            </w:r>
          </w:p>
        </w:tc>
        <w:tc>
          <w:tcPr>
            <w:tcW w:w="2477" w:type="dxa"/>
            <w:tcBorders>
              <w:top w:val="nil"/>
              <w:left w:val="nil"/>
              <w:bottom w:val="single" w:color="000000" w:sz="8" w:space="0"/>
              <w:right w:val="single" w:color="000000" w:sz="8" w:space="0"/>
            </w:tcBorders>
            <w:tcMar>
              <w:left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-34.67%</w:t>
            </w:r>
          </w:p>
        </w:tc>
      </w:tr>
      <w:tr>
        <w:tblPrEx>
          <w:tblCellMar>
            <w:top w:w="0" w:type="dxa"/>
            <w:left w:w="0" w:type="dxa"/>
            <w:bottom w:w="0" w:type="dxa"/>
            <w:right w:w="0" w:type="dxa"/>
          </w:tblCellMar>
        </w:tblPrEx>
        <w:trPr>
          <w:trHeight w:val="331" w:hRule="atLeast"/>
          <w:jc w:val="center"/>
        </w:trPr>
        <w:tc>
          <w:tcPr>
            <w:tcW w:w="1795" w:type="dxa"/>
            <w:tcBorders>
              <w:top w:val="nil"/>
              <w:left w:val="single" w:color="000000" w:sz="8" w:space="0"/>
              <w:bottom w:val="single" w:color="000000" w:sz="8" w:space="0"/>
              <w:right w:val="single" w:color="000000" w:sz="8" w:space="0"/>
            </w:tcBorders>
            <w:tcMar>
              <w:left w:w="15" w:type="dxa"/>
              <w:right w:w="15" w:type="dxa"/>
            </w:tcMar>
            <w:vAlign w:val="center"/>
          </w:tcPr>
          <w:p>
            <w:pPr>
              <w:spacing w:line="560" w:lineRule="exact"/>
              <w:rPr>
                <w:rFonts w:ascii="仿宋" w:hAnsi="仿宋" w:eastAsia="仿宋" w:cs="仿宋"/>
                <w:sz w:val="24"/>
                <w:szCs w:val="24"/>
              </w:rPr>
            </w:pPr>
            <w:r>
              <w:rPr>
                <w:rFonts w:hint="eastAsia" w:ascii="仿宋" w:hAnsi="仿宋" w:eastAsia="仿宋" w:cs="仿宋"/>
                <w:sz w:val="24"/>
                <w:szCs w:val="24"/>
              </w:rPr>
              <w:t>公车运行维护费</w:t>
            </w:r>
          </w:p>
        </w:tc>
        <w:tc>
          <w:tcPr>
            <w:tcW w:w="1179" w:type="dxa"/>
            <w:tcBorders>
              <w:top w:val="nil"/>
              <w:left w:val="nil"/>
              <w:bottom w:val="single" w:color="000000" w:sz="8" w:space="0"/>
              <w:right w:val="single" w:color="000000" w:sz="8" w:space="0"/>
            </w:tcBorders>
            <w:tcMar>
              <w:left w:w="15" w:type="dxa"/>
              <w:right w:w="15" w:type="dxa"/>
            </w:tcMa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12.35</w:t>
            </w:r>
          </w:p>
        </w:tc>
        <w:tc>
          <w:tcPr>
            <w:tcW w:w="1255" w:type="dxa"/>
            <w:tcBorders>
              <w:top w:val="nil"/>
              <w:left w:val="nil"/>
              <w:bottom w:val="single" w:color="000000" w:sz="8" w:space="0"/>
              <w:right w:val="single" w:color="000000" w:sz="8" w:space="0"/>
            </w:tcBorders>
            <w:tcMar>
              <w:left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22.49</w:t>
            </w:r>
          </w:p>
        </w:tc>
        <w:tc>
          <w:tcPr>
            <w:tcW w:w="1249" w:type="dxa"/>
            <w:tcBorders>
              <w:top w:val="nil"/>
              <w:left w:val="nil"/>
              <w:bottom w:val="single" w:color="000000" w:sz="8" w:space="0"/>
              <w:right w:val="single" w:color="000000" w:sz="8" w:space="0"/>
            </w:tcBorders>
            <w:tcMar>
              <w:left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-10.14</w:t>
            </w:r>
          </w:p>
        </w:tc>
        <w:tc>
          <w:tcPr>
            <w:tcW w:w="2477" w:type="dxa"/>
            <w:tcBorders>
              <w:top w:val="nil"/>
              <w:left w:val="nil"/>
              <w:bottom w:val="single" w:color="000000" w:sz="8" w:space="0"/>
              <w:right w:val="single" w:color="000000" w:sz="8" w:space="0"/>
            </w:tcBorders>
            <w:tcMar>
              <w:left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-45.09%</w:t>
            </w:r>
          </w:p>
        </w:tc>
      </w:tr>
      <w:tr>
        <w:tblPrEx>
          <w:tblCellMar>
            <w:top w:w="0" w:type="dxa"/>
            <w:left w:w="0" w:type="dxa"/>
            <w:bottom w:w="0" w:type="dxa"/>
            <w:right w:w="0" w:type="dxa"/>
          </w:tblCellMar>
        </w:tblPrEx>
        <w:trPr>
          <w:trHeight w:val="331" w:hRule="atLeast"/>
          <w:jc w:val="center"/>
        </w:trPr>
        <w:tc>
          <w:tcPr>
            <w:tcW w:w="1795" w:type="dxa"/>
            <w:tcBorders>
              <w:top w:val="nil"/>
              <w:left w:val="single" w:color="000000" w:sz="8" w:space="0"/>
              <w:bottom w:val="single" w:color="000000" w:sz="8" w:space="0"/>
              <w:right w:val="single" w:color="000000" w:sz="8" w:space="0"/>
            </w:tcBorders>
            <w:tcMar>
              <w:left w:w="15" w:type="dxa"/>
              <w:right w:w="15" w:type="dxa"/>
            </w:tcMar>
            <w:vAlign w:val="center"/>
          </w:tcPr>
          <w:p>
            <w:pPr>
              <w:spacing w:line="560" w:lineRule="exact"/>
              <w:rPr>
                <w:rFonts w:ascii="仿宋" w:hAnsi="仿宋" w:eastAsia="仿宋" w:cs="仿宋"/>
                <w:sz w:val="24"/>
                <w:szCs w:val="24"/>
              </w:rPr>
            </w:pPr>
            <w:r>
              <w:rPr>
                <w:rFonts w:hint="eastAsia" w:ascii="仿宋" w:hAnsi="仿宋" w:eastAsia="仿宋" w:cs="仿宋"/>
                <w:sz w:val="24"/>
                <w:szCs w:val="24"/>
              </w:rPr>
              <w:t>公务车辆购置费</w:t>
            </w:r>
          </w:p>
        </w:tc>
        <w:tc>
          <w:tcPr>
            <w:tcW w:w="1179" w:type="dxa"/>
            <w:tcBorders>
              <w:top w:val="nil"/>
              <w:left w:val="nil"/>
              <w:bottom w:val="single" w:color="000000" w:sz="8" w:space="0"/>
              <w:right w:val="single" w:color="000000" w:sz="8" w:space="0"/>
            </w:tcBorders>
            <w:tcMar>
              <w:left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0</w:t>
            </w:r>
          </w:p>
        </w:tc>
        <w:tc>
          <w:tcPr>
            <w:tcW w:w="1255" w:type="dxa"/>
            <w:tcBorders>
              <w:top w:val="nil"/>
              <w:left w:val="nil"/>
              <w:bottom w:val="single" w:color="000000" w:sz="8" w:space="0"/>
              <w:right w:val="single" w:color="000000" w:sz="8" w:space="0"/>
            </w:tcBorders>
            <w:tcMar>
              <w:left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17.98</w:t>
            </w:r>
          </w:p>
        </w:tc>
        <w:tc>
          <w:tcPr>
            <w:tcW w:w="1249" w:type="dxa"/>
            <w:tcBorders>
              <w:top w:val="nil"/>
              <w:left w:val="nil"/>
              <w:bottom w:val="single" w:color="000000" w:sz="8" w:space="0"/>
              <w:right w:val="single" w:color="000000" w:sz="8" w:space="0"/>
            </w:tcBorders>
            <w:tcMar>
              <w:left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-17.98</w:t>
            </w:r>
          </w:p>
        </w:tc>
        <w:tc>
          <w:tcPr>
            <w:tcW w:w="2477" w:type="dxa"/>
            <w:tcBorders>
              <w:top w:val="nil"/>
              <w:left w:val="nil"/>
              <w:bottom w:val="single" w:color="000000" w:sz="8" w:space="0"/>
              <w:right w:val="single" w:color="000000" w:sz="8" w:space="0"/>
            </w:tcBorders>
            <w:tcMar>
              <w:left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-100%</w:t>
            </w:r>
          </w:p>
        </w:tc>
      </w:tr>
      <w:tr>
        <w:tblPrEx>
          <w:tblCellMar>
            <w:top w:w="0" w:type="dxa"/>
            <w:left w:w="0" w:type="dxa"/>
            <w:bottom w:w="0" w:type="dxa"/>
            <w:right w:w="0" w:type="dxa"/>
          </w:tblCellMar>
        </w:tblPrEx>
        <w:trPr>
          <w:trHeight w:val="331" w:hRule="atLeast"/>
          <w:jc w:val="center"/>
        </w:trPr>
        <w:tc>
          <w:tcPr>
            <w:tcW w:w="1795" w:type="dxa"/>
            <w:tcBorders>
              <w:top w:val="nil"/>
              <w:left w:val="single" w:color="000000" w:sz="8" w:space="0"/>
              <w:bottom w:val="single" w:color="000000" w:sz="8" w:space="0"/>
              <w:right w:val="single" w:color="000000" w:sz="8" w:space="0"/>
            </w:tcBorders>
            <w:tcMar>
              <w:left w:w="15" w:type="dxa"/>
              <w:right w:w="15" w:type="dxa"/>
            </w:tcMar>
            <w:vAlign w:val="center"/>
          </w:tcPr>
          <w:p>
            <w:pPr>
              <w:spacing w:line="560" w:lineRule="exact"/>
              <w:rPr>
                <w:rFonts w:ascii="仿宋" w:hAnsi="仿宋" w:eastAsia="仿宋" w:cs="仿宋"/>
                <w:sz w:val="24"/>
                <w:szCs w:val="24"/>
              </w:rPr>
            </w:pPr>
            <w:r>
              <w:rPr>
                <w:rFonts w:hint="eastAsia" w:ascii="仿宋" w:hAnsi="仿宋" w:eastAsia="仿宋" w:cs="仿宋"/>
              </w:rPr>
              <w:t>因公出国(境)费用</w:t>
            </w:r>
          </w:p>
        </w:tc>
        <w:tc>
          <w:tcPr>
            <w:tcW w:w="1179" w:type="dxa"/>
            <w:tcBorders>
              <w:top w:val="nil"/>
              <w:left w:val="nil"/>
              <w:bottom w:val="single" w:color="000000" w:sz="8" w:space="0"/>
              <w:right w:val="single" w:color="000000" w:sz="8" w:space="0"/>
            </w:tcBorders>
            <w:tcMar>
              <w:left w:w="15" w:type="dxa"/>
              <w:right w:w="15" w:type="dxa"/>
            </w:tcMar>
            <w:vAlign w:val="center"/>
          </w:tcPr>
          <w:p>
            <w:pPr>
              <w:spacing w:line="560" w:lineRule="exact"/>
              <w:ind w:firstLine="480" w:firstLineChars="200"/>
              <w:jc w:val="center"/>
              <w:rPr>
                <w:rFonts w:ascii="仿宋" w:hAnsi="仿宋" w:eastAsia="仿宋" w:cs="仿宋"/>
                <w:sz w:val="24"/>
                <w:szCs w:val="24"/>
              </w:rPr>
            </w:pPr>
          </w:p>
        </w:tc>
        <w:tc>
          <w:tcPr>
            <w:tcW w:w="1255" w:type="dxa"/>
            <w:tcBorders>
              <w:top w:val="nil"/>
              <w:left w:val="nil"/>
              <w:bottom w:val="single" w:color="000000" w:sz="8" w:space="0"/>
              <w:right w:val="single" w:color="000000" w:sz="8" w:space="0"/>
            </w:tcBorders>
            <w:tcMar>
              <w:left w:w="15" w:type="dxa"/>
              <w:right w:w="15" w:type="dxa"/>
            </w:tcMar>
            <w:vAlign w:val="center"/>
          </w:tcPr>
          <w:p>
            <w:pPr>
              <w:spacing w:line="560" w:lineRule="exact"/>
              <w:ind w:firstLine="480" w:firstLineChars="200"/>
              <w:jc w:val="center"/>
              <w:rPr>
                <w:rFonts w:ascii="仿宋" w:hAnsi="仿宋" w:eastAsia="仿宋" w:cs="仿宋"/>
                <w:sz w:val="24"/>
                <w:szCs w:val="24"/>
              </w:rPr>
            </w:pPr>
          </w:p>
        </w:tc>
        <w:tc>
          <w:tcPr>
            <w:tcW w:w="1249" w:type="dxa"/>
            <w:tcBorders>
              <w:top w:val="nil"/>
              <w:left w:val="nil"/>
              <w:bottom w:val="single" w:color="000000" w:sz="8" w:space="0"/>
              <w:right w:val="single" w:color="000000" w:sz="8" w:space="0"/>
            </w:tcBorders>
            <w:tcMar>
              <w:left w:w="15" w:type="dxa"/>
              <w:right w:w="15" w:type="dxa"/>
            </w:tcMar>
            <w:vAlign w:val="center"/>
          </w:tcPr>
          <w:p>
            <w:pPr>
              <w:spacing w:line="560" w:lineRule="exact"/>
              <w:ind w:firstLine="480" w:firstLineChars="200"/>
              <w:jc w:val="center"/>
              <w:rPr>
                <w:rFonts w:ascii="仿宋" w:hAnsi="仿宋" w:eastAsia="仿宋" w:cs="仿宋"/>
                <w:sz w:val="24"/>
                <w:szCs w:val="24"/>
              </w:rPr>
            </w:pPr>
          </w:p>
        </w:tc>
        <w:tc>
          <w:tcPr>
            <w:tcW w:w="2477" w:type="dxa"/>
            <w:tcBorders>
              <w:top w:val="nil"/>
              <w:left w:val="nil"/>
              <w:bottom w:val="single" w:color="000000" w:sz="8" w:space="0"/>
              <w:right w:val="single" w:color="000000" w:sz="8" w:space="0"/>
            </w:tcBorders>
            <w:tcMar>
              <w:left w:w="15" w:type="dxa"/>
              <w:right w:w="15" w:type="dxa"/>
            </w:tcMar>
            <w:vAlign w:val="center"/>
          </w:tcPr>
          <w:p>
            <w:pPr>
              <w:spacing w:line="560" w:lineRule="exact"/>
              <w:ind w:firstLine="480" w:firstLineChars="200"/>
              <w:jc w:val="center"/>
              <w:rPr>
                <w:rFonts w:ascii="仿宋" w:hAnsi="仿宋" w:eastAsia="仿宋" w:cs="仿宋"/>
                <w:sz w:val="24"/>
                <w:szCs w:val="24"/>
              </w:rPr>
            </w:pPr>
          </w:p>
        </w:tc>
      </w:tr>
      <w:tr>
        <w:tblPrEx>
          <w:tblCellMar>
            <w:top w:w="0" w:type="dxa"/>
            <w:left w:w="0" w:type="dxa"/>
            <w:bottom w:w="0" w:type="dxa"/>
            <w:right w:w="0" w:type="dxa"/>
          </w:tblCellMar>
        </w:tblPrEx>
        <w:trPr>
          <w:trHeight w:val="331" w:hRule="atLeast"/>
          <w:jc w:val="center"/>
        </w:trPr>
        <w:tc>
          <w:tcPr>
            <w:tcW w:w="1795" w:type="dxa"/>
            <w:tcBorders>
              <w:top w:val="nil"/>
              <w:left w:val="single" w:color="000000" w:sz="8" w:space="0"/>
              <w:bottom w:val="single" w:color="000000" w:sz="8" w:space="0"/>
              <w:right w:val="single" w:color="000000" w:sz="8" w:space="0"/>
            </w:tcBorders>
            <w:tcMar>
              <w:left w:w="15" w:type="dxa"/>
              <w:right w:w="15" w:type="dxa"/>
            </w:tcMar>
            <w:vAlign w:val="center"/>
          </w:tcPr>
          <w:p>
            <w:pPr>
              <w:spacing w:line="560" w:lineRule="exact"/>
              <w:ind w:firstLine="480" w:firstLineChars="200"/>
              <w:jc w:val="center"/>
              <w:rPr>
                <w:rFonts w:ascii="仿宋" w:hAnsi="仿宋" w:eastAsia="仿宋" w:cs="仿宋"/>
                <w:sz w:val="24"/>
                <w:szCs w:val="24"/>
              </w:rPr>
            </w:pPr>
          </w:p>
        </w:tc>
        <w:tc>
          <w:tcPr>
            <w:tcW w:w="1179" w:type="dxa"/>
            <w:tcBorders>
              <w:top w:val="nil"/>
              <w:left w:val="nil"/>
              <w:bottom w:val="single" w:color="000000" w:sz="8" w:space="0"/>
              <w:right w:val="single" w:color="000000" w:sz="8" w:space="0"/>
            </w:tcBorders>
            <w:tcMar>
              <w:left w:w="15" w:type="dxa"/>
              <w:right w:w="15" w:type="dxa"/>
            </w:tcMar>
            <w:vAlign w:val="center"/>
          </w:tcPr>
          <w:p>
            <w:pPr>
              <w:spacing w:line="560" w:lineRule="exact"/>
              <w:ind w:firstLine="480" w:firstLineChars="200"/>
              <w:jc w:val="center"/>
              <w:rPr>
                <w:rFonts w:ascii="仿宋" w:hAnsi="仿宋" w:eastAsia="仿宋" w:cs="仿宋"/>
                <w:sz w:val="24"/>
                <w:szCs w:val="24"/>
              </w:rPr>
            </w:pPr>
          </w:p>
        </w:tc>
        <w:tc>
          <w:tcPr>
            <w:tcW w:w="1255" w:type="dxa"/>
            <w:tcBorders>
              <w:top w:val="nil"/>
              <w:left w:val="nil"/>
              <w:bottom w:val="single" w:color="000000" w:sz="8" w:space="0"/>
              <w:right w:val="single" w:color="000000" w:sz="8" w:space="0"/>
            </w:tcBorders>
            <w:tcMar>
              <w:left w:w="15" w:type="dxa"/>
              <w:right w:w="15" w:type="dxa"/>
            </w:tcMar>
            <w:vAlign w:val="center"/>
          </w:tcPr>
          <w:p>
            <w:pPr>
              <w:spacing w:line="560" w:lineRule="exact"/>
              <w:ind w:firstLine="480" w:firstLineChars="200"/>
              <w:jc w:val="center"/>
              <w:rPr>
                <w:rFonts w:ascii="仿宋" w:hAnsi="仿宋" w:eastAsia="仿宋" w:cs="仿宋"/>
                <w:sz w:val="24"/>
                <w:szCs w:val="24"/>
              </w:rPr>
            </w:pPr>
          </w:p>
        </w:tc>
        <w:tc>
          <w:tcPr>
            <w:tcW w:w="1249" w:type="dxa"/>
            <w:tcBorders>
              <w:top w:val="nil"/>
              <w:left w:val="nil"/>
              <w:bottom w:val="single" w:color="000000" w:sz="8" w:space="0"/>
              <w:right w:val="single" w:color="000000" w:sz="8" w:space="0"/>
            </w:tcBorders>
            <w:tcMar>
              <w:left w:w="15" w:type="dxa"/>
              <w:right w:w="15" w:type="dxa"/>
            </w:tcMar>
            <w:vAlign w:val="center"/>
          </w:tcPr>
          <w:p>
            <w:pPr>
              <w:spacing w:line="560" w:lineRule="exact"/>
              <w:ind w:firstLine="480" w:firstLineChars="200"/>
              <w:jc w:val="center"/>
              <w:rPr>
                <w:rFonts w:ascii="仿宋" w:hAnsi="仿宋" w:eastAsia="仿宋" w:cs="仿宋"/>
                <w:sz w:val="24"/>
                <w:szCs w:val="24"/>
              </w:rPr>
            </w:pPr>
          </w:p>
        </w:tc>
        <w:tc>
          <w:tcPr>
            <w:tcW w:w="2477" w:type="dxa"/>
            <w:tcBorders>
              <w:top w:val="nil"/>
              <w:left w:val="nil"/>
              <w:bottom w:val="single" w:color="000000" w:sz="8" w:space="0"/>
              <w:right w:val="single" w:color="000000" w:sz="8" w:space="0"/>
            </w:tcBorders>
            <w:tcMar>
              <w:left w:w="15" w:type="dxa"/>
              <w:right w:w="15" w:type="dxa"/>
            </w:tcMar>
            <w:vAlign w:val="center"/>
          </w:tcPr>
          <w:p>
            <w:pPr>
              <w:spacing w:line="560" w:lineRule="exact"/>
              <w:ind w:firstLine="480" w:firstLineChars="200"/>
              <w:jc w:val="center"/>
              <w:rPr>
                <w:rFonts w:ascii="仿宋" w:hAnsi="仿宋" w:eastAsia="仿宋" w:cs="仿宋"/>
                <w:sz w:val="24"/>
                <w:szCs w:val="24"/>
              </w:rPr>
            </w:pPr>
          </w:p>
        </w:tc>
      </w:tr>
      <w:tr>
        <w:tblPrEx>
          <w:tblCellMar>
            <w:top w:w="0" w:type="dxa"/>
            <w:left w:w="0" w:type="dxa"/>
            <w:bottom w:w="0" w:type="dxa"/>
            <w:right w:w="0" w:type="dxa"/>
          </w:tblCellMar>
        </w:tblPrEx>
        <w:trPr>
          <w:trHeight w:val="369" w:hRule="atLeast"/>
          <w:jc w:val="center"/>
        </w:trPr>
        <w:tc>
          <w:tcPr>
            <w:tcW w:w="1795" w:type="dxa"/>
            <w:tcBorders>
              <w:top w:val="nil"/>
              <w:left w:val="single" w:color="000000" w:sz="8" w:space="0"/>
              <w:bottom w:val="single" w:color="000000" w:sz="8" w:space="0"/>
              <w:right w:val="single" w:color="000000" w:sz="8" w:space="0"/>
            </w:tcBorders>
            <w:shd w:val="clear" w:color="auto" w:fill="D9D9D9"/>
            <w:tcMar>
              <w:left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合计</w:t>
            </w:r>
          </w:p>
        </w:tc>
        <w:tc>
          <w:tcPr>
            <w:tcW w:w="1179" w:type="dxa"/>
            <w:tcBorders>
              <w:top w:val="nil"/>
              <w:left w:val="nil"/>
              <w:bottom w:val="single" w:color="000000" w:sz="8" w:space="0"/>
              <w:right w:val="single" w:color="000000" w:sz="8" w:space="0"/>
            </w:tcBorders>
            <w:shd w:val="clear" w:color="auto" w:fill="D9D9D9"/>
            <w:tcMar>
              <w:left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40.26</w:t>
            </w:r>
          </w:p>
        </w:tc>
        <w:tc>
          <w:tcPr>
            <w:tcW w:w="1255" w:type="dxa"/>
            <w:tcBorders>
              <w:top w:val="nil"/>
              <w:left w:val="nil"/>
              <w:bottom w:val="single" w:color="000000" w:sz="8" w:space="0"/>
              <w:right w:val="single" w:color="000000" w:sz="8" w:space="0"/>
            </w:tcBorders>
            <w:shd w:val="clear" w:color="auto" w:fill="D9D9D9"/>
            <w:tcMar>
              <w:left w:w="15" w:type="dxa"/>
              <w:right w:w="15" w:type="dxa"/>
            </w:tcMar>
            <w:vAlign w:val="center"/>
          </w:tcPr>
          <w:p>
            <w:pPr>
              <w:spacing w:line="56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83.19</w:t>
            </w:r>
          </w:p>
        </w:tc>
        <w:tc>
          <w:tcPr>
            <w:tcW w:w="1249" w:type="dxa"/>
            <w:tcBorders>
              <w:top w:val="nil"/>
              <w:left w:val="nil"/>
              <w:bottom w:val="single" w:color="000000" w:sz="8" w:space="0"/>
              <w:right w:val="single" w:color="000000" w:sz="8" w:space="0"/>
            </w:tcBorders>
            <w:shd w:val="clear" w:color="auto" w:fill="D9D9D9"/>
            <w:tcMar>
              <w:left w:w="15" w:type="dxa"/>
              <w:right w:w="15" w:type="dxa"/>
            </w:tcMar>
            <w:vAlign w:val="center"/>
          </w:tcPr>
          <w:p>
            <w:pPr>
              <w:spacing w:line="560" w:lineRule="exact"/>
              <w:ind w:firstLine="480" w:firstLineChars="200"/>
              <w:jc w:val="center"/>
              <w:rPr>
                <w:rFonts w:ascii="仿宋" w:hAnsi="仿宋" w:eastAsia="仿宋" w:cs="仿宋"/>
                <w:sz w:val="24"/>
                <w:szCs w:val="24"/>
              </w:rPr>
            </w:pPr>
          </w:p>
        </w:tc>
        <w:tc>
          <w:tcPr>
            <w:tcW w:w="2477" w:type="dxa"/>
            <w:tcBorders>
              <w:top w:val="nil"/>
              <w:left w:val="nil"/>
              <w:bottom w:val="single" w:color="000000" w:sz="8" w:space="0"/>
              <w:right w:val="single" w:color="000000" w:sz="8" w:space="0"/>
            </w:tcBorders>
            <w:shd w:val="clear" w:color="auto" w:fill="D9D9D9"/>
            <w:tcMar>
              <w:left w:w="15" w:type="dxa"/>
              <w:right w:w="15" w:type="dxa"/>
            </w:tcMar>
            <w:vAlign w:val="center"/>
          </w:tcPr>
          <w:p>
            <w:pPr>
              <w:spacing w:line="560" w:lineRule="exact"/>
              <w:ind w:firstLine="480" w:firstLineChars="200"/>
              <w:jc w:val="center"/>
              <w:rPr>
                <w:rFonts w:ascii="仿宋" w:hAnsi="仿宋" w:eastAsia="仿宋" w:cs="仿宋"/>
                <w:sz w:val="24"/>
                <w:szCs w:val="24"/>
              </w:rPr>
            </w:pPr>
          </w:p>
        </w:tc>
      </w:tr>
    </w:tbl>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有效压缩三公经费，公务接待费和公车运行维护费较上年均有缩减。</w:t>
      </w:r>
    </w:p>
    <w:p>
      <w:pPr>
        <w:widowControl w:val="0"/>
        <w:numPr>
          <w:ilvl w:val="0"/>
          <w:numId w:val="1"/>
        </w:numPr>
        <w:spacing w:after="0" w:line="560" w:lineRule="exact"/>
        <w:ind w:firstLine="560" w:firstLineChars="200"/>
        <w:jc w:val="both"/>
        <w:rPr>
          <w:rFonts w:ascii="仿宋" w:hAnsi="仿宋" w:eastAsia="仿宋" w:cs="仿宋"/>
          <w:sz w:val="28"/>
          <w:szCs w:val="28"/>
        </w:rPr>
      </w:pPr>
      <w:r>
        <w:rPr>
          <w:rFonts w:hint="eastAsia" w:ascii="仿宋" w:hAnsi="仿宋" w:eastAsia="仿宋" w:cs="仿宋"/>
          <w:sz w:val="28"/>
          <w:szCs w:val="28"/>
        </w:rPr>
        <w:t>专项支出管理</w:t>
      </w:r>
    </w:p>
    <w:p>
      <w:pPr>
        <w:spacing w:line="560" w:lineRule="exact"/>
        <w:ind w:left="440" w:leftChars="200"/>
        <w:rPr>
          <w:rFonts w:ascii="仿宋" w:hAnsi="仿宋" w:eastAsia="仿宋" w:cs="仿宋"/>
          <w:sz w:val="28"/>
          <w:szCs w:val="28"/>
        </w:rPr>
      </w:pPr>
      <w:r>
        <w:rPr>
          <w:rFonts w:hint="eastAsia" w:ascii="仿宋" w:hAnsi="仿宋" w:eastAsia="仿宋" w:cs="仿宋"/>
          <w:sz w:val="28"/>
          <w:szCs w:val="28"/>
        </w:rPr>
        <w:t>本单位2020年度无专项资金安排，无专项支出。</w:t>
      </w:r>
    </w:p>
    <w:p>
      <w:pPr>
        <w:pStyle w:val="2"/>
        <w:widowControl/>
        <w:spacing w:before="0" w:beforeAutospacing="0" w:after="0" w:afterAutospacing="0" w:line="560" w:lineRule="exact"/>
        <w:ind w:firstLine="560" w:firstLineChars="200"/>
        <w:jc w:val="both"/>
        <w:rPr>
          <w:rFonts w:hint="default" w:ascii="仿宋" w:hAnsi="仿宋" w:eastAsia="仿宋" w:cs="仿宋"/>
          <w:b w:val="0"/>
          <w:sz w:val="28"/>
          <w:szCs w:val="28"/>
        </w:rPr>
      </w:pPr>
      <w:r>
        <w:rPr>
          <w:rFonts w:ascii="仿宋" w:hAnsi="仿宋" w:eastAsia="仿宋" w:cs="仿宋"/>
          <w:b w:val="0"/>
          <w:sz w:val="28"/>
          <w:szCs w:val="28"/>
        </w:rPr>
        <w:t>四、部门整体支出绩效评价</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根据年度重点和日常工作安排，各项工作取得了较好成绩和突破，部门整体支出绩效目标管理情况评价如下：</w:t>
      </w:r>
    </w:p>
    <w:p>
      <w:pPr>
        <w:widowControl w:val="0"/>
        <w:numPr>
          <w:ilvl w:val="0"/>
          <w:numId w:val="2"/>
        </w:numPr>
        <w:spacing w:after="0" w:line="560" w:lineRule="exact"/>
        <w:ind w:firstLine="560" w:firstLineChars="200"/>
        <w:jc w:val="both"/>
        <w:rPr>
          <w:rFonts w:ascii="仿宋" w:hAnsi="仿宋" w:eastAsia="仿宋" w:cs="仿宋"/>
          <w:sz w:val="28"/>
          <w:szCs w:val="28"/>
        </w:rPr>
      </w:pPr>
      <w:r>
        <w:rPr>
          <w:rFonts w:hint="eastAsia" w:ascii="仿宋" w:hAnsi="仿宋" w:eastAsia="仿宋" w:cs="仿宋"/>
          <w:sz w:val="28"/>
          <w:szCs w:val="28"/>
        </w:rPr>
        <w:t>经济性评价。预算配置比较合理，预算执行保持了较低的增长额，执行在可控范围内。</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（二）行政效能评价。镇党委政府非常重视绩效管理工作，年初召开了专门会议研究制定和完善相关制度并抓好落实，进一步强化内部管理。</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（三）项目产出及实现的社会效益。各部门积极履行相应社会职能，促进对应领域的发展，带来正面影响。</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（四）可持续性分析。在后续政策、资金、人员机构安排上要继续严格执行上级要求，同时结合我镇实际，加强工作效能，把好财政关。</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（五）社会公众满意度。经调查访问，社会公众满意度高。</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（六）部门整体绩效得分：96.6分。</w:t>
      </w:r>
    </w:p>
    <w:p>
      <w:pPr>
        <w:spacing w:line="560" w:lineRule="exact"/>
        <w:ind w:firstLine="560" w:firstLineChars="200"/>
        <w:outlineLvl w:val="0"/>
        <w:rPr>
          <w:rFonts w:ascii="仿宋" w:hAnsi="仿宋" w:eastAsia="仿宋" w:cs="仿宋"/>
          <w:sz w:val="28"/>
          <w:szCs w:val="28"/>
        </w:rPr>
      </w:pPr>
      <w:r>
        <w:rPr>
          <w:rFonts w:hint="eastAsia" w:ascii="仿宋" w:hAnsi="仿宋" w:eastAsia="仿宋" w:cs="仿宋"/>
          <w:sz w:val="28"/>
          <w:szCs w:val="28"/>
        </w:rPr>
        <w:t>五、存在的主要问题</w:t>
      </w:r>
    </w:p>
    <w:p>
      <w:pPr>
        <w:spacing w:line="560" w:lineRule="exact"/>
        <w:ind w:firstLine="560" w:firstLineChars="200"/>
        <w:outlineLvl w:val="0"/>
        <w:rPr>
          <w:rFonts w:ascii="仿宋" w:hAnsi="仿宋" w:eastAsia="仿宋" w:cs="仿宋"/>
          <w:sz w:val="28"/>
          <w:szCs w:val="28"/>
        </w:rPr>
      </w:pPr>
      <w:r>
        <w:rPr>
          <w:rFonts w:hint="eastAsia" w:ascii="仿宋" w:hAnsi="仿宋" w:eastAsia="仿宋" w:cs="仿宋"/>
          <w:sz w:val="28"/>
          <w:szCs w:val="28"/>
        </w:rPr>
        <w:t>预算编制还不够精准，要进一步提高可执行性。</w:t>
      </w:r>
    </w:p>
    <w:p>
      <w:pPr>
        <w:spacing w:line="560" w:lineRule="exact"/>
        <w:ind w:firstLine="560" w:firstLineChars="200"/>
        <w:outlineLvl w:val="0"/>
        <w:rPr>
          <w:rFonts w:ascii="仿宋" w:hAnsi="仿宋" w:eastAsia="仿宋" w:cs="仿宋"/>
          <w:sz w:val="28"/>
          <w:szCs w:val="28"/>
        </w:rPr>
      </w:pPr>
      <w:r>
        <w:rPr>
          <w:rFonts w:hint="eastAsia" w:ascii="仿宋" w:hAnsi="仿宋" w:eastAsia="仿宋" w:cs="仿宋"/>
          <w:sz w:val="28"/>
          <w:szCs w:val="28"/>
        </w:rPr>
        <w:t>六、改进意见及建议</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（一）后续工作计划。将进一步严格落实上级要求，精准编制预算，严格执行预算，压减“三公”经费开支，落实民生保障支出，取得更好的经济效益、行政效益、社会效益、生态效益。</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（二）主要经验做法、存在的问题和建议。</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资金安排方面，优先涉及民生领域的项目，下好“一盘棋”，对本单位年度开支做到心中有数，有计划有安排地执行每一笔支出。针对2020年度部分项目预算执行不够精准的问题，要立行立改，一方面加强业务能力、日常多学习多研究，一方面按季度自行评价，确保下年度取得更好的管理效果。</w:t>
      </w:r>
    </w:p>
    <w:p>
      <w:pPr>
        <w:spacing w:line="560" w:lineRule="exact"/>
        <w:ind w:firstLine="560" w:firstLineChars="200"/>
        <w:rPr>
          <w:rFonts w:ascii="仿宋" w:hAnsi="仿宋" w:eastAsia="仿宋" w:cs="仿宋"/>
          <w:sz w:val="28"/>
          <w:szCs w:val="28"/>
        </w:rPr>
      </w:pPr>
    </w:p>
    <w:p>
      <w:pPr>
        <w:spacing w:line="560" w:lineRule="exact"/>
        <w:ind w:firstLine="560" w:firstLineChars="200"/>
        <w:rPr>
          <w:rFonts w:ascii="仿宋" w:hAnsi="仿宋" w:eastAsia="仿宋" w:cs="仿宋"/>
          <w:sz w:val="28"/>
          <w:szCs w:val="28"/>
        </w:rPr>
      </w:pPr>
    </w:p>
    <w:p>
      <w:pPr>
        <w:spacing w:line="560" w:lineRule="exact"/>
        <w:ind w:left="480" w:hanging="480"/>
        <w:rPr>
          <w:rFonts w:ascii="仿宋" w:hAnsi="仿宋" w:eastAsia="仿宋"/>
          <w:sz w:val="32"/>
          <w:szCs w:val="32"/>
        </w:rPr>
      </w:pPr>
    </w:p>
    <w:p>
      <w:pPr>
        <w:spacing w:line="560" w:lineRule="exact"/>
        <w:ind w:left="480" w:hanging="480"/>
        <w:rPr>
          <w:rFonts w:ascii="仿宋" w:hAnsi="仿宋" w:eastAsia="仿宋"/>
          <w:sz w:val="32"/>
          <w:szCs w:val="32"/>
        </w:rPr>
      </w:pPr>
    </w:p>
    <w:p>
      <w:pPr>
        <w:spacing w:line="560" w:lineRule="exact"/>
        <w:ind w:left="480" w:hanging="480"/>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sectPr>
          <w:headerReference r:id="rId7" w:type="first"/>
          <w:footerReference r:id="rId10" w:type="first"/>
          <w:headerReference r:id="rId5" w:type="default"/>
          <w:footerReference r:id="rId8" w:type="default"/>
          <w:headerReference r:id="rId6" w:type="even"/>
          <w:footerReference r:id="rId9" w:type="even"/>
          <w:pgSz w:w="11906" w:h="16838"/>
          <w:pgMar w:top="1440" w:right="1066" w:bottom="1440" w:left="1180" w:header="851" w:footer="992" w:gutter="0"/>
          <w:cols w:space="720" w:num="1"/>
          <w:docGrid w:type="lines" w:linePitch="312" w:charSpace="0"/>
        </w:sectPr>
      </w:pPr>
    </w:p>
    <w:p>
      <w:pPr>
        <w:spacing w:line="600" w:lineRule="exact"/>
        <w:ind w:left="540" w:hanging="540"/>
        <w:jc w:val="center"/>
        <w:rPr>
          <w:rFonts w:eastAsia="方正小标宋_GBK"/>
          <w:spacing w:val="-8"/>
          <w:sz w:val="28"/>
          <w:szCs w:val="28"/>
        </w:rPr>
      </w:pPr>
      <w:r>
        <w:rPr>
          <w:rFonts w:eastAsia="方正小标宋_GBK"/>
          <w:sz w:val="36"/>
          <w:szCs w:val="36"/>
        </w:rPr>
        <w:t>20</w:t>
      </w:r>
      <w:r>
        <w:rPr>
          <w:rFonts w:hint="eastAsia" w:eastAsia="方正小标宋_GBK"/>
          <w:sz w:val="36"/>
          <w:szCs w:val="36"/>
        </w:rPr>
        <w:t>20年度部门整体支出</w:t>
      </w:r>
      <w:r>
        <w:rPr>
          <w:rFonts w:eastAsia="方正小标宋_GBK"/>
          <w:spacing w:val="-8"/>
          <w:sz w:val="36"/>
          <w:szCs w:val="36"/>
        </w:rPr>
        <w:t>绩效评价指标评分表</w:t>
      </w:r>
    </w:p>
    <w:p>
      <w:pPr>
        <w:spacing w:line="600" w:lineRule="exact"/>
        <w:ind w:left="396" w:hanging="396"/>
        <w:rPr>
          <w:rFonts w:ascii="楷体_GB2312" w:eastAsia="楷体_GB2312"/>
          <w:spacing w:val="-8"/>
          <w:sz w:val="28"/>
          <w:szCs w:val="28"/>
        </w:rPr>
      </w:pPr>
      <w:r>
        <w:rPr>
          <w:rFonts w:hint="eastAsia" w:ascii="楷体_GB2312" w:eastAsia="楷体_GB2312"/>
          <w:spacing w:val="-8"/>
          <w:sz w:val="28"/>
          <w:szCs w:val="28"/>
        </w:rPr>
        <w:t>填报单位（盖章）：龙溪铺镇人民政府</w:t>
      </w:r>
    </w:p>
    <w:tbl>
      <w:tblPr>
        <w:tblStyle w:val="9"/>
        <w:tblW w:w="14287" w:type="dxa"/>
        <w:jc w:val="center"/>
        <w:tblLayout w:type="fixed"/>
        <w:tblCellMar>
          <w:top w:w="0" w:type="dxa"/>
          <w:left w:w="0" w:type="dxa"/>
          <w:bottom w:w="0" w:type="dxa"/>
          <w:right w:w="0" w:type="dxa"/>
        </w:tblCellMar>
      </w:tblPr>
      <w:tblGrid>
        <w:gridCol w:w="690"/>
        <w:gridCol w:w="704"/>
        <w:gridCol w:w="960"/>
        <w:gridCol w:w="5340"/>
        <w:gridCol w:w="5825"/>
        <w:gridCol w:w="768"/>
      </w:tblGrid>
      <w:tr>
        <w:tblPrEx>
          <w:tblCellMar>
            <w:top w:w="0" w:type="dxa"/>
            <w:left w:w="0" w:type="dxa"/>
            <w:bottom w:w="0" w:type="dxa"/>
            <w:right w:w="0" w:type="dxa"/>
          </w:tblCellMar>
        </w:tblPrEx>
        <w:trPr>
          <w:trHeight w:val="644" w:hRule="atLeast"/>
          <w:tblHeader/>
          <w:jc w:val="center"/>
        </w:trPr>
        <w:tc>
          <w:tcPr>
            <w:tcW w:w="690" w:type="dxa"/>
            <w:tcBorders>
              <w:top w:val="single" w:color="auto" w:sz="4" w:space="0"/>
              <w:left w:val="single" w:color="auto" w:sz="8" w:space="0"/>
              <w:bottom w:val="single" w:color="auto" w:sz="8" w:space="0"/>
              <w:right w:val="single" w:color="auto" w:sz="8" w:space="0"/>
            </w:tcBorders>
            <w:tcMar>
              <w:top w:w="10" w:type="dxa"/>
              <w:left w:w="10" w:type="dxa"/>
              <w:right w:w="10" w:type="dxa"/>
            </w:tcMar>
            <w:vAlign w:val="center"/>
          </w:tcPr>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一级</w:t>
            </w:r>
            <w:r>
              <w:rPr>
                <w:rFonts w:hint="eastAsia" w:ascii="宋体" w:hAnsi="宋体" w:cs="宋体"/>
                <w:sz w:val="21"/>
                <w:szCs w:val="21"/>
              </w:rPr>
              <w:br w:type="textWrapping"/>
            </w:r>
            <w:r>
              <w:rPr>
                <w:rFonts w:hint="eastAsia" w:ascii="宋体" w:hAnsi="宋体" w:cs="宋体"/>
                <w:sz w:val="21"/>
                <w:szCs w:val="21"/>
              </w:rPr>
              <w:t>指标</w:t>
            </w:r>
          </w:p>
        </w:tc>
        <w:tc>
          <w:tcPr>
            <w:tcW w:w="704" w:type="dxa"/>
            <w:tcBorders>
              <w:top w:val="single" w:color="auto" w:sz="4" w:space="0"/>
              <w:left w:val="nil"/>
              <w:bottom w:val="single" w:color="auto" w:sz="8" w:space="0"/>
              <w:right w:val="single" w:color="auto" w:sz="8" w:space="0"/>
            </w:tcBorders>
            <w:tcMar>
              <w:top w:w="10" w:type="dxa"/>
              <w:left w:w="10" w:type="dxa"/>
              <w:right w:w="10" w:type="dxa"/>
            </w:tcMar>
            <w:vAlign w:val="center"/>
          </w:tcPr>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二级指标</w:t>
            </w:r>
          </w:p>
        </w:tc>
        <w:tc>
          <w:tcPr>
            <w:tcW w:w="960" w:type="dxa"/>
            <w:tcBorders>
              <w:top w:val="single" w:color="auto" w:sz="4" w:space="0"/>
              <w:left w:val="nil"/>
              <w:bottom w:val="single" w:color="auto" w:sz="8" w:space="0"/>
              <w:right w:val="single" w:color="auto" w:sz="8" w:space="0"/>
            </w:tcBorders>
            <w:tcMar>
              <w:top w:w="10" w:type="dxa"/>
              <w:left w:w="10" w:type="dxa"/>
              <w:right w:w="10" w:type="dxa"/>
            </w:tcMar>
            <w:vAlign w:val="center"/>
          </w:tcPr>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三级指标</w:t>
            </w:r>
          </w:p>
        </w:tc>
        <w:tc>
          <w:tcPr>
            <w:tcW w:w="5340" w:type="dxa"/>
            <w:tcBorders>
              <w:top w:val="single" w:color="auto" w:sz="4" w:space="0"/>
              <w:left w:val="nil"/>
              <w:bottom w:val="single" w:color="auto" w:sz="8" w:space="0"/>
              <w:right w:val="single" w:color="auto" w:sz="8" w:space="0"/>
            </w:tcBorders>
            <w:tcMar>
              <w:top w:w="10" w:type="dxa"/>
              <w:left w:w="10" w:type="dxa"/>
              <w:right w:w="10" w:type="dxa"/>
            </w:tcMar>
            <w:vAlign w:val="center"/>
          </w:tcPr>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指标解释</w:t>
            </w:r>
          </w:p>
        </w:tc>
        <w:tc>
          <w:tcPr>
            <w:tcW w:w="5825" w:type="dxa"/>
            <w:tcBorders>
              <w:top w:val="single" w:color="auto" w:sz="4" w:space="0"/>
              <w:left w:val="nil"/>
              <w:bottom w:val="single" w:color="auto" w:sz="8" w:space="0"/>
              <w:right w:val="single" w:color="auto" w:sz="8" w:space="0"/>
            </w:tcBorders>
            <w:tcMar>
              <w:top w:w="10" w:type="dxa"/>
              <w:left w:w="10" w:type="dxa"/>
              <w:right w:w="10" w:type="dxa"/>
            </w:tcMar>
            <w:vAlign w:val="center"/>
          </w:tcPr>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指标说明</w:t>
            </w:r>
          </w:p>
        </w:tc>
        <w:tc>
          <w:tcPr>
            <w:tcW w:w="768" w:type="dxa"/>
            <w:tcBorders>
              <w:top w:val="single" w:color="auto" w:sz="4" w:space="0"/>
              <w:left w:val="nil"/>
              <w:bottom w:val="single" w:color="auto" w:sz="8" w:space="0"/>
              <w:right w:val="single" w:color="auto" w:sz="8" w:space="0"/>
            </w:tcBorders>
            <w:vAlign w:val="center"/>
          </w:tcPr>
          <w:p>
            <w:pPr>
              <w:pStyle w:val="8"/>
              <w:widowControl/>
              <w:spacing w:beforeAutospacing="0" w:afterAutospacing="0" w:line="600" w:lineRule="exact"/>
              <w:jc w:val="center"/>
            </w:pPr>
            <w:r>
              <w:rPr>
                <w:rFonts w:hint="eastAsia" w:ascii="宋体" w:hAnsi="宋体" w:cs="宋体"/>
                <w:sz w:val="21"/>
                <w:szCs w:val="21"/>
              </w:rPr>
              <w:t>自评分</w:t>
            </w:r>
          </w:p>
        </w:tc>
      </w:tr>
      <w:tr>
        <w:tblPrEx>
          <w:tblCellMar>
            <w:top w:w="0" w:type="dxa"/>
            <w:left w:w="0" w:type="dxa"/>
            <w:bottom w:w="0" w:type="dxa"/>
            <w:right w:w="0" w:type="dxa"/>
          </w:tblCellMar>
        </w:tblPrEx>
        <w:trPr>
          <w:trHeight w:val="1006" w:hRule="atLeast"/>
          <w:jc w:val="center"/>
        </w:trPr>
        <w:tc>
          <w:tcPr>
            <w:tcW w:w="690" w:type="dxa"/>
            <w:vMerge w:val="restart"/>
            <w:tcBorders>
              <w:top w:val="nil"/>
              <w:left w:val="single" w:color="auto" w:sz="8" w:space="0"/>
              <w:bottom w:val="single" w:color="auto" w:sz="8" w:space="0"/>
              <w:right w:val="single" w:color="auto" w:sz="8" w:space="0"/>
            </w:tcBorders>
            <w:tcMar>
              <w:top w:w="10" w:type="dxa"/>
              <w:left w:w="10" w:type="dxa"/>
              <w:right w:w="10" w:type="dxa"/>
            </w:tcMar>
            <w:vAlign w:val="center"/>
          </w:tcPr>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投入(20分)</w:t>
            </w:r>
          </w:p>
        </w:tc>
        <w:tc>
          <w:tcPr>
            <w:tcW w:w="704" w:type="dxa"/>
            <w:vMerge w:val="restart"/>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目标</w:t>
            </w:r>
            <w:r>
              <w:rPr>
                <w:rFonts w:hint="eastAsia" w:ascii="宋体" w:hAnsi="宋体" w:cs="宋体"/>
                <w:sz w:val="21"/>
                <w:szCs w:val="21"/>
              </w:rPr>
              <w:br w:type="textWrapping"/>
            </w:r>
            <w:r>
              <w:rPr>
                <w:rFonts w:hint="eastAsia" w:ascii="宋体" w:hAnsi="宋体" w:cs="宋体"/>
                <w:sz w:val="21"/>
                <w:szCs w:val="21"/>
              </w:rPr>
              <w:t>设定</w:t>
            </w:r>
          </w:p>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（5分）</w:t>
            </w: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绩效目标合理性</w:t>
            </w:r>
          </w:p>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（2分）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Autospacing="0" w:afterAutospacing="0" w:line="600" w:lineRule="exact"/>
              <w:jc w:val="both"/>
              <w:rPr>
                <w:rFonts w:ascii="宋体" w:hAnsi="宋体" w:cs="宋体"/>
                <w:sz w:val="21"/>
                <w:szCs w:val="21"/>
              </w:rPr>
            </w:pPr>
            <w:r>
              <w:rPr>
                <w:rFonts w:hint="eastAsia" w:ascii="宋体" w:hAnsi="宋体" w:cs="宋体"/>
                <w:sz w:val="21"/>
                <w:szCs w:val="21"/>
              </w:rPr>
              <w:t>部门所设立的整体绩效目标依据是否充分，是否符合客观实际，用以反映和考核部门整体绩效目标与部门履职、年度工作任务的相符性情况。</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Autospacing="0" w:afterAutospacing="0" w:line="600" w:lineRule="exact"/>
              <w:jc w:val="both"/>
              <w:rPr>
                <w:rFonts w:ascii="宋体" w:hAnsi="宋体" w:cs="宋体"/>
                <w:sz w:val="21"/>
                <w:szCs w:val="21"/>
              </w:rPr>
            </w:pPr>
            <w:r>
              <w:rPr>
                <w:rFonts w:hint="eastAsia" w:ascii="宋体" w:hAnsi="宋体" w:cs="宋体"/>
                <w:sz w:val="21"/>
                <w:szCs w:val="21"/>
              </w:rPr>
              <w:t>①符合国家法律法规、国民经济和社会发展总体规划计1分；</w:t>
            </w:r>
          </w:p>
          <w:p>
            <w:pPr>
              <w:pStyle w:val="8"/>
              <w:widowControl/>
              <w:spacing w:beforeAutospacing="0" w:afterAutospacing="0" w:line="600" w:lineRule="exact"/>
              <w:jc w:val="both"/>
              <w:rPr>
                <w:rFonts w:ascii="宋体" w:hAnsi="宋体" w:cs="宋体"/>
                <w:sz w:val="21"/>
                <w:szCs w:val="21"/>
              </w:rPr>
            </w:pPr>
            <w:r>
              <w:rPr>
                <w:rFonts w:hint="eastAsia" w:ascii="宋体" w:hAnsi="宋体" w:cs="宋体"/>
                <w:sz w:val="21"/>
                <w:szCs w:val="21"/>
              </w:rPr>
              <w:t>②符合部门“三定”方案确定的职责计0.5分；</w:t>
            </w:r>
          </w:p>
          <w:p>
            <w:pPr>
              <w:pStyle w:val="8"/>
              <w:widowControl/>
              <w:spacing w:beforeAutospacing="0" w:afterAutospacing="0" w:line="600" w:lineRule="exact"/>
              <w:jc w:val="both"/>
              <w:rPr>
                <w:rFonts w:ascii="宋体" w:hAnsi="宋体" w:cs="宋体"/>
                <w:sz w:val="21"/>
                <w:szCs w:val="21"/>
              </w:rPr>
            </w:pPr>
            <w:r>
              <w:rPr>
                <w:rFonts w:hint="eastAsia" w:ascii="宋体" w:hAnsi="宋体" w:cs="宋体"/>
                <w:sz w:val="21"/>
                <w:szCs w:val="21"/>
              </w:rPr>
              <w:t>③是否符合部门制定的中长期实施规划计0.5分。</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Autospacing="0" w:afterAutospacing="0" w:line="600" w:lineRule="exact"/>
              <w:jc w:val="center"/>
              <w:rPr>
                <w:rFonts w:eastAsia="宋体"/>
              </w:rPr>
            </w:pPr>
            <w:r>
              <w:rPr>
                <w:rFonts w:hint="eastAsia"/>
              </w:rPr>
              <w:t>2</w:t>
            </w:r>
          </w:p>
        </w:tc>
      </w:tr>
      <w:tr>
        <w:tblPrEx>
          <w:tblCellMar>
            <w:top w:w="0" w:type="dxa"/>
            <w:left w:w="0" w:type="dxa"/>
            <w:bottom w:w="0" w:type="dxa"/>
            <w:right w:w="0" w:type="dxa"/>
          </w:tblCellMar>
        </w:tblPrEx>
        <w:trPr>
          <w:trHeight w:val="1096"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绩效指标明确性</w:t>
            </w:r>
          </w:p>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（3分）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Autospacing="0" w:afterAutospacing="0" w:line="600" w:lineRule="exact"/>
              <w:jc w:val="both"/>
              <w:rPr>
                <w:rFonts w:ascii="宋体" w:hAnsi="宋体" w:cs="宋体"/>
                <w:sz w:val="21"/>
                <w:szCs w:val="21"/>
              </w:rPr>
            </w:pPr>
            <w:r>
              <w:rPr>
                <w:rFonts w:hint="eastAsia" w:ascii="宋体" w:hAnsi="宋体" w:cs="宋体"/>
                <w:sz w:val="21"/>
                <w:szCs w:val="21"/>
              </w:rPr>
              <w:t>部门依据整体绩效目标所设定的绩效指标是否清晰、细化、可衡量，用以反映和考核部门整体绩效目标的明细化情况。</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Autospacing="0" w:afterAutospacing="0" w:line="600" w:lineRule="exact"/>
              <w:jc w:val="both"/>
              <w:rPr>
                <w:rFonts w:ascii="宋体" w:hAnsi="宋体" w:cs="宋体"/>
                <w:sz w:val="21"/>
                <w:szCs w:val="21"/>
              </w:rPr>
            </w:pPr>
            <w:r>
              <w:rPr>
                <w:rFonts w:hint="eastAsia" w:ascii="宋体" w:hAnsi="宋体" w:cs="宋体"/>
                <w:sz w:val="21"/>
                <w:szCs w:val="21"/>
              </w:rPr>
              <w:t>①将部门整体的绩效目标细化分解为具体的工作任务计1分；</w:t>
            </w:r>
          </w:p>
          <w:p>
            <w:pPr>
              <w:pStyle w:val="8"/>
              <w:widowControl/>
              <w:spacing w:beforeAutospacing="0" w:afterAutospacing="0" w:line="600" w:lineRule="exact"/>
              <w:jc w:val="both"/>
              <w:rPr>
                <w:rFonts w:ascii="宋体" w:hAnsi="宋体" w:cs="宋体"/>
                <w:sz w:val="21"/>
                <w:szCs w:val="21"/>
              </w:rPr>
            </w:pPr>
            <w:r>
              <w:rPr>
                <w:rFonts w:hint="eastAsia" w:ascii="宋体" w:hAnsi="宋体" w:cs="宋体"/>
                <w:sz w:val="21"/>
                <w:szCs w:val="21"/>
              </w:rPr>
              <w:t>②通过清晰、可衡量的指标值予以体现计0.5分；</w:t>
            </w:r>
          </w:p>
          <w:p>
            <w:pPr>
              <w:pStyle w:val="8"/>
              <w:widowControl/>
              <w:spacing w:beforeAutospacing="0" w:afterAutospacing="0" w:line="600" w:lineRule="exact"/>
              <w:jc w:val="both"/>
              <w:rPr>
                <w:rFonts w:ascii="宋体" w:hAnsi="宋体" w:cs="宋体"/>
                <w:sz w:val="21"/>
                <w:szCs w:val="21"/>
              </w:rPr>
            </w:pPr>
            <w:r>
              <w:rPr>
                <w:rFonts w:hint="eastAsia" w:ascii="宋体" w:hAnsi="宋体" w:cs="宋体"/>
                <w:sz w:val="21"/>
                <w:szCs w:val="21"/>
              </w:rPr>
              <w:t>③与部门年度的任务数或计划数相对应计0.5分；</w:t>
            </w:r>
          </w:p>
          <w:p>
            <w:pPr>
              <w:pStyle w:val="8"/>
              <w:widowControl/>
              <w:spacing w:beforeAutospacing="0" w:afterAutospacing="0" w:line="600" w:lineRule="exact"/>
              <w:jc w:val="both"/>
              <w:rPr>
                <w:rFonts w:ascii="宋体" w:hAnsi="宋体" w:cs="宋体"/>
                <w:sz w:val="21"/>
                <w:szCs w:val="21"/>
              </w:rPr>
            </w:pPr>
            <w:r>
              <w:rPr>
                <w:rFonts w:hint="eastAsia" w:ascii="宋体" w:hAnsi="宋体" w:cs="宋体"/>
                <w:sz w:val="21"/>
                <w:szCs w:val="21"/>
              </w:rPr>
              <w:t>④与本年度部门预算资金相匹配计1分。</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Autospacing="0" w:afterAutospacing="0" w:line="600" w:lineRule="exact"/>
              <w:jc w:val="center"/>
              <w:rPr>
                <w:rFonts w:eastAsia="宋体"/>
              </w:rPr>
            </w:pPr>
            <w:r>
              <w:rPr>
                <w:rFonts w:hint="eastAsia"/>
              </w:rPr>
              <w:t>3</w:t>
            </w:r>
          </w:p>
        </w:tc>
      </w:tr>
      <w:tr>
        <w:tblPrEx>
          <w:tblCellMar>
            <w:top w:w="0" w:type="dxa"/>
            <w:left w:w="0" w:type="dxa"/>
            <w:bottom w:w="0" w:type="dxa"/>
            <w:right w:w="0" w:type="dxa"/>
          </w:tblCellMar>
        </w:tblPrEx>
        <w:trPr>
          <w:trHeight w:val="1231"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sz w:val="15"/>
                <w:szCs w:val="15"/>
              </w:rPr>
            </w:pPr>
          </w:p>
        </w:tc>
        <w:tc>
          <w:tcPr>
            <w:tcW w:w="704" w:type="dxa"/>
            <w:vMerge w:val="restart"/>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预算</w:t>
            </w:r>
            <w:r>
              <w:rPr>
                <w:rFonts w:hint="eastAsia" w:ascii="宋体" w:hAnsi="宋体" w:cs="宋体"/>
                <w:sz w:val="21"/>
                <w:szCs w:val="21"/>
              </w:rPr>
              <w:br w:type="textWrapping"/>
            </w:r>
            <w:r>
              <w:rPr>
                <w:rFonts w:hint="eastAsia" w:ascii="宋体" w:hAnsi="宋体" w:cs="宋体"/>
                <w:sz w:val="21"/>
                <w:szCs w:val="21"/>
              </w:rPr>
              <w:t>配置（15分）</w:t>
            </w: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在职人员控制率</w:t>
            </w:r>
          </w:p>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（5分）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Autospacing="0" w:afterAutospacing="0" w:line="600" w:lineRule="exact"/>
              <w:jc w:val="both"/>
              <w:rPr>
                <w:rFonts w:ascii="宋体" w:hAnsi="宋体" w:cs="宋体"/>
                <w:sz w:val="21"/>
                <w:szCs w:val="21"/>
              </w:rPr>
            </w:pPr>
            <w:r>
              <w:rPr>
                <w:rFonts w:hint="eastAsia" w:ascii="宋体" w:hAnsi="宋体" w:cs="宋体"/>
                <w:sz w:val="21"/>
                <w:szCs w:val="21"/>
              </w:rPr>
              <w:t>部门本年度实际在职人员数与编制数的比率，用以反映和考核部门对人员成本的控制程度。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Autospacing="0" w:afterAutospacing="0" w:line="600" w:lineRule="exact"/>
              <w:jc w:val="both"/>
              <w:rPr>
                <w:rFonts w:ascii="宋体" w:hAnsi="宋体" w:cs="宋体"/>
                <w:sz w:val="21"/>
                <w:szCs w:val="21"/>
              </w:rPr>
            </w:pPr>
            <w:r>
              <w:rPr>
                <w:rFonts w:hint="eastAsia" w:ascii="宋体" w:hAnsi="宋体" w:cs="宋体"/>
                <w:sz w:val="21"/>
                <w:szCs w:val="21"/>
              </w:rPr>
              <w:t>在职人员控制率=（在职人员数/编制数）×100%小于或等于1计5分，否则按比例计分。在职人员数：部门实际在职人数，以财政部确定的部门决算编制口径为准。编制数：机构编制部门核定批复的部门的人员编制数。</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Autospacing="0" w:afterAutospacing="0" w:line="600" w:lineRule="exact"/>
              <w:jc w:val="center"/>
              <w:rPr>
                <w:rFonts w:eastAsia="宋体"/>
              </w:rPr>
            </w:pPr>
            <w:r>
              <w:rPr>
                <w:rFonts w:hint="eastAsia"/>
              </w:rPr>
              <w:t>5</w:t>
            </w:r>
          </w:p>
        </w:tc>
      </w:tr>
      <w:tr>
        <w:tblPrEx>
          <w:tblCellMar>
            <w:top w:w="0" w:type="dxa"/>
            <w:left w:w="0" w:type="dxa"/>
            <w:bottom w:w="0" w:type="dxa"/>
            <w:right w:w="0" w:type="dxa"/>
          </w:tblCellMar>
        </w:tblPrEx>
        <w:trPr>
          <w:trHeight w:val="1238"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“三公经费”变动率（5分）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Autospacing="0" w:afterAutospacing="0" w:line="600" w:lineRule="exact"/>
              <w:jc w:val="both"/>
              <w:rPr>
                <w:rFonts w:ascii="宋体" w:hAnsi="宋体" w:cs="宋体"/>
                <w:sz w:val="21"/>
                <w:szCs w:val="21"/>
              </w:rPr>
            </w:pPr>
            <w:r>
              <w:rPr>
                <w:rFonts w:hint="eastAsia" w:ascii="宋体" w:hAnsi="宋体" w:cs="宋体"/>
                <w:sz w:val="21"/>
                <w:szCs w:val="21"/>
              </w:rPr>
              <w:t>部门本年度“三公经费”预算数与上年度“三公经费”预算数的变动比率，用以反映和考核部门对控制重点行政成本的努力程度。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Autospacing="0" w:afterAutospacing="0" w:line="600" w:lineRule="exact"/>
              <w:jc w:val="both"/>
              <w:rPr>
                <w:rFonts w:ascii="宋体" w:hAnsi="宋体" w:cs="宋体"/>
                <w:sz w:val="21"/>
                <w:szCs w:val="21"/>
              </w:rPr>
            </w:pPr>
            <w:r>
              <w:rPr>
                <w:rFonts w:hint="eastAsia" w:ascii="宋体" w:hAnsi="宋体" w:cs="宋体"/>
                <w:sz w:val="21"/>
                <w:szCs w:val="21"/>
              </w:rPr>
              <w:t>“三公经费”变动率=[（本年度“三公经费”总额-上年度“三公经费”总额）/上年度“三公经费”总额]×100%。下降的计5分，增加的按比例扣减。“三公经费”：年度预算安排的因公出国（境）费、公务车辆购置及运行费和公务招待费。</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Autospacing="0" w:afterAutospacing="0" w:line="600" w:lineRule="exact"/>
              <w:jc w:val="center"/>
              <w:rPr>
                <w:rFonts w:eastAsia="宋体"/>
              </w:rPr>
            </w:pPr>
            <w:r>
              <w:rPr>
                <w:rFonts w:hint="eastAsia"/>
              </w:rPr>
              <w:t>5</w:t>
            </w:r>
          </w:p>
        </w:tc>
      </w:tr>
      <w:tr>
        <w:tblPrEx>
          <w:tblCellMar>
            <w:top w:w="0" w:type="dxa"/>
            <w:left w:w="0" w:type="dxa"/>
            <w:bottom w:w="0" w:type="dxa"/>
            <w:right w:w="0" w:type="dxa"/>
          </w:tblCellMar>
        </w:tblPrEx>
        <w:trPr>
          <w:trHeight w:val="1550"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重点支出安排率</w:t>
            </w:r>
          </w:p>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（5分）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Autospacing="0" w:afterAutospacing="0" w:line="600" w:lineRule="exact"/>
              <w:jc w:val="both"/>
              <w:rPr>
                <w:rFonts w:ascii="宋体" w:hAnsi="宋体" w:cs="宋体"/>
                <w:sz w:val="21"/>
                <w:szCs w:val="21"/>
              </w:rPr>
            </w:pPr>
            <w:r>
              <w:rPr>
                <w:rFonts w:hint="eastAsia" w:ascii="宋体" w:hAnsi="宋体" w:cs="宋体"/>
                <w:sz w:val="21"/>
                <w:szCs w:val="21"/>
              </w:rPr>
              <w:t>部门本年度预算安排的重点项目支出与部门项目总支出的比率，用以反映和考核部门对履行主要职责或完成重点任务的保障程度。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Autospacing="0" w:afterAutospacing="0" w:line="600" w:lineRule="exact"/>
              <w:jc w:val="both"/>
              <w:rPr>
                <w:rFonts w:ascii="宋体" w:hAnsi="宋体" w:cs="宋体"/>
                <w:sz w:val="21"/>
                <w:szCs w:val="21"/>
              </w:rPr>
            </w:pPr>
            <w:r>
              <w:rPr>
                <w:rFonts w:hint="eastAsia" w:ascii="宋体" w:hAnsi="宋体" w:cs="宋体"/>
                <w:sz w:val="21"/>
                <w:szCs w:val="21"/>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Autospacing="0" w:afterAutospacing="0" w:line="600" w:lineRule="exact"/>
              <w:jc w:val="center"/>
              <w:rPr>
                <w:rFonts w:eastAsia="宋体"/>
              </w:rPr>
            </w:pPr>
            <w:r>
              <w:rPr>
                <w:rFonts w:hint="eastAsia"/>
              </w:rPr>
              <w:t>5</w:t>
            </w:r>
          </w:p>
        </w:tc>
      </w:tr>
      <w:tr>
        <w:tblPrEx>
          <w:tblCellMar>
            <w:top w:w="0" w:type="dxa"/>
            <w:left w:w="0" w:type="dxa"/>
            <w:bottom w:w="0" w:type="dxa"/>
            <w:right w:w="0" w:type="dxa"/>
          </w:tblCellMar>
        </w:tblPrEx>
        <w:trPr>
          <w:trHeight w:val="976" w:hRule="atLeast"/>
          <w:jc w:val="center"/>
        </w:trPr>
        <w:tc>
          <w:tcPr>
            <w:tcW w:w="690" w:type="dxa"/>
            <w:vMerge w:val="restart"/>
            <w:tcBorders>
              <w:top w:val="nil"/>
              <w:left w:val="single" w:color="auto" w:sz="8" w:space="0"/>
              <w:bottom w:val="single" w:color="auto" w:sz="8" w:space="0"/>
              <w:right w:val="single" w:color="auto" w:sz="8" w:space="0"/>
            </w:tcBorders>
            <w:tcMar>
              <w:top w:w="10" w:type="dxa"/>
              <w:left w:w="10" w:type="dxa"/>
              <w:right w:w="10" w:type="dxa"/>
            </w:tcMar>
            <w:vAlign w:val="center"/>
          </w:tcPr>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过程</w:t>
            </w:r>
          </w:p>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(40分)</w:t>
            </w:r>
          </w:p>
        </w:tc>
        <w:tc>
          <w:tcPr>
            <w:tcW w:w="704" w:type="dxa"/>
            <w:vMerge w:val="restart"/>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预算</w:t>
            </w:r>
            <w:r>
              <w:rPr>
                <w:rFonts w:hint="eastAsia" w:ascii="宋体" w:hAnsi="宋体" w:cs="宋体"/>
                <w:sz w:val="21"/>
                <w:szCs w:val="21"/>
              </w:rPr>
              <w:br w:type="textWrapping"/>
            </w:r>
            <w:r>
              <w:rPr>
                <w:rFonts w:hint="eastAsia" w:ascii="宋体" w:hAnsi="宋体" w:cs="宋体"/>
                <w:sz w:val="21"/>
                <w:szCs w:val="21"/>
              </w:rPr>
              <w:t>执行</w:t>
            </w:r>
          </w:p>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(23分)</w:t>
            </w: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预算</w:t>
            </w:r>
          </w:p>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完成率</w:t>
            </w:r>
          </w:p>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（4分）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Autospacing="0" w:afterAutospacing="0" w:line="600" w:lineRule="exact"/>
              <w:jc w:val="both"/>
              <w:rPr>
                <w:rFonts w:ascii="宋体" w:hAnsi="宋体" w:cs="宋体"/>
                <w:sz w:val="21"/>
                <w:szCs w:val="21"/>
              </w:rPr>
            </w:pPr>
            <w:r>
              <w:rPr>
                <w:rFonts w:hint="eastAsia" w:ascii="宋体" w:hAnsi="宋体" w:cs="宋体"/>
                <w:sz w:val="21"/>
                <w:szCs w:val="21"/>
              </w:rPr>
              <w:t>部门本年度预算完成数与预算数的比率，用以反映和考核部门预算完成程度。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Autospacing="0" w:afterAutospacing="0" w:line="600" w:lineRule="exact"/>
              <w:jc w:val="both"/>
              <w:rPr>
                <w:rFonts w:ascii="宋体" w:hAnsi="宋体" w:cs="宋体"/>
                <w:sz w:val="21"/>
                <w:szCs w:val="21"/>
              </w:rPr>
            </w:pPr>
            <w:r>
              <w:rPr>
                <w:rFonts w:hint="eastAsia" w:ascii="宋体" w:hAnsi="宋体" w:cs="宋体"/>
                <w:sz w:val="21"/>
                <w:szCs w:val="21"/>
              </w:rPr>
              <w:t>预算完成率=（预算完成数/预算数）×100%。完成年初预算计4分，未完成年初预算按比例扣减，预算完成数：部门本年度实际完成的预算数。预算数：财政部门批复的本年度部门预算数。</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Autospacing="0" w:afterAutospacing="0" w:line="600" w:lineRule="exact"/>
              <w:jc w:val="center"/>
              <w:rPr>
                <w:rFonts w:eastAsia="宋体"/>
              </w:rPr>
            </w:pPr>
            <w:r>
              <w:rPr>
                <w:rFonts w:hint="eastAsia"/>
              </w:rPr>
              <w:t>4</w:t>
            </w:r>
          </w:p>
        </w:tc>
      </w:tr>
      <w:tr>
        <w:tblPrEx>
          <w:tblCellMar>
            <w:top w:w="0" w:type="dxa"/>
            <w:left w:w="0" w:type="dxa"/>
            <w:bottom w:w="0" w:type="dxa"/>
            <w:right w:w="0" w:type="dxa"/>
          </w:tblCellMar>
        </w:tblPrEx>
        <w:trPr>
          <w:trHeight w:val="1500"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预算</w:t>
            </w:r>
          </w:p>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调整率</w:t>
            </w:r>
          </w:p>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（2分）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Autospacing="0" w:afterAutospacing="0" w:line="600" w:lineRule="exact"/>
              <w:jc w:val="both"/>
              <w:rPr>
                <w:rFonts w:ascii="宋体" w:hAnsi="宋体" w:cs="宋体"/>
                <w:sz w:val="21"/>
                <w:szCs w:val="21"/>
              </w:rPr>
            </w:pPr>
            <w:r>
              <w:rPr>
                <w:rFonts w:hint="eastAsia" w:ascii="宋体" w:hAnsi="宋体" w:cs="宋体"/>
                <w:sz w:val="21"/>
                <w:szCs w:val="21"/>
              </w:rPr>
              <w:t>部门本年度预算调整数与预算数的比率，用以反映和考核部门预算的调整程度。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Autospacing="0" w:afterAutospacing="0" w:line="600" w:lineRule="exact"/>
              <w:jc w:val="both"/>
              <w:rPr>
                <w:rFonts w:ascii="宋体" w:hAnsi="宋体" w:cs="宋体"/>
                <w:sz w:val="21"/>
                <w:szCs w:val="21"/>
              </w:rPr>
            </w:pPr>
            <w:r>
              <w:rPr>
                <w:rFonts w:hint="eastAsia" w:ascii="宋体" w:hAnsi="宋体" w:cs="宋体"/>
                <w:sz w:val="21"/>
                <w:szCs w:val="21"/>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Autospacing="0" w:afterAutospacing="0" w:line="600" w:lineRule="exact"/>
              <w:jc w:val="center"/>
              <w:rPr>
                <w:rFonts w:eastAsia="宋体"/>
              </w:rPr>
            </w:pPr>
            <w:r>
              <w:rPr>
                <w:rFonts w:hint="eastAsia"/>
              </w:rPr>
              <w:t>2</w:t>
            </w:r>
          </w:p>
        </w:tc>
      </w:tr>
      <w:tr>
        <w:tblPrEx>
          <w:tblCellMar>
            <w:top w:w="0" w:type="dxa"/>
            <w:left w:w="0" w:type="dxa"/>
            <w:bottom w:w="0" w:type="dxa"/>
            <w:right w:w="0" w:type="dxa"/>
          </w:tblCellMar>
        </w:tblPrEx>
        <w:trPr>
          <w:trHeight w:val="1770"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支付</w:t>
            </w:r>
          </w:p>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进度率</w:t>
            </w:r>
          </w:p>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（2分）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Autospacing="0" w:afterAutospacing="0" w:line="600" w:lineRule="exact"/>
              <w:jc w:val="both"/>
              <w:rPr>
                <w:rFonts w:ascii="宋体" w:hAnsi="宋体" w:cs="宋体"/>
                <w:sz w:val="21"/>
                <w:szCs w:val="21"/>
              </w:rPr>
            </w:pPr>
            <w:r>
              <w:rPr>
                <w:rFonts w:hint="eastAsia" w:ascii="宋体" w:hAnsi="宋体" w:cs="宋体"/>
                <w:sz w:val="21"/>
                <w:szCs w:val="21"/>
              </w:rPr>
              <w:t>部门实际支付进度与既定支付进度的比率，用以反映和考核部门预算执行的及时性和均衡性程度。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Autospacing="0" w:afterAutospacing="0" w:line="600" w:lineRule="exact"/>
              <w:jc w:val="both"/>
              <w:rPr>
                <w:rFonts w:ascii="宋体" w:hAnsi="宋体" w:cs="宋体"/>
                <w:sz w:val="21"/>
                <w:szCs w:val="21"/>
              </w:rPr>
            </w:pPr>
            <w:r>
              <w:rPr>
                <w:rFonts w:hint="eastAsia" w:ascii="宋体" w:hAnsi="宋体" w:cs="宋体"/>
                <w:sz w:val="21"/>
                <w:szCs w:val="21"/>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Autospacing="0" w:afterAutospacing="0" w:line="600" w:lineRule="exact"/>
              <w:jc w:val="center"/>
              <w:rPr>
                <w:rFonts w:eastAsia="宋体"/>
              </w:rPr>
            </w:pPr>
            <w:r>
              <w:rPr>
                <w:rFonts w:hint="eastAsia"/>
              </w:rPr>
              <w:t>2</w:t>
            </w:r>
          </w:p>
        </w:tc>
      </w:tr>
      <w:tr>
        <w:tblPrEx>
          <w:tblCellMar>
            <w:top w:w="0" w:type="dxa"/>
            <w:left w:w="0" w:type="dxa"/>
            <w:bottom w:w="0" w:type="dxa"/>
            <w:right w:w="0" w:type="dxa"/>
          </w:tblCellMar>
        </w:tblPrEx>
        <w:trPr>
          <w:trHeight w:val="1231"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结转结余控制率</w:t>
            </w:r>
          </w:p>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（4分）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Autospacing="0" w:afterAutospacing="0" w:line="600" w:lineRule="exact"/>
              <w:jc w:val="both"/>
              <w:rPr>
                <w:rFonts w:ascii="宋体" w:hAnsi="宋体" w:cs="宋体"/>
                <w:sz w:val="21"/>
                <w:szCs w:val="21"/>
              </w:rPr>
            </w:pPr>
            <w:r>
              <w:rPr>
                <w:rFonts w:hint="eastAsia" w:ascii="宋体" w:hAnsi="宋体" w:cs="宋体"/>
                <w:sz w:val="21"/>
                <w:szCs w:val="21"/>
              </w:rPr>
              <w:t>部门本年度结转结余总额与上年结转结余总额增减比例，用以反映和考核部门对存量资金的实际控制程度。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Autospacing="0" w:afterAutospacing="0" w:line="600" w:lineRule="exact"/>
              <w:jc w:val="both"/>
              <w:rPr>
                <w:rFonts w:ascii="宋体" w:hAnsi="宋体" w:cs="宋体"/>
                <w:sz w:val="21"/>
                <w:szCs w:val="21"/>
              </w:rPr>
            </w:pPr>
            <w:r>
              <w:rPr>
                <w:rFonts w:hint="eastAsia" w:ascii="宋体" w:hAnsi="宋体" w:cs="宋体"/>
                <w:sz w:val="21"/>
                <w:szCs w:val="21"/>
              </w:rPr>
              <w:t>结转结余控制率=（本年结转结余总额-上年结转结余总额）/上年结转结余总额×100%。低于15%的计4分，每超过5个百分点扣1分，扣完为止。结转结余总额：部门本年度的结转资金与结余资金之和（以决算数为准）。</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Autospacing="0" w:afterAutospacing="0" w:line="600" w:lineRule="exact"/>
              <w:jc w:val="center"/>
              <w:rPr>
                <w:rFonts w:eastAsia="宋体"/>
              </w:rPr>
            </w:pPr>
            <w:r>
              <w:rPr>
                <w:rFonts w:hint="eastAsia"/>
              </w:rPr>
              <w:t>4</w:t>
            </w:r>
          </w:p>
        </w:tc>
      </w:tr>
      <w:tr>
        <w:tblPrEx>
          <w:tblCellMar>
            <w:top w:w="0" w:type="dxa"/>
            <w:left w:w="0" w:type="dxa"/>
            <w:bottom w:w="0" w:type="dxa"/>
            <w:right w:w="0" w:type="dxa"/>
          </w:tblCellMar>
        </w:tblPrEx>
        <w:trPr>
          <w:trHeight w:val="936"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公用经费</w:t>
            </w:r>
          </w:p>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控制率</w:t>
            </w:r>
          </w:p>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（4分）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Autospacing="0" w:afterAutospacing="0" w:line="600" w:lineRule="exact"/>
              <w:jc w:val="both"/>
              <w:rPr>
                <w:rFonts w:ascii="宋体" w:hAnsi="宋体" w:cs="宋体"/>
                <w:sz w:val="21"/>
                <w:szCs w:val="21"/>
              </w:rPr>
            </w:pPr>
            <w:r>
              <w:rPr>
                <w:rFonts w:hint="eastAsia" w:ascii="宋体" w:hAnsi="宋体" w:cs="宋体"/>
                <w:sz w:val="21"/>
                <w:szCs w:val="21"/>
              </w:rPr>
              <w:t>部门本年度实际支出的公用经费总额与预算安排的公用经费总额的比率，用以反映和考核部门对机构运转成本的实际控制程度。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Autospacing="0" w:afterAutospacing="0" w:line="600" w:lineRule="exact"/>
              <w:jc w:val="both"/>
              <w:rPr>
                <w:rFonts w:ascii="宋体" w:hAnsi="宋体" w:cs="宋体"/>
                <w:sz w:val="21"/>
                <w:szCs w:val="21"/>
              </w:rPr>
            </w:pPr>
            <w:r>
              <w:rPr>
                <w:rFonts w:hint="eastAsia" w:ascii="宋体" w:hAnsi="宋体" w:cs="宋体"/>
                <w:sz w:val="21"/>
                <w:szCs w:val="21"/>
              </w:rPr>
              <w:t>公用经费控制率=（实际支出公用经费总额/预算安排公用经费总额）×100%。为100%的计4分，每超过1个百分点扣0.1分，扣完为止。</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Autospacing="0" w:afterAutospacing="0" w:line="600" w:lineRule="exact"/>
              <w:jc w:val="center"/>
              <w:rPr>
                <w:rFonts w:eastAsia="宋体"/>
              </w:rPr>
            </w:pPr>
            <w:r>
              <w:rPr>
                <w:rFonts w:hint="eastAsia"/>
              </w:rPr>
              <w:t>3.6</w:t>
            </w:r>
          </w:p>
        </w:tc>
      </w:tr>
      <w:tr>
        <w:tblPrEx>
          <w:tblCellMar>
            <w:top w:w="0" w:type="dxa"/>
            <w:left w:w="0" w:type="dxa"/>
            <w:bottom w:w="0" w:type="dxa"/>
            <w:right w:w="0" w:type="dxa"/>
          </w:tblCellMar>
        </w:tblPrEx>
        <w:trPr>
          <w:trHeight w:val="879"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“三公经费”控制率（3分）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Autospacing="0" w:afterAutospacing="0" w:line="600" w:lineRule="exact"/>
              <w:jc w:val="both"/>
              <w:rPr>
                <w:rFonts w:ascii="宋体" w:hAnsi="宋体" w:cs="宋体"/>
                <w:sz w:val="21"/>
                <w:szCs w:val="21"/>
              </w:rPr>
            </w:pPr>
            <w:r>
              <w:rPr>
                <w:rFonts w:hint="eastAsia" w:ascii="宋体" w:hAnsi="宋体" w:cs="宋体"/>
                <w:sz w:val="21"/>
                <w:szCs w:val="21"/>
              </w:rPr>
              <w:t>部门本年度“三公经费”实际支出数与预算安排数的比率，用以反映和考核部门对“三公经费”的实际控制程度。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Autospacing="0" w:afterAutospacing="0" w:line="600" w:lineRule="exact"/>
              <w:jc w:val="both"/>
              <w:rPr>
                <w:rFonts w:ascii="宋体" w:hAnsi="宋体" w:cs="宋体"/>
                <w:sz w:val="21"/>
                <w:szCs w:val="21"/>
              </w:rPr>
            </w:pPr>
            <w:r>
              <w:rPr>
                <w:rFonts w:hint="eastAsia" w:ascii="宋体" w:hAnsi="宋体" w:cs="宋体"/>
                <w:sz w:val="21"/>
                <w:szCs w:val="21"/>
              </w:rPr>
              <w:t>“三公经费”控制率=（“三公经费”实际支出数/“三公经费”预算安排数）×100%。为100%的计3分，每超过1个百分点扣0.5分，扣完为止。</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Autospacing="0" w:afterAutospacing="0" w:line="600" w:lineRule="exact"/>
              <w:jc w:val="center"/>
              <w:rPr>
                <w:rFonts w:eastAsia="宋体"/>
              </w:rPr>
            </w:pPr>
            <w:r>
              <w:rPr>
                <w:rFonts w:hint="eastAsia"/>
              </w:rPr>
              <w:t>0</w:t>
            </w:r>
          </w:p>
        </w:tc>
      </w:tr>
      <w:tr>
        <w:tblPrEx>
          <w:tblCellMar>
            <w:top w:w="0" w:type="dxa"/>
            <w:left w:w="0" w:type="dxa"/>
            <w:bottom w:w="0" w:type="dxa"/>
            <w:right w:w="0" w:type="dxa"/>
          </w:tblCellMar>
        </w:tblPrEx>
        <w:trPr>
          <w:trHeight w:val="1283"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政府采购</w:t>
            </w:r>
          </w:p>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执行率</w:t>
            </w:r>
          </w:p>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（4分）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Autospacing="0" w:afterAutospacing="0" w:line="600" w:lineRule="exact"/>
              <w:jc w:val="both"/>
              <w:rPr>
                <w:rFonts w:ascii="宋体" w:hAnsi="宋体" w:cs="宋体"/>
                <w:sz w:val="21"/>
                <w:szCs w:val="21"/>
              </w:rPr>
            </w:pPr>
            <w:r>
              <w:rPr>
                <w:rFonts w:hint="eastAsia" w:ascii="宋体" w:hAnsi="宋体" w:cs="宋体"/>
                <w:sz w:val="21"/>
                <w:szCs w:val="21"/>
              </w:rPr>
              <w:t>部门本年度实际政府采购金额与年初政府采购预算的比率，用以反映和考核部门政府采购预算执行情况。</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Autospacing="0" w:afterAutospacing="0" w:line="600" w:lineRule="exact"/>
              <w:jc w:val="both"/>
              <w:rPr>
                <w:rFonts w:ascii="宋体" w:hAnsi="宋体" w:cs="宋体"/>
                <w:sz w:val="21"/>
                <w:szCs w:val="21"/>
              </w:rPr>
            </w:pPr>
            <w:r>
              <w:rPr>
                <w:rFonts w:hint="eastAsia" w:ascii="宋体" w:hAnsi="宋体" w:cs="宋体"/>
                <w:sz w:val="21"/>
                <w:szCs w:val="21"/>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Autospacing="0" w:afterAutospacing="0" w:line="600" w:lineRule="exact"/>
              <w:jc w:val="center"/>
              <w:rPr>
                <w:rFonts w:eastAsia="宋体"/>
              </w:rPr>
            </w:pPr>
            <w:r>
              <w:rPr>
                <w:rFonts w:hint="eastAsia"/>
              </w:rPr>
              <w:t>4</w:t>
            </w:r>
          </w:p>
        </w:tc>
      </w:tr>
      <w:tr>
        <w:tblPrEx>
          <w:tblCellMar>
            <w:top w:w="0" w:type="dxa"/>
            <w:left w:w="0" w:type="dxa"/>
            <w:bottom w:w="0" w:type="dxa"/>
            <w:right w:w="0" w:type="dxa"/>
          </w:tblCellMar>
        </w:tblPrEx>
        <w:trPr>
          <w:trHeight w:val="952"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sz w:val="15"/>
                <w:szCs w:val="15"/>
              </w:rPr>
            </w:pPr>
          </w:p>
        </w:tc>
        <w:tc>
          <w:tcPr>
            <w:tcW w:w="704" w:type="dxa"/>
            <w:vMerge w:val="restart"/>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预算</w:t>
            </w:r>
          </w:p>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管理</w:t>
            </w:r>
          </w:p>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(12分)</w:t>
            </w: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管理制度</w:t>
            </w:r>
          </w:p>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健全性</w:t>
            </w:r>
          </w:p>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（2分）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Autospacing="0" w:afterAutospacing="0" w:line="600" w:lineRule="exact"/>
              <w:jc w:val="both"/>
              <w:rPr>
                <w:rFonts w:ascii="宋体" w:hAnsi="宋体" w:cs="宋体"/>
                <w:sz w:val="21"/>
                <w:szCs w:val="21"/>
              </w:rPr>
            </w:pPr>
            <w:r>
              <w:rPr>
                <w:rFonts w:hint="eastAsia" w:ascii="宋体" w:hAnsi="宋体" w:cs="宋体"/>
                <w:sz w:val="21"/>
                <w:szCs w:val="21"/>
              </w:rPr>
              <w:t>部门为加强预算管理、规范财务行为而制定的管理制度是否健全完整，用以反映和考核部门预算管理制度对完成主要职责或促进事业发展的保障情况。</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Autospacing="0" w:afterAutospacing="0" w:line="600" w:lineRule="exact"/>
              <w:jc w:val="both"/>
              <w:rPr>
                <w:rFonts w:ascii="宋体" w:hAnsi="宋体" w:cs="宋体"/>
                <w:sz w:val="21"/>
                <w:szCs w:val="21"/>
              </w:rPr>
            </w:pPr>
            <w:r>
              <w:rPr>
                <w:rFonts w:hint="eastAsia" w:ascii="宋体" w:hAnsi="宋体" w:cs="宋体"/>
                <w:sz w:val="21"/>
                <w:szCs w:val="21"/>
              </w:rPr>
              <w:t>已制定或具有预算资金管理办法、内部财务管理制度、会计核算制度等管理制度计1分；相关管理制度合法、合规、完整计0.5分；相关管理制度得到有效执行计0.5分。</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Autospacing="0" w:afterAutospacing="0" w:line="600" w:lineRule="exact"/>
              <w:jc w:val="center"/>
              <w:rPr>
                <w:rFonts w:eastAsia="宋体"/>
              </w:rPr>
            </w:pPr>
            <w:r>
              <w:rPr>
                <w:rFonts w:hint="eastAsia"/>
              </w:rPr>
              <w:t>2</w:t>
            </w:r>
          </w:p>
        </w:tc>
      </w:tr>
      <w:tr>
        <w:tblPrEx>
          <w:tblCellMar>
            <w:top w:w="0" w:type="dxa"/>
            <w:left w:w="0" w:type="dxa"/>
            <w:bottom w:w="0" w:type="dxa"/>
            <w:right w:w="0" w:type="dxa"/>
          </w:tblCellMar>
        </w:tblPrEx>
        <w:trPr>
          <w:trHeight w:val="1605"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资金使用</w:t>
            </w:r>
          </w:p>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合规性</w:t>
            </w:r>
          </w:p>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（5分）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Autospacing="0" w:afterAutospacing="0" w:line="600" w:lineRule="exact"/>
              <w:jc w:val="both"/>
              <w:rPr>
                <w:rFonts w:ascii="宋体" w:hAnsi="宋体" w:cs="宋体"/>
                <w:sz w:val="21"/>
                <w:szCs w:val="21"/>
              </w:rPr>
            </w:pPr>
            <w:r>
              <w:rPr>
                <w:rFonts w:hint="eastAsia" w:ascii="宋体" w:hAnsi="宋体" w:cs="宋体"/>
                <w:sz w:val="21"/>
                <w:szCs w:val="21"/>
              </w:rPr>
              <w:t>部门使用预算资金是否符合相关的预算财务管理制度的规定，用以反映和考核部门预算资金的规范运行情况。</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Autospacing="0" w:afterAutospacing="0" w:line="600" w:lineRule="exact"/>
              <w:jc w:val="both"/>
              <w:rPr>
                <w:rFonts w:ascii="宋体" w:hAnsi="宋体" w:cs="宋体"/>
                <w:sz w:val="21"/>
                <w:szCs w:val="21"/>
              </w:rPr>
            </w:pPr>
            <w:r>
              <w:rPr>
                <w:rFonts w:hint="eastAsia" w:ascii="宋体" w:hAnsi="宋体" w:cs="宋体"/>
                <w:sz w:val="21"/>
                <w:szCs w:val="21"/>
              </w:rPr>
              <w:t>①符合国家财经法规和财务管理制度规定以及有关专项资金管理办法的规定计1分；</w:t>
            </w:r>
          </w:p>
          <w:p>
            <w:pPr>
              <w:pStyle w:val="8"/>
              <w:widowControl/>
              <w:spacing w:beforeAutospacing="0" w:afterAutospacing="0" w:line="600" w:lineRule="exact"/>
              <w:jc w:val="both"/>
              <w:rPr>
                <w:rFonts w:ascii="宋体" w:hAnsi="宋体" w:cs="宋体"/>
                <w:sz w:val="21"/>
                <w:szCs w:val="21"/>
              </w:rPr>
            </w:pPr>
            <w:r>
              <w:rPr>
                <w:rFonts w:hint="eastAsia" w:ascii="宋体" w:hAnsi="宋体" w:cs="宋体"/>
                <w:sz w:val="21"/>
                <w:szCs w:val="21"/>
              </w:rPr>
              <w:t>②资金的拨付有完整的审批程序和手续计1分；</w:t>
            </w:r>
          </w:p>
          <w:p>
            <w:pPr>
              <w:pStyle w:val="8"/>
              <w:widowControl/>
              <w:spacing w:beforeAutospacing="0" w:afterAutospacing="0" w:line="600" w:lineRule="exact"/>
              <w:jc w:val="both"/>
              <w:rPr>
                <w:rFonts w:ascii="宋体" w:hAnsi="宋体" w:cs="宋体"/>
                <w:sz w:val="21"/>
                <w:szCs w:val="21"/>
              </w:rPr>
            </w:pPr>
            <w:r>
              <w:rPr>
                <w:rFonts w:hint="eastAsia" w:ascii="宋体" w:hAnsi="宋体" w:cs="宋体"/>
                <w:sz w:val="21"/>
                <w:szCs w:val="21"/>
              </w:rPr>
              <w:t>③项目的重大开支经过评估论证计1分；</w:t>
            </w:r>
          </w:p>
          <w:p>
            <w:pPr>
              <w:pStyle w:val="8"/>
              <w:widowControl/>
              <w:spacing w:beforeAutospacing="0" w:afterAutospacing="0" w:line="600" w:lineRule="exact"/>
              <w:jc w:val="both"/>
              <w:rPr>
                <w:rFonts w:ascii="宋体" w:hAnsi="宋体" w:cs="宋体"/>
                <w:sz w:val="21"/>
                <w:szCs w:val="21"/>
              </w:rPr>
            </w:pPr>
            <w:r>
              <w:rPr>
                <w:rFonts w:hint="eastAsia" w:ascii="宋体" w:hAnsi="宋体" w:cs="宋体"/>
                <w:sz w:val="21"/>
                <w:szCs w:val="21"/>
              </w:rPr>
              <w:t>④符合部门预算批复的用途计1分；</w:t>
            </w:r>
          </w:p>
          <w:p>
            <w:pPr>
              <w:pStyle w:val="8"/>
              <w:widowControl/>
              <w:spacing w:beforeAutospacing="0" w:afterAutospacing="0" w:line="600" w:lineRule="exact"/>
              <w:jc w:val="both"/>
              <w:rPr>
                <w:rFonts w:ascii="宋体" w:hAnsi="宋体" w:cs="宋体"/>
                <w:sz w:val="21"/>
                <w:szCs w:val="21"/>
              </w:rPr>
            </w:pPr>
            <w:r>
              <w:rPr>
                <w:rFonts w:hint="eastAsia" w:ascii="宋体" w:hAnsi="宋体" w:cs="宋体"/>
                <w:sz w:val="21"/>
                <w:szCs w:val="21"/>
              </w:rPr>
              <w:t>⑤不存在截留、挤占、挪用、虚列支出等情况计1分。</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Autospacing="0" w:afterAutospacing="0" w:line="600" w:lineRule="exact"/>
              <w:jc w:val="center"/>
              <w:rPr>
                <w:rFonts w:eastAsia="宋体"/>
              </w:rPr>
            </w:pPr>
            <w:r>
              <w:rPr>
                <w:rFonts w:hint="eastAsia"/>
              </w:rPr>
              <w:t>5</w:t>
            </w:r>
          </w:p>
        </w:tc>
      </w:tr>
      <w:tr>
        <w:tblPrEx>
          <w:tblCellMar>
            <w:top w:w="0" w:type="dxa"/>
            <w:left w:w="0" w:type="dxa"/>
            <w:bottom w:w="0" w:type="dxa"/>
            <w:right w:w="0" w:type="dxa"/>
          </w:tblCellMar>
        </w:tblPrEx>
        <w:trPr>
          <w:trHeight w:val="1259"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预决算信</w:t>
            </w:r>
          </w:p>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息公开性（2分）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Autospacing="0" w:afterAutospacing="0" w:line="600" w:lineRule="exact"/>
              <w:jc w:val="both"/>
              <w:rPr>
                <w:rFonts w:ascii="宋体" w:hAnsi="宋体" w:cs="宋体"/>
                <w:sz w:val="21"/>
                <w:szCs w:val="21"/>
              </w:rPr>
            </w:pPr>
            <w:r>
              <w:rPr>
                <w:rFonts w:hint="eastAsia" w:ascii="宋体" w:hAnsi="宋体" w:cs="宋体"/>
                <w:sz w:val="21"/>
                <w:szCs w:val="21"/>
              </w:rPr>
              <w:t>部门是否按照政府信息公开有关规定公开相关预决算信息，用以反映和考核部门预决算管理的公开透明情况。</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Autospacing="0" w:afterAutospacing="0" w:line="600" w:lineRule="exact"/>
              <w:jc w:val="both"/>
              <w:rPr>
                <w:rFonts w:ascii="宋体" w:hAnsi="宋体" w:cs="宋体"/>
                <w:sz w:val="21"/>
                <w:szCs w:val="21"/>
              </w:rPr>
            </w:pPr>
            <w:r>
              <w:rPr>
                <w:rFonts w:hint="eastAsia" w:ascii="宋体" w:hAnsi="宋体" w:cs="宋体"/>
                <w:sz w:val="21"/>
                <w:szCs w:val="21"/>
              </w:rPr>
              <w:t>①按规定内容公开预决算信息计1分；</w:t>
            </w:r>
          </w:p>
          <w:p>
            <w:pPr>
              <w:pStyle w:val="8"/>
              <w:widowControl/>
              <w:spacing w:beforeAutospacing="0" w:afterAutospacing="0" w:line="600" w:lineRule="exact"/>
              <w:jc w:val="both"/>
              <w:rPr>
                <w:rFonts w:ascii="宋体" w:hAnsi="宋体" w:cs="宋体"/>
                <w:sz w:val="21"/>
                <w:szCs w:val="21"/>
              </w:rPr>
            </w:pPr>
            <w:r>
              <w:rPr>
                <w:rFonts w:hint="eastAsia" w:ascii="宋体" w:hAnsi="宋体" w:cs="宋体"/>
                <w:sz w:val="21"/>
                <w:szCs w:val="21"/>
              </w:rPr>
              <w:t>②按规定时限公开预决算信息计1分。预决算信息是指与部门预算、执行、决算、监督、绩效等管理相关的信息。</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Autospacing="0" w:afterAutospacing="0" w:line="600" w:lineRule="exact"/>
              <w:jc w:val="center"/>
              <w:rPr>
                <w:rFonts w:eastAsia="宋体"/>
              </w:rPr>
            </w:pPr>
            <w:r>
              <w:rPr>
                <w:rFonts w:hint="eastAsia"/>
              </w:rPr>
              <w:t>2</w:t>
            </w:r>
          </w:p>
        </w:tc>
      </w:tr>
      <w:tr>
        <w:tblPrEx>
          <w:tblCellMar>
            <w:top w:w="0" w:type="dxa"/>
            <w:left w:w="0" w:type="dxa"/>
            <w:bottom w:w="0" w:type="dxa"/>
            <w:right w:w="0" w:type="dxa"/>
          </w:tblCellMar>
        </w:tblPrEx>
        <w:trPr>
          <w:trHeight w:val="934"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基础信息</w:t>
            </w:r>
          </w:p>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完善性</w:t>
            </w:r>
          </w:p>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（3分）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Autospacing="0" w:afterAutospacing="0" w:line="600" w:lineRule="exact"/>
              <w:jc w:val="both"/>
              <w:rPr>
                <w:rFonts w:ascii="宋体" w:hAnsi="宋体" w:cs="宋体"/>
                <w:sz w:val="21"/>
                <w:szCs w:val="21"/>
              </w:rPr>
            </w:pPr>
            <w:r>
              <w:rPr>
                <w:rFonts w:hint="eastAsia" w:ascii="宋体" w:hAnsi="宋体" w:cs="宋体"/>
                <w:sz w:val="21"/>
                <w:szCs w:val="21"/>
              </w:rPr>
              <w:t>部门基础信息是否完善，用以反映和考核基础信息对预算管理工作的支撑情况。</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Autospacing="0" w:afterAutospacing="0" w:line="600" w:lineRule="exact"/>
              <w:jc w:val="both"/>
              <w:rPr>
                <w:rFonts w:ascii="宋体" w:hAnsi="宋体" w:cs="宋体"/>
                <w:sz w:val="21"/>
                <w:szCs w:val="21"/>
              </w:rPr>
            </w:pPr>
            <w:r>
              <w:rPr>
                <w:rFonts w:hint="eastAsia" w:ascii="宋体" w:hAnsi="宋体" w:cs="宋体"/>
                <w:sz w:val="21"/>
                <w:szCs w:val="21"/>
              </w:rPr>
              <w:t>①基础数据信息和会计信息资料真实计1分；</w:t>
            </w:r>
          </w:p>
          <w:p>
            <w:pPr>
              <w:pStyle w:val="8"/>
              <w:widowControl/>
              <w:spacing w:beforeAutospacing="0" w:afterAutospacing="0" w:line="600" w:lineRule="exact"/>
              <w:jc w:val="both"/>
              <w:rPr>
                <w:rFonts w:ascii="宋体" w:hAnsi="宋体" w:cs="宋体"/>
                <w:sz w:val="21"/>
                <w:szCs w:val="21"/>
              </w:rPr>
            </w:pPr>
            <w:r>
              <w:rPr>
                <w:rFonts w:hint="eastAsia" w:ascii="宋体" w:hAnsi="宋体" w:cs="宋体"/>
                <w:sz w:val="21"/>
                <w:szCs w:val="21"/>
              </w:rPr>
              <w:t>②基础数据信息和会计信息资料完整计1分；</w:t>
            </w:r>
          </w:p>
          <w:p>
            <w:pPr>
              <w:pStyle w:val="8"/>
              <w:widowControl/>
              <w:spacing w:beforeAutospacing="0" w:afterAutospacing="0" w:line="600" w:lineRule="exact"/>
              <w:jc w:val="both"/>
              <w:rPr>
                <w:rFonts w:ascii="宋体" w:hAnsi="宋体" w:cs="宋体"/>
                <w:sz w:val="21"/>
                <w:szCs w:val="21"/>
              </w:rPr>
            </w:pPr>
            <w:r>
              <w:rPr>
                <w:rFonts w:hint="eastAsia" w:ascii="宋体" w:hAnsi="宋体" w:cs="宋体"/>
                <w:sz w:val="21"/>
                <w:szCs w:val="21"/>
              </w:rPr>
              <w:t>③基础数据信息和会计信息资料准确计1分。</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Autospacing="0" w:afterAutospacing="0" w:line="600" w:lineRule="exact"/>
              <w:jc w:val="center"/>
              <w:rPr>
                <w:rFonts w:eastAsia="宋体"/>
              </w:rPr>
            </w:pPr>
            <w:r>
              <w:rPr>
                <w:rFonts w:hint="eastAsia"/>
              </w:rPr>
              <w:t>3</w:t>
            </w:r>
          </w:p>
        </w:tc>
      </w:tr>
      <w:tr>
        <w:tblPrEx>
          <w:tblCellMar>
            <w:top w:w="0" w:type="dxa"/>
            <w:left w:w="0" w:type="dxa"/>
            <w:bottom w:w="0" w:type="dxa"/>
            <w:right w:w="0" w:type="dxa"/>
          </w:tblCellMar>
        </w:tblPrEx>
        <w:trPr>
          <w:trHeight w:val="968"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sz w:val="15"/>
                <w:szCs w:val="15"/>
              </w:rPr>
            </w:pPr>
          </w:p>
        </w:tc>
        <w:tc>
          <w:tcPr>
            <w:tcW w:w="704" w:type="dxa"/>
            <w:vMerge w:val="restart"/>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资产</w:t>
            </w:r>
            <w:r>
              <w:rPr>
                <w:rFonts w:hint="eastAsia" w:ascii="宋体" w:hAnsi="宋体" w:cs="宋体"/>
                <w:sz w:val="21"/>
                <w:szCs w:val="21"/>
              </w:rPr>
              <w:br w:type="textWrapping"/>
            </w:r>
            <w:r>
              <w:rPr>
                <w:rFonts w:hint="eastAsia" w:ascii="宋体" w:hAnsi="宋体" w:cs="宋体"/>
                <w:sz w:val="21"/>
                <w:szCs w:val="21"/>
              </w:rPr>
              <w:t>管理</w:t>
            </w:r>
          </w:p>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（5分）</w:t>
            </w: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管理制度</w:t>
            </w:r>
          </w:p>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健全性</w:t>
            </w:r>
          </w:p>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（2分）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Autospacing="0" w:afterAutospacing="0" w:line="600" w:lineRule="exact"/>
              <w:jc w:val="both"/>
              <w:rPr>
                <w:rFonts w:ascii="宋体" w:hAnsi="宋体" w:cs="宋体"/>
                <w:sz w:val="21"/>
                <w:szCs w:val="21"/>
              </w:rPr>
            </w:pPr>
            <w:r>
              <w:rPr>
                <w:rFonts w:hint="eastAsia" w:ascii="宋体" w:hAnsi="宋体" w:cs="宋体"/>
                <w:sz w:val="21"/>
                <w:szCs w:val="21"/>
              </w:rPr>
              <w:t>部门为加强资产管理、规范资产管理行为而制定的管理制度是否健全完整，用以反映和考核部门资产管理制度对完成主要职责或促进社会发展的保障情况。</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Autospacing="0" w:afterAutospacing="0" w:line="600" w:lineRule="exact"/>
              <w:jc w:val="both"/>
              <w:rPr>
                <w:rFonts w:ascii="宋体" w:hAnsi="宋体" w:cs="宋体"/>
                <w:sz w:val="21"/>
                <w:szCs w:val="21"/>
              </w:rPr>
            </w:pPr>
            <w:r>
              <w:rPr>
                <w:rFonts w:hint="eastAsia" w:ascii="宋体" w:hAnsi="宋体" w:cs="宋体"/>
                <w:sz w:val="21"/>
                <w:szCs w:val="21"/>
              </w:rPr>
              <w:t>①制定或具有资产管理制度计1分；</w:t>
            </w:r>
          </w:p>
          <w:p>
            <w:pPr>
              <w:pStyle w:val="8"/>
              <w:widowControl/>
              <w:spacing w:beforeAutospacing="0" w:afterAutospacing="0" w:line="600" w:lineRule="exact"/>
              <w:jc w:val="both"/>
              <w:rPr>
                <w:rFonts w:ascii="宋体" w:hAnsi="宋体" w:cs="宋体"/>
                <w:sz w:val="21"/>
                <w:szCs w:val="21"/>
              </w:rPr>
            </w:pPr>
            <w:r>
              <w:rPr>
                <w:rFonts w:hint="eastAsia" w:ascii="宋体" w:hAnsi="宋体" w:cs="宋体"/>
                <w:sz w:val="21"/>
                <w:szCs w:val="21"/>
              </w:rPr>
              <w:t>②相关资金管理制度合法、合规、完整计0.5分；</w:t>
            </w:r>
          </w:p>
          <w:p>
            <w:pPr>
              <w:pStyle w:val="8"/>
              <w:widowControl/>
              <w:spacing w:beforeAutospacing="0" w:afterAutospacing="0" w:line="600" w:lineRule="exact"/>
              <w:jc w:val="both"/>
              <w:rPr>
                <w:rFonts w:ascii="宋体" w:hAnsi="宋体" w:cs="宋体"/>
                <w:sz w:val="21"/>
                <w:szCs w:val="21"/>
              </w:rPr>
            </w:pPr>
            <w:r>
              <w:rPr>
                <w:rFonts w:hint="eastAsia" w:ascii="宋体" w:hAnsi="宋体" w:cs="宋体"/>
                <w:sz w:val="21"/>
                <w:szCs w:val="21"/>
              </w:rPr>
              <w:t>③相关资产管理制度得到有效执行计0.5分。</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Autospacing="0" w:afterAutospacing="0" w:line="600" w:lineRule="exact"/>
              <w:jc w:val="center"/>
              <w:rPr>
                <w:rFonts w:eastAsia="宋体"/>
              </w:rPr>
            </w:pPr>
            <w:r>
              <w:rPr>
                <w:rFonts w:hint="eastAsia"/>
              </w:rPr>
              <w:t>2</w:t>
            </w:r>
          </w:p>
        </w:tc>
      </w:tr>
      <w:tr>
        <w:tblPrEx>
          <w:tblCellMar>
            <w:top w:w="0" w:type="dxa"/>
            <w:left w:w="0" w:type="dxa"/>
            <w:bottom w:w="0" w:type="dxa"/>
            <w:right w:w="0" w:type="dxa"/>
          </w:tblCellMar>
        </w:tblPrEx>
        <w:trPr>
          <w:trHeight w:val="1566"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资产管理</w:t>
            </w:r>
          </w:p>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安全性</w:t>
            </w:r>
          </w:p>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（2分）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761"/>
                <w:tab w:val="left" w:pos="2604"/>
              </w:tabs>
              <w:spacing w:beforeAutospacing="0" w:afterAutospacing="0" w:line="600" w:lineRule="exact"/>
              <w:jc w:val="both"/>
              <w:rPr>
                <w:rFonts w:ascii="宋体" w:hAnsi="宋体" w:cs="宋体"/>
                <w:sz w:val="21"/>
                <w:szCs w:val="21"/>
              </w:rPr>
            </w:pPr>
            <w:r>
              <w:rPr>
                <w:rFonts w:hint="eastAsia" w:ascii="宋体" w:hAnsi="宋体" w:cs="宋体"/>
                <w:sz w:val="21"/>
                <w:szCs w:val="21"/>
              </w:rPr>
              <w:t>部门的资产是否保存完整、使用合规、配置合理、处置规范、收入及时足额上缴，用以反映和考核部门资产安全运行情况。</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Autospacing="0" w:afterAutospacing="0" w:line="600" w:lineRule="exact"/>
              <w:jc w:val="both"/>
              <w:rPr>
                <w:rFonts w:ascii="宋体" w:hAnsi="宋体" w:cs="宋体"/>
                <w:sz w:val="21"/>
                <w:szCs w:val="21"/>
              </w:rPr>
            </w:pPr>
            <w:r>
              <w:rPr>
                <w:rFonts w:hint="eastAsia" w:ascii="宋体" w:hAnsi="宋体" w:cs="宋体"/>
                <w:sz w:val="21"/>
                <w:szCs w:val="21"/>
              </w:rPr>
              <w:t>①资产保存完整计0.4分；</w:t>
            </w:r>
          </w:p>
          <w:p>
            <w:pPr>
              <w:pStyle w:val="8"/>
              <w:widowControl/>
              <w:spacing w:beforeAutospacing="0" w:afterAutospacing="0" w:line="600" w:lineRule="exact"/>
              <w:jc w:val="both"/>
              <w:rPr>
                <w:rFonts w:ascii="宋体" w:hAnsi="宋体" w:cs="宋体"/>
                <w:sz w:val="21"/>
                <w:szCs w:val="21"/>
              </w:rPr>
            </w:pPr>
            <w:r>
              <w:rPr>
                <w:rFonts w:hint="eastAsia" w:ascii="宋体" w:hAnsi="宋体" w:cs="宋体"/>
                <w:sz w:val="21"/>
                <w:szCs w:val="21"/>
              </w:rPr>
              <w:t>②资产配置合理计0.4分；</w:t>
            </w:r>
          </w:p>
          <w:p>
            <w:pPr>
              <w:pStyle w:val="8"/>
              <w:widowControl/>
              <w:spacing w:beforeAutospacing="0" w:afterAutospacing="0" w:line="600" w:lineRule="exact"/>
              <w:jc w:val="both"/>
              <w:rPr>
                <w:rFonts w:ascii="宋体" w:hAnsi="宋体" w:cs="宋体"/>
                <w:sz w:val="21"/>
                <w:szCs w:val="21"/>
              </w:rPr>
            </w:pPr>
            <w:r>
              <w:rPr>
                <w:rFonts w:hint="eastAsia" w:ascii="宋体" w:hAnsi="宋体" w:cs="宋体"/>
                <w:sz w:val="21"/>
                <w:szCs w:val="21"/>
              </w:rPr>
              <w:t>③资产处置规范计0.4分；</w:t>
            </w:r>
          </w:p>
          <w:p>
            <w:pPr>
              <w:pStyle w:val="8"/>
              <w:widowControl/>
              <w:spacing w:beforeAutospacing="0" w:afterAutospacing="0" w:line="600" w:lineRule="exact"/>
              <w:jc w:val="both"/>
              <w:rPr>
                <w:rFonts w:ascii="宋体" w:hAnsi="宋体" w:cs="宋体"/>
                <w:sz w:val="21"/>
                <w:szCs w:val="21"/>
              </w:rPr>
            </w:pPr>
            <w:r>
              <w:rPr>
                <w:rFonts w:hint="eastAsia" w:ascii="宋体" w:hAnsi="宋体" w:cs="宋体"/>
                <w:sz w:val="21"/>
                <w:szCs w:val="21"/>
              </w:rPr>
              <w:t>④资产账务管理合规、</w:t>
            </w:r>
            <w:r>
              <w:rPr>
                <w:rFonts w:hint="eastAsia" w:ascii="宋体" w:hAnsi="宋体" w:cs="宋体"/>
                <w:sz w:val="21"/>
                <w:szCs w:val="21"/>
                <w:lang w:val="en-US" w:eastAsia="zh-CN"/>
              </w:rPr>
              <w:t>账</w:t>
            </w:r>
            <w:bookmarkStart w:id="0" w:name="_GoBack"/>
            <w:bookmarkEnd w:id="0"/>
            <w:r>
              <w:rPr>
                <w:rFonts w:hint="eastAsia" w:ascii="宋体" w:hAnsi="宋体" w:cs="宋体"/>
                <w:sz w:val="21"/>
                <w:szCs w:val="21"/>
              </w:rPr>
              <w:t>实相符计0.4分；</w:t>
            </w:r>
          </w:p>
          <w:p>
            <w:pPr>
              <w:pStyle w:val="8"/>
              <w:widowControl/>
              <w:spacing w:beforeAutospacing="0" w:afterAutospacing="0" w:line="600" w:lineRule="exact"/>
              <w:jc w:val="both"/>
              <w:rPr>
                <w:rFonts w:ascii="宋体" w:hAnsi="宋体" w:cs="宋体"/>
                <w:sz w:val="21"/>
                <w:szCs w:val="21"/>
              </w:rPr>
            </w:pPr>
            <w:r>
              <w:rPr>
                <w:rFonts w:hint="eastAsia" w:ascii="宋体" w:hAnsi="宋体" w:cs="宋体"/>
                <w:sz w:val="21"/>
                <w:szCs w:val="21"/>
              </w:rPr>
              <w:t>⑤资产有偿使用及处置收入及时足额上缴计0.4分。</w:t>
            </w:r>
          </w:p>
        </w:tc>
        <w:tc>
          <w:tcPr>
            <w:tcW w:w="768" w:type="dxa"/>
            <w:tcBorders>
              <w:top w:val="nil"/>
              <w:left w:val="nil"/>
              <w:bottom w:val="single" w:color="auto" w:sz="8" w:space="0"/>
              <w:right w:val="single" w:color="auto" w:sz="8" w:space="0"/>
            </w:tcBorders>
            <w:vAlign w:val="center"/>
          </w:tcPr>
          <w:p>
            <w:pPr>
              <w:pStyle w:val="8"/>
              <w:widowControl/>
              <w:tabs>
                <w:tab w:val="left" w:pos="761"/>
                <w:tab w:val="left" w:pos="2604"/>
              </w:tabs>
              <w:spacing w:beforeAutospacing="0" w:afterAutospacing="0" w:line="600" w:lineRule="exact"/>
              <w:jc w:val="center"/>
              <w:rPr>
                <w:rFonts w:eastAsia="宋体"/>
              </w:rPr>
            </w:pPr>
            <w:r>
              <w:rPr>
                <w:rFonts w:hint="eastAsia"/>
              </w:rPr>
              <w:t>2</w:t>
            </w:r>
          </w:p>
        </w:tc>
      </w:tr>
      <w:tr>
        <w:tblPrEx>
          <w:tblCellMar>
            <w:top w:w="0" w:type="dxa"/>
            <w:left w:w="0" w:type="dxa"/>
            <w:bottom w:w="0" w:type="dxa"/>
            <w:right w:w="0" w:type="dxa"/>
          </w:tblCellMar>
        </w:tblPrEx>
        <w:trPr>
          <w:trHeight w:val="1059"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固定资产</w:t>
            </w:r>
          </w:p>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利用率</w:t>
            </w:r>
          </w:p>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（1分）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Autospacing="0" w:afterAutospacing="0" w:line="600" w:lineRule="exact"/>
              <w:jc w:val="both"/>
              <w:rPr>
                <w:rFonts w:ascii="宋体" w:hAnsi="宋体" w:cs="宋体"/>
                <w:sz w:val="21"/>
                <w:szCs w:val="21"/>
              </w:rPr>
            </w:pPr>
            <w:r>
              <w:rPr>
                <w:rFonts w:hint="eastAsia" w:ascii="宋体" w:hAnsi="宋体" w:cs="宋体"/>
                <w:sz w:val="21"/>
                <w:szCs w:val="21"/>
              </w:rPr>
              <w:t>部门实际在用固定资产总额与所有固定资产总额的比率，用以反映和考核部门固定资产使用效率程度。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Autospacing="0" w:afterAutospacing="0" w:line="600" w:lineRule="exact"/>
              <w:jc w:val="both"/>
              <w:rPr>
                <w:rFonts w:ascii="宋体" w:hAnsi="宋体" w:cs="宋体"/>
                <w:sz w:val="21"/>
                <w:szCs w:val="21"/>
              </w:rPr>
            </w:pPr>
            <w:r>
              <w:rPr>
                <w:rFonts w:hint="eastAsia" w:ascii="宋体" w:hAnsi="宋体" w:cs="宋体"/>
                <w:sz w:val="21"/>
                <w:szCs w:val="21"/>
              </w:rPr>
              <w:t>固定资产利用率=（实际在用固定资产总额/所有固定资产总额）×100%。利用率为100%的计1分，每降1个百分点扣0.1分，扣完为止。</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Autospacing="0" w:afterAutospacing="0" w:line="600" w:lineRule="exact"/>
              <w:jc w:val="center"/>
              <w:rPr>
                <w:rFonts w:eastAsia="宋体"/>
              </w:rPr>
            </w:pPr>
            <w:r>
              <w:rPr>
                <w:rFonts w:hint="eastAsia"/>
              </w:rPr>
              <w:t>1</w:t>
            </w:r>
          </w:p>
        </w:tc>
      </w:tr>
      <w:tr>
        <w:tblPrEx>
          <w:tblCellMar>
            <w:top w:w="0" w:type="dxa"/>
            <w:left w:w="0" w:type="dxa"/>
            <w:bottom w:w="0" w:type="dxa"/>
            <w:right w:w="0" w:type="dxa"/>
          </w:tblCellMar>
        </w:tblPrEx>
        <w:trPr>
          <w:trHeight w:val="894" w:hRule="atLeast"/>
          <w:jc w:val="center"/>
        </w:trPr>
        <w:tc>
          <w:tcPr>
            <w:tcW w:w="690" w:type="dxa"/>
            <w:vMerge w:val="restart"/>
            <w:tcBorders>
              <w:top w:val="nil"/>
              <w:left w:val="single" w:color="auto" w:sz="8" w:space="0"/>
              <w:bottom w:val="single" w:color="auto" w:sz="8" w:space="0"/>
              <w:right w:val="single" w:color="auto" w:sz="8" w:space="0"/>
            </w:tcBorders>
            <w:tcMar>
              <w:top w:w="10" w:type="dxa"/>
              <w:left w:w="10" w:type="dxa"/>
              <w:right w:w="10" w:type="dxa"/>
            </w:tcMar>
            <w:vAlign w:val="center"/>
          </w:tcPr>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产出</w:t>
            </w:r>
          </w:p>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(20分)</w:t>
            </w:r>
          </w:p>
        </w:tc>
        <w:tc>
          <w:tcPr>
            <w:tcW w:w="704" w:type="dxa"/>
            <w:vMerge w:val="restart"/>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职责</w:t>
            </w:r>
            <w:r>
              <w:rPr>
                <w:rFonts w:hint="eastAsia" w:ascii="宋体" w:hAnsi="宋体" w:cs="宋体"/>
                <w:sz w:val="21"/>
                <w:szCs w:val="21"/>
              </w:rPr>
              <w:br w:type="textWrapping"/>
            </w:r>
            <w:r>
              <w:rPr>
                <w:rFonts w:hint="eastAsia" w:ascii="宋体" w:hAnsi="宋体" w:cs="宋体"/>
                <w:sz w:val="21"/>
                <w:szCs w:val="21"/>
              </w:rPr>
              <w:t>履行</w:t>
            </w: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实际完成率（5分）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Autospacing="0" w:afterAutospacing="0" w:line="600" w:lineRule="exact"/>
              <w:jc w:val="both"/>
              <w:rPr>
                <w:rFonts w:ascii="宋体" w:hAnsi="宋体" w:cs="宋体"/>
                <w:sz w:val="21"/>
                <w:szCs w:val="21"/>
              </w:rPr>
            </w:pPr>
            <w:r>
              <w:rPr>
                <w:rFonts w:hint="eastAsia" w:ascii="宋体" w:hAnsi="宋体" w:cs="宋体"/>
                <w:sz w:val="21"/>
                <w:szCs w:val="21"/>
              </w:rPr>
              <w:t>部门履行职责而实际完成工作数与计划工作数的比率，用以反映和考核部门履职工作任务目标的实现程度。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Autospacing="0" w:afterAutospacing="0" w:line="600" w:lineRule="exact"/>
              <w:jc w:val="both"/>
              <w:rPr>
                <w:rFonts w:ascii="宋体" w:hAnsi="宋体" w:cs="宋体"/>
                <w:sz w:val="21"/>
                <w:szCs w:val="21"/>
              </w:rPr>
            </w:pPr>
            <w:r>
              <w:rPr>
                <w:rFonts w:hint="eastAsia" w:ascii="宋体" w:hAnsi="宋体" w:cs="宋体"/>
                <w:sz w:val="21"/>
                <w:szCs w:val="21"/>
              </w:rPr>
              <w:t>实际完成率得分=完成县委县政府绩效考核得分或上级主管部门考核指标得分/指标分值*5分</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Autospacing="0" w:afterAutospacing="0" w:line="600" w:lineRule="exact"/>
              <w:jc w:val="center"/>
              <w:rPr>
                <w:rFonts w:eastAsia="宋体"/>
              </w:rPr>
            </w:pPr>
            <w:r>
              <w:rPr>
                <w:rFonts w:hint="eastAsia"/>
              </w:rPr>
              <w:t>5</w:t>
            </w:r>
          </w:p>
        </w:tc>
      </w:tr>
      <w:tr>
        <w:tblPrEx>
          <w:tblCellMar>
            <w:top w:w="0" w:type="dxa"/>
            <w:left w:w="0" w:type="dxa"/>
            <w:bottom w:w="0" w:type="dxa"/>
            <w:right w:w="0" w:type="dxa"/>
          </w:tblCellMar>
        </w:tblPrEx>
        <w:trPr>
          <w:trHeight w:val="864"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完成及时率（4分）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Autospacing="0" w:afterAutospacing="0" w:line="600" w:lineRule="exact"/>
              <w:jc w:val="both"/>
              <w:rPr>
                <w:rFonts w:ascii="宋体" w:hAnsi="宋体" w:cs="宋体"/>
                <w:sz w:val="21"/>
                <w:szCs w:val="21"/>
              </w:rPr>
            </w:pPr>
            <w:r>
              <w:rPr>
                <w:rFonts w:hint="eastAsia" w:ascii="宋体" w:hAnsi="宋体" w:cs="宋体"/>
                <w:sz w:val="21"/>
                <w:szCs w:val="21"/>
              </w:rPr>
              <w:t>部门在规定时限内及时完成的实际工作数与计划工作数的比率,用以反映和考核部门履职时效目标的实现程度。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Autospacing="0" w:after="210" w:afterAutospacing="0" w:line="600" w:lineRule="exact"/>
              <w:jc w:val="both"/>
              <w:rPr>
                <w:rFonts w:ascii="宋体" w:hAnsi="宋体" w:cs="宋体"/>
                <w:sz w:val="21"/>
                <w:szCs w:val="21"/>
              </w:rPr>
            </w:pPr>
            <w:r>
              <w:rPr>
                <w:rFonts w:hint="eastAsia" w:ascii="宋体" w:hAnsi="宋体" w:cs="宋体"/>
                <w:sz w:val="21"/>
                <w:szCs w:val="21"/>
              </w:rPr>
              <w:t>完成及时率=（及时完成实际工作数/计划工作数）×100%。1-4季度各得1分</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Autospacing="0" w:afterAutospacing="0" w:line="600" w:lineRule="exact"/>
              <w:jc w:val="center"/>
              <w:rPr>
                <w:rFonts w:eastAsia="宋体"/>
              </w:rPr>
            </w:pPr>
            <w:r>
              <w:rPr>
                <w:rFonts w:hint="eastAsia"/>
              </w:rPr>
              <w:t>4</w:t>
            </w:r>
          </w:p>
        </w:tc>
      </w:tr>
      <w:tr>
        <w:tblPrEx>
          <w:tblCellMar>
            <w:top w:w="0" w:type="dxa"/>
            <w:left w:w="0" w:type="dxa"/>
            <w:bottom w:w="0" w:type="dxa"/>
            <w:right w:w="0" w:type="dxa"/>
          </w:tblCellMar>
        </w:tblPrEx>
        <w:trPr>
          <w:trHeight w:val="804"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质量达标率（5分）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Autospacing="0" w:afterAutospacing="0" w:line="600" w:lineRule="exact"/>
              <w:jc w:val="both"/>
              <w:rPr>
                <w:rFonts w:ascii="宋体" w:hAnsi="宋体" w:cs="宋体"/>
                <w:sz w:val="21"/>
                <w:szCs w:val="21"/>
              </w:rPr>
            </w:pPr>
            <w:r>
              <w:rPr>
                <w:rFonts w:hint="eastAsia" w:ascii="宋体" w:hAnsi="宋体" w:cs="宋体"/>
                <w:sz w:val="21"/>
                <w:szCs w:val="21"/>
              </w:rPr>
              <w:t>达到质量标准（绩效标准值）的实际工作数与计划工作数的比率,用以反映和考核部门履职质量目标的实现程度。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Autospacing="0" w:afterAutospacing="0" w:line="600" w:lineRule="exact"/>
              <w:jc w:val="both"/>
              <w:rPr>
                <w:rFonts w:ascii="宋体" w:hAnsi="宋体" w:cs="宋体"/>
                <w:sz w:val="21"/>
                <w:szCs w:val="21"/>
              </w:rPr>
            </w:pPr>
            <w:r>
              <w:rPr>
                <w:rFonts w:hint="eastAsia" w:ascii="宋体" w:hAnsi="宋体" w:cs="宋体"/>
                <w:sz w:val="21"/>
                <w:szCs w:val="21"/>
              </w:rPr>
              <w:t>质量达标率=（质量达标实际工作数/计划工作数）×100%。实际得分=达标率*5分</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Autospacing="0" w:afterAutospacing="0" w:line="600" w:lineRule="exact"/>
              <w:jc w:val="center"/>
              <w:rPr>
                <w:rFonts w:eastAsia="宋体"/>
              </w:rPr>
            </w:pPr>
            <w:r>
              <w:rPr>
                <w:rFonts w:hint="eastAsia"/>
              </w:rPr>
              <w:t>5</w:t>
            </w:r>
          </w:p>
        </w:tc>
      </w:tr>
      <w:tr>
        <w:tblPrEx>
          <w:tblCellMar>
            <w:top w:w="0" w:type="dxa"/>
            <w:left w:w="0" w:type="dxa"/>
            <w:bottom w:w="0" w:type="dxa"/>
            <w:right w:w="0" w:type="dxa"/>
          </w:tblCellMar>
        </w:tblPrEx>
        <w:trPr>
          <w:trHeight w:val="1059"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重点工作</w:t>
            </w:r>
          </w:p>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办结率</w:t>
            </w:r>
          </w:p>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（6分）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Autospacing="0" w:afterAutospacing="0" w:line="600" w:lineRule="exact"/>
              <w:jc w:val="both"/>
              <w:rPr>
                <w:rFonts w:ascii="宋体" w:hAnsi="宋体" w:cs="宋体"/>
                <w:sz w:val="21"/>
                <w:szCs w:val="21"/>
              </w:rPr>
            </w:pPr>
            <w:r>
              <w:rPr>
                <w:rFonts w:hint="eastAsia" w:ascii="宋体" w:hAnsi="宋体" w:cs="宋体"/>
                <w:sz w:val="21"/>
                <w:szCs w:val="21"/>
              </w:rPr>
              <w:t>部门年度重点工作实际完成数与交办或下达数的比率，用以反映部门对重点工作的办理落实程度。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Autospacing="0" w:afterAutospacing="0" w:line="600" w:lineRule="exact"/>
              <w:jc w:val="both"/>
              <w:rPr>
                <w:rFonts w:ascii="宋体" w:hAnsi="宋体" w:cs="宋体"/>
                <w:sz w:val="21"/>
                <w:szCs w:val="21"/>
              </w:rPr>
            </w:pPr>
            <w:r>
              <w:rPr>
                <w:rFonts w:hint="eastAsia" w:ascii="宋体" w:hAnsi="宋体" w:cs="宋体"/>
                <w:sz w:val="21"/>
                <w:szCs w:val="21"/>
              </w:rPr>
              <w:t>重点工作办结率=（重点工作实际完成数/交办或下达数）×100%。实际得分=办结率*6分</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Autospacing="0" w:afterAutospacing="0" w:line="600" w:lineRule="exact"/>
              <w:jc w:val="center"/>
              <w:rPr>
                <w:rFonts w:eastAsia="宋体"/>
              </w:rPr>
            </w:pPr>
            <w:r>
              <w:rPr>
                <w:rFonts w:hint="eastAsia"/>
              </w:rPr>
              <w:t>6</w:t>
            </w:r>
          </w:p>
        </w:tc>
      </w:tr>
      <w:tr>
        <w:tblPrEx>
          <w:tblCellMar>
            <w:top w:w="0" w:type="dxa"/>
            <w:left w:w="0" w:type="dxa"/>
            <w:bottom w:w="0" w:type="dxa"/>
            <w:right w:w="0" w:type="dxa"/>
          </w:tblCellMar>
        </w:tblPrEx>
        <w:trPr>
          <w:trHeight w:val="644" w:hRule="atLeast"/>
          <w:jc w:val="center"/>
        </w:trPr>
        <w:tc>
          <w:tcPr>
            <w:tcW w:w="690" w:type="dxa"/>
            <w:vMerge w:val="restart"/>
            <w:tcBorders>
              <w:top w:val="nil"/>
              <w:left w:val="single" w:color="auto" w:sz="8" w:space="0"/>
              <w:bottom w:val="single" w:color="auto" w:sz="8" w:space="0"/>
              <w:right w:val="single" w:color="auto" w:sz="8" w:space="0"/>
            </w:tcBorders>
            <w:tcMar>
              <w:top w:w="10" w:type="dxa"/>
              <w:left w:w="10" w:type="dxa"/>
              <w:right w:w="10" w:type="dxa"/>
            </w:tcMar>
            <w:vAlign w:val="center"/>
          </w:tcPr>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效果</w:t>
            </w:r>
          </w:p>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(20分)</w:t>
            </w:r>
          </w:p>
        </w:tc>
        <w:tc>
          <w:tcPr>
            <w:tcW w:w="704" w:type="dxa"/>
            <w:vMerge w:val="restart"/>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履职</w:t>
            </w:r>
            <w:r>
              <w:rPr>
                <w:rFonts w:hint="eastAsia" w:ascii="宋体" w:hAnsi="宋体" w:cs="宋体"/>
                <w:sz w:val="21"/>
                <w:szCs w:val="21"/>
              </w:rPr>
              <w:br w:type="textWrapping"/>
            </w:r>
            <w:r>
              <w:rPr>
                <w:rFonts w:hint="eastAsia" w:ascii="宋体" w:hAnsi="宋体" w:cs="宋体"/>
                <w:sz w:val="21"/>
                <w:szCs w:val="21"/>
              </w:rPr>
              <w:t>效益(20分)</w:t>
            </w: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经济效益（5分）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Autospacing="0" w:afterAutospacing="0" w:line="600" w:lineRule="exact"/>
              <w:jc w:val="both"/>
              <w:rPr>
                <w:rFonts w:ascii="宋体" w:hAnsi="宋体" w:cs="宋体"/>
                <w:sz w:val="21"/>
                <w:szCs w:val="21"/>
              </w:rPr>
            </w:pPr>
            <w:r>
              <w:rPr>
                <w:rFonts w:hint="eastAsia" w:ascii="宋体" w:hAnsi="宋体" w:cs="宋体"/>
                <w:sz w:val="21"/>
                <w:szCs w:val="21"/>
              </w:rPr>
              <w:t>部门履行职责对经济发展所带来的直接或间接影响。</w:t>
            </w:r>
          </w:p>
        </w:tc>
        <w:tc>
          <w:tcPr>
            <w:tcW w:w="5825" w:type="dxa"/>
            <w:tcBorders>
              <w:top w:val="nil"/>
              <w:left w:val="nil"/>
              <w:bottom w:val="single" w:color="auto" w:sz="4" w:space="0"/>
              <w:right w:val="single" w:color="auto" w:sz="8" w:space="0"/>
            </w:tcBorders>
            <w:tcMar>
              <w:top w:w="10" w:type="dxa"/>
              <w:left w:w="10" w:type="dxa"/>
              <w:right w:w="10" w:type="dxa"/>
            </w:tcMar>
            <w:vAlign w:val="center"/>
          </w:tcPr>
          <w:p>
            <w:pPr>
              <w:pStyle w:val="8"/>
              <w:widowControl/>
              <w:spacing w:beforeAutospacing="0" w:afterAutospacing="0" w:line="600" w:lineRule="exact"/>
              <w:jc w:val="both"/>
              <w:rPr>
                <w:rFonts w:ascii="宋体" w:hAnsi="宋体" w:cs="宋体"/>
                <w:sz w:val="21"/>
                <w:szCs w:val="21"/>
              </w:rPr>
            </w:pPr>
            <w:r>
              <w:rPr>
                <w:rFonts w:hint="eastAsia" w:ascii="宋体" w:hAnsi="宋体" w:cs="宋体"/>
                <w:sz w:val="21"/>
                <w:szCs w:val="21"/>
              </w:rPr>
              <w:t>按经济效益实现程度计算得分（5分）</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Autospacing="0" w:afterAutospacing="0" w:line="600" w:lineRule="exact"/>
              <w:jc w:val="center"/>
              <w:rPr>
                <w:rFonts w:eastAsia="宋体"/>
              </w:rPr>
            </w:pPr>
            <w:r>
              <w:rPr>
                <w:rFonts w:hint="eastAsia"/>
              </w:rPr>
              <w:t>5</w:t>
            </w:r>
          </w:p>
        </w:tc>
      </w:tr>
      <w:tr>
        <w:tblPrEx>
          <w:tblCellMar>
            <w:top w:w="0" w:type="dxa"/>
            <w:left w:w="0" w:type="dxa"/>
            <w:bottom w:w="0" w:type="dxa"/>
            <w:right w:w="0" w:type="dxa"/>
          </w:tblCellMar>
        </w:tblPrEx>
        <w:trPr>
          <w:trHeight w:val="644"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社会效益（5分）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Autospacing="0" w:afterAutospacing="0" w:line="600" w:lineRule="exact"/>
              <w:jc w:val="both"/>
              <w:rPr>
                <w:rFonts w:ascii="宋体" w:hAnsi="宋体" w:cs="宋体"/>
                <w:sz w:val="21"/>
                <w:szCs w:val="21"/>
              </w:rPr>
            </w:pPr>
            <w:r>
              <w:rPr>
                <w:rFonts w:hint="eastAsia" w:ascii="宋体" w:hAnsi="宋体" w:cs="宋体"/>
                <w:sz w:val="21"/>
                <w:szCs w:val="21"/>
              </w:rPr>
              <w:t>部门履行职责对社会发展所带来的直接或间接影响。</w:t>
            </w:r>
          </w:p>
        </w:tc>
        <w:tc>
          <w:tcPr>
            <w:tcW w:w="5825" w:type="dxa"/>
            <w:tcBorders>
              <w:top w:val="single" w:color="auto" w:sz="4" w:space="0"/>
              <w:left w:val="nil"/>
              <w:bottom w:val="single" w:color="auto" w:sz="4" w:space="0"/>
              <w:right w:val="single" w:color="auto" w:sz="8" w:space="0"/>
            </w:tcBorders>
            <w:tcMar>
              <w:top w:w="10" w:type="dxa"/>
              <w:left w:w="10" w:type="dxa"/>
              <w:right w:w="10" w:type="dxa"/>
            </w:tcMar>
            <w:vAlign w:val="center"/>
          </w:tcPr>
          <w:p>
            <w:pPr>
              <w:spacing w:line="600" w:lineRule="exact"/>
              <w:ind w:left="315" w:hanging="315"/>
              <w:rPr>
                <w:rFonts w:ascii="宋体" w:hAnsi="宋体" w:cs="宋体"/>
                <w:sz w:val="15"/>
                <w:szCs w:val="15"/>
              </w:rPr>
            </w:pPr>
            <w:r>
              <w:rPr>
                <w:rFonts w:hint="eastAsia" w:ascii="宋体" w:hAnsi="宋体" w:cs="宋体"/>
                <w:szCs w:val="21"/>
              </w:rPr>
              <w:t>按社会效益实现程度计算得分（5分）</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Autospacing="0" w:afterAutospacing="0" w:line="600" w:lineRule="exact"/>
              <w:jc w:val="center"/>
              <w:rPr>
                <w:rFonts w:eastAsia="宋体"/>
              </w:rPr>
            </w:pPr>
            <w:r>
              <w:rPr>
                <w:rFonts w:hint="eastAsia"/>
              </w:rPr>
              <w:t>5</w:t>
            </w:r>
          </w:p>
        </w:tc>
      </w:tr>
      <w:tr>
        <w:tblPrEx>
          <w:tblCellMar>
            <w:top w:w="0" w:type="dxa"/>
            <w:left w:w="0" w:type="dxa"/>
            <w:bottom w:w="0" w:type="dxa"/>
            <w:right w:w="0" w:type="dxa"/>
          </w:tblCellMar>
        </w:tblPrEx>
        <w:trPr>
          <w:trHeight w:val="644"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315" w:hanging="315"/>
              <w:jc w:val="center"/>
              <w:rPr>
                <w:rFonts w:ascii="宋体" w:hAnsi="宋体" w:cs="宋体"/>
                <w:szCs w:val="21"/>
              </w:rPr>
            </w:pPr>
            <w:r>
              <w:rPr>
                <w:rFonts w:hint="eastAsia" w:ascii="宋体" w:hAnsi="宋体" w:cs="宋体"/>
                <w:szCs w:val="21"/>
              </w:rPr>
              <w:t>生态效益</w:t>
            </w:r>
          </w:p>
          <w:p>
            <w:pPr>
              <w:spacing w:line="600" w:lineRule="exact"/>
              <w:ind w:left="315" w:hanging="315"/>
              <w:jc w:val="center"/>
              <w:rPr>
                <w:rFonts w:ascii="宋体" w:hAnsi="宋体" w:cs="宋体"/>
                <w:szCs w:val="21"/>
              </w:rPr>
            </w:pPr>
            <w:r>
              <w:rPr>
                <w:rFonts w:hint="eastAsia" w:ascii="宋体" w:hAnsi="宋体" w:cs="宋体"/>
                <w:szCs w:val="21"/>
              </w:rPr>
              <w:t>（5分）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Autospacing="0" w:afterAutospacing="0" w:line="600" w:lineRule="exact"/>
              <w:jc w:val="both"/>
              <w:rPr>
                <w:rFonts w:ascii="宋体" w:hAnsi="宋体" w:cs="宋体"/>
                <w:sz w:val="21"/>
                <w:szCs w:val="21"/>
              </w:rPr>
            </w:pPr>
            <w:r>
              <w:rPr>
                <w:rFonts w:hint="eastAsia" w:ascii="宋体" w:hAnsi="宋体" w:cs="宋体"/>
                <w:sz w:val="21"/>
                <w:szCs w:val="21"/>
              </w:rPr>
              <w:t>部门履行职责对生态环境所带来的直接或间接影响。</w:t>
            </w:r>
          </w:p>
        </w:tc>
        <w:tc>
          <w:tcPr>
            <w:tcW w:w="5825" w:type="dxa"/>
            <w:tcBorders>
              <w:top w:val="single" w:color="auto" w:sz="4" w:space="0"/>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Autospacing="0" w:afterAutospacing="0" w:line="600" w:lineRule="exact"/>
              <w:jc w:val="both"/>
              <w:rPr>
                <w:rFonts w:ascii="宋体" w:hAnsi="宋体" w:cs="宋体"/>
                <w:sz w:val="21"/>
                <w:szCs w:val="21"/>
              </w:rPr>
            </w:pPr>
            <w:r>
              <w:rPr>
                <w:rFonts w:hint="eastAsia" w:ascii="宋体" w:hAnsi="宋体" w:cs="宋体"/>
                <w:sz w:val="21"/>
                <w:szCs w:val="21"/>
              </w:rPr>
              <w:t>对生态环境影响较好的计5分；一般3分；效果不明显0分。</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Autospacing="0" w:afterAutospacing="0" w:line="600" w:lineRule="exact"/>
              <w:jc w:val="center"/>
              <w:rPr>
                <w:rFonts w:eastAsia="宋体"/>
              </w:rPr>
            </w:pPr>
            <w:r>
              <w:rPr>
                <w:rFonts w:hint="eastAsia"/>
              </w:rPr>
              <w:t>5</w:t>
            </w:r>
          </w:p>
        </w:tc>
      </w:tr>
      <w:tr>
        <w:tblPrEx>
          <w:tblCellMar>
            <w:top w:w="0" w:type="dxa"/>
            <w:left w:w="0" w:type="dxa"/>
            <w:bottom w:w="0" w:type="dxa"/>
            <w:right w:w="0" w:type="dxa"/>
          </w:tblCellMar>
        </w:tblPrEx>
        <w:trPr>
          <w:trHeight w:val="1259"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社会公众</w:t>
            </w:r>
          </w:p>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或服务对</w:t>
            </w:r>
          </w:p>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象满意度（5分）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Autospacing="0" w:afterAutospacing="0" w:line="600" w:lineRule="exact"/>
              <w:jc w:val="both"/>
              <w:rPr>
                <w:rFonts w:ascii="宋体" w:hAnsi="宋体" w:cs="宋体"/>
                <w:sz w:val="21"/>
                <w:szCs w:val="21"/>
              </w:rPr>
            </w:pPr>
            <w:r>
              <w:rPr>
                <w:rFonts w:hint="eastAsia" w:ascii="宋体" w:hAnsi="宋体" w:cs="宋体"/>
                <w:sz w:val="21"/>
                <w:szCs w:val="21"/>
              </w:rPr>
              <w:t>社会公众或部门的服务对象对部门履职效果的满意程度。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Autospacing="0" w:afterAutospacing="0" w:line="600" w:lineRule="exact"/>
              <w:jc w:val="both"/>
              <w:rPr>
                <w:rFonts w:ascii="宋体" w:hAnsi="宋体" w:cs="宋体"/>
                <w:sz w:val="21"/>
                <w:szCs w:val="21"/>
              </w:rPr>
            </w:pPr>
            <w:r>
              <w:rPr>
                <w:rFonts w:hint="eastAsia" w:ascii="宋体" w:hAnsi="宋体"/>
                <w:sz w:val="18"/>
                <w:szCs w:val="18"/>
              </w:rPr>
              <w:t>90%</w:t>
            </w:r>
            <w:r>
              <w:rPr>
                <w:rFonts w:hint="eastAsia" w:ascii="宋体" w:hAnsi="宋体" w:cs="宋体"/>
                <w:sz w:val="21"/>
                <w:szCs w:val="21"/>
              </w:rPr>
              <w:t>（含）以上计5分；80%（含）-90%，计4分；70%（含）-80%，计3分；60%（含）-70%，计2分；低于60%计0分。</w:t>
            </w: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Autospacing="0" w:afterAutospacing="0" w:line="600" w:lineRule="exact"/>
              <w:jc w:val="center"/>
              <w:rPr>
                <w:rFonts w:eastAsia="宋体"/>
              </w:rPr>
            </w:pPr>
            <w:r>
              <w:rPr>
                <w:rFonts w:hint="eastAsia"/>
              </w:rPr>
              <w:t>5</w:t>
            </w:r>
          </w:p>
        </w:tc>
      </w:tr>
      <w:tr>
        <w:tblPrEx>
          <w:tblCellMar>
            <w:top w:w="0" w:type="dxa"/>
            <w:left w:w="0" w:type="dxa"/>
            <w:bottom w:w="0" w:type="dxa"/>
            <w:right w:w="0" w:type="dxa"/>
          </w:tblCellMar>
        </w:tblPrEx>
        <w:trPr>
          <w:trHeight w:val="608" w:hRule="atLeast"/>
          <w:jc w:val="center"/>
        </w:trPr>
        <w:tc>
          <w:tcPr>
            <w:tcW w:w="690" w:type="dxa"/>
            <w:tcBorders>
              <w:top w:val="nil"/>
              <w:left w:val="single" w:color="auto" w:sz="8" w:space="0"/>
              <w:bottom w:val="nil"/>
              <w:right w:val="single" w:color="auto" w:sz="8" w:space="0"/>
            </w:tcBorders>
            <w:vAlign w:val="center"/>
          </w:tcPr>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总分</w:t>
            </w:r>
          </w:p>
        </w:tc>
        <w:tc>
          <w:tcPr>
            <w:tcW w:w="704" w:type="dxa"/>
            <w:tcBorders>
              <w:top w:val="nil"/>
              <w:left w:val="nil"/>
              <w:bottom w:val="nil"/>
              <w:right w:val="single" w:color="auto" w:sz="8" w:space="0"/>
            </w:tcBorders>
            <w:vAlign w:val="center"/>
          </w:tcPr>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100</w:t>
            </w:r>
          </w:p>
        </w:tc>
        <w:tc>
          <w:tcPr>
            <w:tcW w:w="960" w:type="dxa"/>
            <w:tcBorders>
              <w:top w:val="nil"/>
              <w:left w:val="nil"/>
              <w:bottom w:val="nil"/>
              <w:right w:val="single" w:color="auto" w:sz="8" w:space="0"/>
            </w:tcBorders>
            <w:tcMar>
              <w:top w:w="10" w:type="dxa"/>
              <w:left w:w="10" w:type="dxa"/>
              <w:right w:w="10" w:type="dxa"/>
            </w:tcMar>
            <w:vAlign w:val="center"/>
          </w:tcPr>
          <w:p>
            <w:pPr>
              <w:pStyle w:val="8"/>
              <w:widowControl/>
              <w:spacing w:beforeAutospacing="0" w:afterAutospacing="0" w:line="600" w:lineRule="exact"/>
              <w:jc w:val="center"/>
              <w:rPr>
                <w:rFonts w:ascii="宋体" w:hAnsi="宋体" w:cs="宋体"/>
                <w:sz w:val="21"/>
                <w:szCs w:val="21"/>
              </w:rPr>
            </w:pPr>
            <w:r>
              <w:rPr>
                <w:rFonts w:hint="eastAsia" w:ascii="宋体" w:hAnsi="宋体" w:cs="宋体"/>
                <w:sz w:val="21"/>
                <w:szCs w:val="21"/>
              </w:rPr>
              <w:t>100　</w:t>
            </w:r>
          </w:p>
        </w:tc>
        <w:tc>
          <w:tcPr>
            <w:tcW w:w="5340" w:type="dxa"/>
            <w:tcBorders>
              <w:top w:val="nil"/>
              <w:left w:val="nil"/>
              <w:bottom w:val="nil"/>
              <w:right w:val="single" w:color="auto" w:sz="8" w:space="0"/>
            </w:tcBorders>
            <w:tcMar>
              <w:top w:w="10" w:type="dxa"/>
              <w:left w:w="10" w:type="dxa"/>
              <w:right w:w="10" w:type="dxa"/>
            </w:tcMar>
            <w:vAlign w:val="center"/>
          </w:tcPr>
          <w:p>
            <w:pPr>
              <w:pStyle w:val="8"/>
              <w:widowControl/>
              <w:tabs>
                <w:tab w:val="left" w:pos="2604"/>
              </w:tabs>
              <w:spacing w:beforeAutospacing="0" w:afterAutospacing="0" w:line="600" w:lineRule="exact"/>
              <w:jc w:val="both"/>
              <w:rPr>
                <w:rFonts w:ascii="宋体" w:hAnsi="宋体" w:cs="宋体"/>
                <w:sz w:val="21"/>
                <w:szCs w:val="21"/>
              </w:rPr>
            </w:pPr>
            <w:r>
              <w:rPr>
                <w:rFonts w:hint="eastAsia" w:ascii="宋体" w:hAnsi="宋体" w:cs="宋体"/>
                <w:sz w:val="21"/>
                <w:szCs w:val="21"/>
              </w:rPr>
              <w:t> </w:t>
            </w:r>
          </w:p>
        </w:tc>
        <w:tc>
          <w:tcPr>
            <w:tcW w:w="5825" w:type="dxa"/>
            <w:tcBorders>
              <w:top w:val="nil"/>
              <w:left w:val="nil"/>
              <w:bottom w:val="nil"/>
              <w:right w:val="single" w:color="auto" w:sz="8" w:space="0"/>
            </w:tcBorders>
            <w:tcMar>
              <w:top w:w="10" w:type="dxa"/>
              <w:left w:w="10" w:type="dxa"/>
              <w:right w:w="10" w:type="dxa"/>
            </w:tcMar>
            <w:vAlign w:val="center"/>
          </w:tcPr>
          <w:p>
            <w:pPr>
              <w:pStyle w:val="8"/>
              <w:widowControl/>
              <w:spacing w:beforeAutospacing="0" w:afterAutospacing="0" w:line="600" w:lineRule="exact"/>
              <w:jc w:val="both"/>
              <w:rPr>
                <w:rFonts w:ascii="宋体" w:hAnsi="宋体" w:cs="宋体"/>
                <w:sz w:val="21"/>
                <w:szCs w:val="21"/>
              </w:rPr>
            </w:pPr>
            <w:r>
              <w:rPr>
                <w:rFonts w:hint="eastAsia" w:ascii="宋体" w:hAnsi="宋体" w:cs="宋体"/>
                <w:sz w:val="21"/>
                <w:szCs w:val="21"/>
              </w:rPr>
              <w:t> </w:t>
            </w:r>
          </w:p>
        </w:tc>
        <w:tc>
          <w:tcPr>
            <w:tcW w:w="768" w:type="dxa"/>
            <w:tcBorders>
              <w:top w:val="nil"/>
              <w:left w:val="nil"/>
              <w:bottom w:val="nil"/>
              <w:right w:val="single" w:color="auto" w:sz="8" w:space="0"/>
            </w:tcBorders>
            <w:vAlign w:val="center"/>
          </w:tcPr>
          <w:p>
            <w:pPr>
              <w:pStyle w:val="8"/>
              <w:widowControl/>
              <w:tabs>
                <w:tab w:val="left" w:pos="2604"/>
              </w:tabs>
              <w:spacing w:beforeAutospacing="0" w:afterAutospacing="0" w:line="600" w:lineRule="exact"/>
              <w:jc w:val="center"/>
              <w:rPr>
                <w:rFonts w:eastAsia="宋体"/>
              </w:rPr>
            </w:pPr>
            <w:r>
              <w:rPr>
                <w:rFonts w:hint="eastAsia"/>
              </w:rPr>
              <w:t>96.6</w:t>
            </w:r>
          </w:p>
        </w:tc>
      </w:tr>
      <w:tr>
        <w:tblPrEx>
          <w:tblCellMar>
            <w:top w:w="0" w:type="dxa"/>
            <w:left w:w="0" w:type="dxa"/>
            <w:bottom w:w="0" w:type="dxa"/>
            <w:right w:w="0" w:type="dxa"/>
          </w:tblCellMar>
        </w:tblPrEx>
        <w:trPr>
          <w:trHeight w:val="608" w:hRule="atLeast"/>
          <w:jc w:val="center"/>
        </w:trPr>
        <w:tc>
          <w:tcPr>
            <w:tcW w:w="690" w:type="dxa"/>
            <w:tcBorders>
              <w:top w:val="nil"/>
              <w:left w:val="single" w:color="auto" w:sz="8" w:space="0"/>
              <w:bottom w:val="single" w:color="auto" w:sz="8" w:space="0"/>
              <w:right w:val="single" w:color="auto" w:sz="8" w:space="0"/>
            </w:tcBorders>
            <w:vAlign w:val="center"/>
          </w:tcPr>
          <w:p>
            <w:pPr>
              <w:pStyle w:val="8"/>
              <w:widowControl/>
              <w:spacing w:beforeAutospacing="0" w:afterAutospacing="0" w:line="600" w:lineRule="exact"/>
              <w:rPr>
                <w:rFonts w:ascii="宋体" w:hAnsi="宋体" w:cs="宋体"/>
                <w:sz w:val="21"/>
                <w:szCs w:val="21"/>
              </w:rPr>
            </w:pPr>
          </w:p>
        </w:tc>
        <w:tc>
          <w:tcPr>
            <w:tcW w:w="704" w:type="dxa"/>
            <w:tcBorders>
              <w:top w:val="nil"/>
              <w:left w:val="nil"/>
              <w:bottom w:val="single" w:color="auto" w:sz="8" w:space="0"/>
              <w:right w:val="single" w:color="auto" w:sz="8" w:space="0"/>
            </w:tcBorders>
            <w:vAlign w:val="center"/>
          </w:tcPr>
          <w:p>
            <w:pPr>
              <w:pStyle w:val="8"/>
              <w:widowControl/>
              <w:spacing w:beforeAutospacing="0" w:afterAutospacing="0" w:line="600" w:lineRule="exact"/>
              <w:jc w:val="center"/>
              <w:rPr>
                <w:rFonts w:ascii="宋体" w:hAnsi="宋体" w:cs="宋体"/>
                <w:sz w:val="21"/>
                <w:szCs w:val="21"/>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Autospacing="0" w:afterAutospacing="0" w:line="600" w:lineRule="exact"/>
              <w:jc w:val="center"/>
              <w:rPr>
                <w:rFonts w:ascii="宋体" w:hAnsi="宋体" w:cs="宋体"/>
                <w:sz w:val="21"/>
                <w:szCs w:val="21"/>
              </w:rPr>
            </w:pP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tabs>
                <w:tab w:val="left" w:pos="2604"/>
              </w:tabs>
              <w:spacing w:beforeAutospacing="0" w:afterAutospacing="0" w:line="600" w:lineRule="exact"/>
              <w:jc w:val="both"/>
              <w:rPr>
                <w:rFonts w:ascii="宋体" w:hAnsi="宋体" w:cs="宋体"/>
                <w:sz w:val="21"/>
                <w:szCs w:val="21"/>
              </w:rPr>
            </w:pP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8"/>
              <w:widowControl/>
              <w:spacing w:beforeAutospacing="0" w:afterAutospacing="0" w:line="600" w:lineRule="exact"/>
              <w:jc w:val="both"/>
              <w:rPr>
                <w:rFonts w:ascii="宋体" w:hAnsi="宋体" w:cs="宋体"/>
                <w:sz w:val="21"/>
                <w:szCs w:val="21"/>
              </w:rPr>
            </w:pPr>
          </w:p>
        </w:tc>
        <w:tc>
          <w:tcPr>
            <w:tcW w:w="768" w:type="dxa"/>
            <w:tcBorders>
              <w:top w:val="nil"/>
              <w:left w:val="nil"/>
              <w:bottom w:val="single" w:color="auto" w:sz="8" w:space="0"/>
              <w:right w:val="single" w:color="auto" w:sz="8" w:space="0"/>
            </w:tcBorders>
            <w:vAlign w:val="center"/>
          </w:tcPr>
          <w:p>
            <w:pPr>
              <w:pStyle w:val="8"/>
              <w:widowControl/>
              <w:tabs>
                <w:tab w:val="left" w:pos="2604"/>
              </w:tabs>
              <w:spacing w:beforeAutospacing="0" w:afterAutospacing="0" w:line="600" w:lineRule="exact"/>
              <w:jc w:val="center"/>
            </w:pPr>
          </w:p>
        </w:tc>
      </w:tr>
    </w:tbl>
    <w:p>
      <w:pPr>
        <w:spacing w:line="600" w:lineRule="exact"/>
        <w:ind w:left="147" w:hanging="147" w:hangingChars="46"/>
        <w:rPr>
          <w:rFonts w:ascii="仿宋" w:hAnsi="仿宋" w:eastAsia="仿宋"/>
          <w:sz w:val="32"/>
          <w:szCs w:val="32"/>
        </w:rPr>
      </w:pPr>
    </w:p>
    <w:p>
      <w:pPr>
        <w:spacing w:line="560" w:lineRule="exact"/>
        <w:ind w:firstLine="640" w:firstLineChars="200"/>
        <w:rPr>
          <w:rFonts w:cs="黑体" w:asciiTheme="minorEastAsia" w:hAnsiTheme="minorEastAsia"/>
          <w:sz w:val="32"/>
          <w:szCs w:val="32"/>
        </w:rPr>
      </w:pPr>
    </w:p>
    <w:p>
      <w:pPr>
        <w:spacing w:line="220" w:lineRule="atLeast"/>
      </w:pPr>
    </w:p>
    <w:sectPr>
      <w:pgSz w:w="16838" w:h="11906" w:orient="landscape"/>
      <w:pgMar w:top="720" w:right="720" w:bottom="720" w:left="720" w:header="851" w:footer="992" w:gutter="0"/>
      <w:cols w:space="425"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270" w:hanging="270"/>
      <w:jc w:val="center"/>
    </w:pPr>
    <w:r>
      <w:fldChar w:fldCharType="begin"/>
    </w:r>
    <w:r>
      <w:instrText xml:space="preserve"> PAGE   \* MERGEFORMAT </w:instrText>
    </w:r>
    <w:r>
      <w:fldChar w:fldCharType="separate"/>
    </w:r>
    <w:r>
      <w:rPr>
        <w:lang w:val="zh-CN"/>
      </w:rPr>
      <w:t>1</w:t>
    </w:r>
    <w:r>
      <w:rPr>
        <w:lang w:val="zh-CN"/>
      </w:rPr>
      <w:fldChar w:fldCharType="end"/>
    </w:r>
  </w:p>
  <w:p>
    <w:pPr>
      <w:pStyle w:val="6"/>
      <w:ind w:left="270" w:hanging="27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270" w:hanging="27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270" w:hanging="27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left="270" w:hanging="2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270" w:hanging="27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270" w:hanging="27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0CD8ED"/>
    <w:multiLevelType w:val="singleLevel"/>
    <w:tmpl w:val="D90CD8ED"/>
    <w:lvl w:ilvl="0" w:tentative="0">
      <w:start w:val="1"/>
      <w:numFmt w:val="chineseCounting"/>
      <w:suff w:val="nothing"/>
      <w:lvlText w:val="（%1）"/>
      <w:lvlJc w:val="left"/>
      <w:rPr>
        <w:rFonts w:hint="eastAsia"/>
      </w:rPr>
    </w:lvl>
  </w:abstractNum>
  <w:abstractNum w:abstractNumId="1">
    <w:nsid w:val="40C32747"/>
    <w:multiLevelType w:val="singleLevel"/>
    <w:tmpl w:val="40C32747"/>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docVars>
    <w:docVar w:name="commondata" w:val="eyJoZGlkIjoiMTJmNjRjZGViZWVhMzdmNzhlYmU5MTM3MGM4YjYwNWMifQ=="/>
  </w:docVars>
  <w:rsids>
    <w:rsidRoot w:val="00D31D50"/>
    <w:rsid w:val="00323B43"/>
    <w:rsid w:val="0037728B"/>
    <w:rsid w:val="003D37D8"/>
    <w:rsid w:val="00426133"/>
    <w:rsid w:val="004306DE"/>
    <w:rsid w:val="004358AB"/>
    <w:rsid w:val="008B7726"/>
    <w:rsid w:val="00D31D50"/>
    <w:rsid w:val="26F21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13"/>
    <w:qFormat/>
    <w:uiPriority w:val="0"/>
    <w:pPr>
      <w:widowControl w:val="0"/>
      <w:adjustRightInd/>
      <w:snapToGrid/>
      <w:spacing w:before="100" w:beforeAutospacing="1" w:after="100" w:afterAutospacing="1"/>
      <w:outlineLvl w:val="0"/>
    </w:pPr>
    <w:rPr>
      <w:rFonts w:hint="eastAsia" w:ascii="宋体" w:hAnsi="宋体" w:eastAsiaTheme="minorEastAsia"/>
      <w:b/>
      <w:kern w:val="44"/>
      <w:sz w:val="48"/>
      <w:szCs w:val="48"/>
    </w:rPr>
  </w:style>
  <w:style w:type="paragraph" w:styleId="3">
    <w:name w:val="heading 2"/>
    <w:basedOn w:val="1"/>
    <w:next w:val="1"/>
    <w:link w:val="14"/>
    <w:qFormat/>
    <w:uiPriority w:val="0"/>
    <w:pPr>
      <w:widowControl w:val="0"/>
      <w:adjustRightInd/>
      <w:snapToGrid/>
      <w:spacing w:before="100" w:beforeAutospacing="1" w:after="100" w:afterAutospacing="1"/>
      <w:outlineLvl w:val="1"/>
    </w:pPr>
    <w:rPr>
      <w:rFonts w:hint="eastAsia" w:ascii="宋体" w:hAnsi="宋体" w:eastAsiaTheme="minorEastAsia"/>
      <w:b/>
      <w:sz w:val="36"/>
      <w:szCs w:val="36"/>
    </w:rPr>
  </w:style>
  <w:style w:type="paragraph" w:styleId="4">
    <w:name w:val="heading 3"/>
    <w:basedOn w:val="1"/>
    <w:next w:val="1"/>
    <w:link w:val="15"/>
    <w:qFormat/>
    <w:uiPriority w:val="0"/>
    <w:pPr>
      <w:widowControl w:val="0"/>
      <w:adjustRightInd/>
      <w:snapToGrid/>
      <w:spacing w:before="100" w:beforeAutospacing="1" w:after="100" w:afterAutospacing="1"/>
      <w:outlineLvl w:val="2"/>
    </w:pPr>
    <w:rPr>
      <w:rFonts w:hint="eastAsia" w:ascii="宋体" w:hAnsi="宋体" w:eastAsiaTheme="minorEastAsia"/>
      <w:b/>
      <w:sz w:val="27"/>
      <w:szCs w:val="27"/>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6"/>
    <w:semiHidden/>
    <w:unhideWhenUsed/>
    <w:qFormat/>
    <w:uiPriority w:val="99"/>
    <w:pPr>
      <w:widowControl w:val="0"/>
      <w:adjustRightInd/>
      <w:snapToGrid/>
      <w:spacing w:after="0"/>
      <w:jc w:val="both"/>
    </w:pPr>
    <w:rPr>
      <w:rFonts w:asciiTheme="minorHAnsi" w:hAnsiTheme="minorHAnsi" w:eastAsiaTheme="minorEastAsia"/>
      <w:kern w:val="2"/>
      <w:sz w:val="18"/>
      <w:szCs w:val="18"/>
    </w:rPr>
  </w:style>
  <w:style w:type="paragraph" w:styleId="6">
    <w:name w:val="footer"/>
    <w:basedOn w:val="1"/>
    <w:link w:val="12"/>
    <w:unhideWhenUsed/>
    <w:qFormat/>
    <w:uiPriority w:val="99"/>
    <w:pPr>
      <w:tabs>
        <w:tab w:val="center" w:pos="4153"/>
        <w:tab w:val="right" w:pos="8306"/>
      </w:tabs>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jc w:val="center"/>
    </w:pPr>
    <w:rPr>
      <w:sz w:val="18"/>
      <w:szCs w:val="18"/>
    </w:rPr>
  </w:style>
  <w:style w:type="paragraph" w:styleId="8">
    <w:name w:val="Normal (Web)"/>
    <w:basedOn w:val="1"/>
    <w:qFormat/>
    <w:uiPriority w:val="0"/>
    <w:pPr>
      <w:widowControl w:val="0"/>
      <w:adjustRightInd/>
      <w:snapToGrid/>
      <w:spacing w:beforeAutospacing="1" w:after="0" w:afterAutospacing="1"/>
    </w:pPr>
    <w:rPr>
      <w:rFonts w:cs="Times New Roman" w:asciiTheme="minorHAnsi" w:hAnsiTheme="minorHAnsi" w:eastAsiaTheme="minorEastAsia"/>
      <w:sz w:val="24"/>
    </w:rPr>
  </w:style>
  <w:style w:type="character" w:customStyle="1" w:styleId="11">
    <w:name w:val="页眉 Char"/>
    <w:basedOn w:val="10"/>
    <w:link w:val="7"/>
    <w:qFormat/>
    <w:uiPriority w:val="99"/>
    <w:rPr>
      <w:rFonts w:ascii="Tahoma" w:hAnsi="Tahoma"/>
      <w:sz w:val="18"/>
      <w:szCs w:val="18"/>
    </w:rPr>
  </w:style>
  <w:style w:type="character" w:customStyle="1" w:styleId="12">
    <w:name w:val="页脚 Char"/>
    <w:basedOn w:val="10"/>
    <w:link w:val="6"/>
    <w:qFormat/>
    <w:uiPriority w:val="99"/>
    <w:rPr>
      <w:rFonts w:ascii="Tahoma" w:hAnsi="Tahoma"/>
      <w:sz w:val="18"/>
      <w:szCs w:val="18"/>
    </w:rPr>
  </w:style>
  <w:style w:type="character" w:customStyle="1" w:styleId="13">
    <w:name w:val="标题 1 Char"/>
    <w:basedOn w:val="10"/>
    <w:link w:val="2"/>
    <w:uiPriority w:val="0"/>
    <w:rPr>
      <w:rFonts w:ascii="宋体" w:hAnsi="宋体" w:eastAsiaTheme="minorEastAsia"/>
      <w:b/>
      <w:kern w:val="44"/>
      <w:sz w:val="48"/>
      <w:szCs w:val="48"/>
    </w:rPr>
  </w:style>
  <w:style w:type="character" w:customStyle="1" w:styleId="14">
    <w:name w:val="标题 2 Char"/>
    <w:basedOn w:val="10"/>
    <w:link w:val="3"/>
    <w:uiPriority w:val="0"/>
    <w:rPr>
      <w:rFonts w:ascii="宋体" w:hAnsi="宋体" w:eastAsiaTheme="minorEastAsia"/>
      <w:b/>
      <w:sz w:val="36"/>
      <w:szCs w:val="36"/>
    </w:rPr>
  </w:style>
  <w:style w:type="character" w:customStyle="1" w:styleId="15">
    <w:name w:val="标题 3 Char"/>
    <w:basedOn w:val="10"/>
    <w:link w:val="4"/>
    <w:uiPriority w:val="0"/>
    <w:rPr>
      <w:rFonts w:ascii="宋体" w:hAnsi="宋体" w:eastAsiaTheme="minorEastAsia"/>
      <w:b/>
      <w:sz w:val="27"/>
      <w:szCs w:val="27"/>
    </w:rPr>
  </w:style>
  <w:style w:type="character" w:customStyle="1" w:styleId="16">
    <w:name w:val="批注框文本 Char"/>
    <w:basedOn w:val="10"/>
    <w:link w:val="5"/>
    <w:semiHidden/>
    <w:qFormat/>
    <w:uiPriority w:val="99"/>
    <w:rPr>
      <w:rFonts w:eastAsiaTheme="minorEastAsia"/>
      <w:kern w:val="2"/>
      <w:sz w:val="18"/>
      <w:szCs w:val="18"/>
    </w:rPr>
  </w:style>
  <w:style w:type="paragraph" w:customStyle="1" w:styleId="17">
    <w:name w:val="Default"/>
    <w:qFormat/>
    <w:uiPriority w:val="0"/>
    <w:pPr>
      <w:widowControl w:val="0"/>
      <w:autoSpaceDE w:val="0"/>
      <w:autoSpaceDN w:val="0"/>
      <w:adjustRightInd w:val="0"/>
      <w:spacing w:after="0" w:line="240" w:lineRule="auto"/>
    </w:pPr>
    <w:rPr>
      <w:rFonts w:ascii="黑体" w:eastAsia="黑体" w:cs="黑体" w:hAnsiTheme="minorHAnsi"/>
      <w:color w:val="000000"/>
      <w:sz w:val="24"/>
      <w:szCs w:val="24"/>
      <w:lang w:val="en-US" w:eastAsia="zh-CN" w:bidi="ar-SA"/>
    </w:rPr>
  </w:style>
  <w:style w:type="paragraph" w:styleId="18">
    <w:name w:val="List Paragraph"/>
    <w:basedOn w:val="1"/>
    <w:qFormat/>
    <w:uiPriority w:val="34"/>
    <w:pPr>
      <w:widowControl w:val="0"/>
      <w:adjustRightInd/>
      <w:snapToGrid/>
      <w:spacing w:after="0"/>
      <w:ind w:firstLine="420" w:firstLineChars="200"/>
      <w:jc w:val="both"/>
    </w:pPr>
    <w:rPr>
      <w:rFonts w:asciiTheme="minorHAnsi" w:hAnsiTheme="minorHAnsi" w:eastAsiaTheme="minorEastAsia"/>
      <w:kern w:val="2"/>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22</Pages>
  <Words>7040</Words>
  <Characters>8143</Characters>
  <Lines>272</Lines>
  <Paragraphs>201</Paragraphs>
  <TotalTime>2</TotalTime>
  <ScaleCrop>false</ScaleCrop>
  <LinksUpToDate>false</LinksUpToDate>
  <CharactersWithSpaces>8150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朱亚林</dc:creator>
  <cp:lastModifiedBy>朱亚林</cp:lastModifiedBy>
  <dcterms:modified xsi:type="dcterms:W3CDTF">2022-10-11T11:29:04Z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189F4CCE0F6A403F9E53710968FB2985</vt:lpwstr>
  </property>
</Properties>
</file>